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theme/themeOverride9.xml" ContentType="application/vnd.openxmlformats-officedocument.themeOverride+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theme/themeOverride11.xml" ContentType="application/vnd.openxmlformats-officedocument.themeOverrid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3.xml" ContentType="application/vnd.openxmlformats-officedocument.themeOverride+xml"/>
  <Override PartName="/word/charts/chart2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DEBA6A" w14:textId="77777777" w:rsidR="00EE5290" w:rsidRDefault="00EE5290" w:rsidP="00EE5290">
      <w:pPr>
        <w:rPr>
          <w:rFonts w:cstheme="minorHAnsi"/>
          <w:color w:val="000000" w:themeColor="text1"/>
          <w:sz w:val="22"/>
          <w:szCs w:val="22"/>
          <w:lang w:val="es-ES_tradnl"/>
        </w:rPr>
      </w:pPr>
    </w:p>
    <w:p w14:paraId="270D61C4" w14:textId="77777777" w:rsidR="00BC40E3" w:rsidRDefault="00BC40E3" w:rsidP="00EE5290">
      <w:pPr>
        <w:rPr>
          <w:rFonts w:cstheme="minorHAnsi"/>
          <w:color w:val="000000" w:themeColor="text1"/>
          <w:sz w:val="22"/>
          <w:szCs w:val="22"/>
          <w:lang w:val="es-ES_tradnl"/>
        </w:rPr>
      </w:pPr>
    </w:p>
    <w:p w14:paraId="222DECE4" w14:textId="77777777" w:rsidR="00BC40E3" w:rsidRDefault="00BC40E3" w:rsidP="00EE5290">
      <w:pPr>
        <w:rPr>
          <w:rFonts w:cstheme="minorHAnsi"/>
          <w:color w:val="000000" w:themeColor="text1"/>
          <w:sz w:val="22"/>
          <w:szCs w:val="22"/>
          <w:lang w:val="es-ES_tradnl"/>
        </w:rPr>
      </w:pPr>
    </w:p>
    <w:p w14:paraId="464B5B3C" w14:textId="77777777" w:rsidR="00BC40E3" w:rsidRDefault="00BC40E3" w:rsidP="00EE5290">
      <w:pPr>
        <w:rPr>
          <w:rFonts w:cstheme="minorHAnsi"/>
          <w:color w:val="000000" w:themeColor="text1"/>
          <w:sz w:val="22"/>
          <w:szCs w:val="22"/>
          <w:lang w:val="es-ES_tradnl"/>
        </w:rPr>
      </w:pPr>
    </w:p>
    <w:p w14:paraId="675DB823" w14:textId="77777777" w:rsidR="00BC40E3" w:rsidRDefault="00BC40E3" w:rsidP="00EE5290">
      <w:pPr>
        <w:rPr>
          <w:rFonts w:cstheme="minorHAnsi"/>
          <w:color w:val="000000" w:themeColor="text1"/>
          <w:sz w:val="22"/>
          <w:szCs w:val="22"/>
          <w:lang w:val="es-ES_tradnl"/>
        </w:rPr>
      </w:pPr>
    </w:p>
    <w:p w14:paraId="439DD325" w14:textId="77777777" w:rsidR="00BC40E3" w:rsidRDefault="00BC40E3" w:rsidP="00EE5290">
      <w:pPr>
        <w:rPr>
          <w:rFonts w:cstheme="minorHAnsi"/>
          <w:color w:val="000000" w:themeColor="text1"/>
          <w:sz w:val="22"/>
          <w:szCs w:val="22"/>
          <w:lang w:val="es-ES_tradnl"/>
        </w:rPr>
      </w:pPr>
    </w:p>
    <w:p w14:paraId="3245710C" w14:textId="77777777" w:rsidR="00BC40E3" w:rsidRDefault="00BC40E3" w:rsidP="00EE5290">
      <w:pPr>
        <w:rPr>
          <w:rFonts w:cstheme="minorHAnsi"/>
          <w:color w:val="000000" w:themeColor="text1"/>
          <w:sz w:val="22"/>
          <w:szCs w:val="22"/>
          <w:lang w:val="es-ES_tradnl"/>
        </w:rPr>
      </w:pPr>
    </w:p>
    <w:p w14:paraId="279EA178" w14:textId="77777777" w:rsidR="00BC40E3" w:rsidRDefault="00BC40E3" w:rsidP="00EE5290">
      <w:pPr>
        <w:rPr>
          <w:rFonts w:cstheme="minorHAnsi"/>
          <w:color w:val="000000" w:themeColor="text1"/>
          <w:sz w:val="22"/>
          <w:szCs w:val="22"/>
          <w:lang w:val="es-ES_tradnl"/>
        </w:rPr>
      </w:pPr>
    </w:p>
    <w:p w14:paraId="5DA93CE7" w14:textId="77777777" w:rsidR="00BC40E3" w:rsidRDefault="00BC40E3" w:rsidP="00EE5290">
      <w:pPr>
        <w:rPr>
          <w:rFonts w:cstheme="minorHAnsi"/>
          <w:color w:val="000000" w:themeColor="text1"/>
          <w:sz w:val="22"/>
          <w:szCs w:val="22"/>
          <w:lang w:val="es-ES_tradnl"/>
        </w:rPr>
      </w:pPr>
    </w:p>
    <w:p w14:paraId="4A0CAF4F" w14:textId="41C94436" w:rsidR="00BC40E3" w:rsidRDefault="00BC40E3" w:rsidP="00334522">
      <w:pPr>
        <w:jc w:val="center"/>
        <w:rPr>
          <w:rFonts w:cstheme="minorHAnsi"/>
          <w:color w:val="000000" w:themeColor="text1"/>
          <w:sz w:val="22"/>
          <w:szCs w:val="22"/>
          <w:lang w:val="es-ES_tradnl"/>
        </w:rPr>
      </w:pPr>
    </w:p>
    <w:p w14:paraId="2CEC5321" w14:textId="77777777" w:rsidR="00BC40E3" w:rsidRDefault="00BC40E3" w:rsidP="00EE5290">
      <w:pPr>
        <w:rPr>
          <w:rFonts w:cstheme="minorHAnsi"/>
          <w:color w:val="000000" w:themeColor="text1"/>
          <w:sz w:val="22"/>
          <w:szCs w:val="22"/>
          <w:lang w:val="es-ES_tradnl"/>
        </w:rPr>
      </w:pPr>
    </w:p>
    <w:p w14:paraId="3DCDC0E4" w14:textId="74BC6293" w:rsidR="00BC40E3" w:rsidRDefault="00BC40E3" w:rsidP="00BC40E3">
      <w:pPr>
        <w:jc w:val="center"/>
        <w:rPr>
          <w:rFonts w:cstheme="minorHAnsi"/>
          <w:color w:val="000000" w:themeColor="text1"/>
          <w:sz w:val="22"/>
          <w:szCs w:val="22"/>
          <w:lang w:val="es-ES_tradnl"/>
        </w:rPr>
      </w:pPr>
    </w:p>
    <w:p w14:paraId="685BB04B" w14:textId="77777777" w:rsidR="00BC40E3" w:rsidRDefault="00BC40E3" w:rsidP="00EE5290">
      <w:pPr>
        <w:rPr>
          <w:rFonts w:cstheme="minorHAnsi"/>
          <w:color w:val="000000" w:themeColor="text1"/>
          <w:sz w:val="22"/>
          <w:szCs w:val="22"/>
          <w:lang w:val="es-ES_tradnl"/>
        </w:rPr>
      </w:pPr>
    </w:p>
    <w:p w14:paraId="79720E47" w14:textId="77777777" w:rsidR="00BC40E3" w:rsidRDefault="00BC40E3" w:rsidP="00EE5290">
      <w:pPr>
        <w:rPr>
          <w:rFonts w:cstheme="minorHAnsi"/>
          <w:color w:val="000000" w:themeColor="text1"/>
          <w:sz w:val="22"/>
          <w:szCs w:val="22"/>
          <w:lang w:val="es-ES_tradnl"/>
        </w:rPr>
      </w:pPr>
    </w:p>
    <w:p w14:paraId="1A9610DD" w14:textId="77777777" w:rsidR="00B43AA8" w:rsidRDefault="00BC40E3" w:rsidP="00BC40E3">
      <w:pPr>
        <w:jc w:val="center"/>
        <w:rPr>
          <w:rFonts w:cstheme="minorHAnsi"/>
          <w:b/>
          <w:bCs/>
          <w:sz w:val="40"/>
          <w:szCs w:val="40"/>
        </w:rPr>
      </w:pPr>
      <w:r w:rsidRPr="00BC40E3">
        <w:rPr>
          <w:rFonts w:cstheme="minorHAnsi"/>
          <w:b/>
          <w:bCs/>
          <w:sz w:val="40"/>
          <w:szCs w:val="40"/>
        </w:rPr>
        <w:t xml:space="preserve">Estrategia Nacional </w:t>
      </w:r>
    </w:p>
    <w:p w14:paraId="57720746" w14:textId="77777777" w:rsidR="00956F65" w:rsidRDefault="00BC40E3" w:rsidP="00B43AA8">
      <w:pPr>
        <w:jc w:val="center"/>
        <w:rPr>
          <w:rFonts w:cstheme="minorHAnsi"/>
          <w:b/>
          <w:bCs/>
          <w:sz w:val="40"/>
          <w:szCs w:val="40"/>
        </w:rPr>
      </w:pPr>
      <w:r w:rsidRPr="00BC40E3">
        <w:rPr>
          <w:rFonts w:cstheme="minorHAnsi"/>
          <w:b/>
          <w:bCs/>
          <w:sz w:val="40"/>
          <w:szCs w:val="40"/>
        </w:rPr>
        <w:t xml:space="preserve">de </w:t>
      </w:r>
      <w:r w:rsidR="00BF7D2E">
        <w:rPr>
          <w:rFonts w:cstheme="minorHAnsi"/>
          <w:b/>
          <w:bCs/>
          <w:sz w:val="40"/>
          <w:szCs w:val="40"/>
        </w:rPr>
        <w:t>F</w:t>
      </w:r>
      <w:r w:rsidR="00BF7D2E" w:rsidRPr="00BC40E3">
        <w:rPr>
          <w:rFonts w:cstheme="minorHAnsi"/>
          <w:b/>
          <w:bCs/>
          <w:sz w:val="40"/>
          <w:szCs w:val="40"/>
        </w:rPr>
        <w:t xml:space="preserve">omento </w:t>
      </w:r>
      <w:r w:rsidRPr="00BC40E3">
        <w:rPr>
          <w:rFonts w:cstheme="minorHAnsi"/>
          <w:b/>
          <w:bCs/>
          <w:sz w:val="40"/>
          <w:szCs w:val="40"/>
        </w:rPr>
        <w:t xml:space="preserve">del </w:t>
      </w:r>
      <w:r w:rsidR="00BF7D2E">
        <w:rPr>
          <w:rFonts w:cstheme="minorHAnsi"/>
          <w:b/>
          <w:bCs/>
          <w:sz w:val="40"/>
          <w:szCs w:val="40"/>
        </w:rPr>
        <w:t>D</w:t>
      </w:r>
      <w:r w:rsidR="00BF7D2E" w:rsidRPr="00BC40E3">
        <w:rPr>
          <w:rFonts w:cstheme="minorHAnsi"/>
          <w:b/>
          <w:bCs/>
          <w:sz w:val="40"/>
          <w:szCs w:val="40"/>
        </w:rPr>
        <w:t xml:space="preserve">eporte </w:t>
      </w:r>
      <w:r w:rsidRPr="00BC40E3">
        <w:rPr>
          <w:rFonts w:cstheme="minorHAnsi"/>
          <w:b/>
          <w:bCs/>
          <w:sz w:val="40"/>
          <w:szCs w:val="40"/>
        </w:rPr>
        <w:t xml:space="preserve">contra el </w:t>
      </w:r>
      <w:r w:rsidR="00BF7D2E">
        <w:rPr>
          <w:rFonts w:cstheme="minorHAnsi"/>
          <w:b/>
          <w:bCs/>
          <w:sz w:val="40"/>
          <w:szCs w:val="40"/>
        </w:rPr>
        <w:t>S</w:t>
      </w:r>
      <w:r w:rsidR="00BF7D2E" w:rsidRPr="00BC40E3">
        <w:rPr>
          <w:rFonts w:cstheme="minorHAnsi"/>
          <w:b/>
          <w:bCs/>
          <w:sz w:val="40"/>
          <w:szCs w:val="40"/>
        </w:rPr>
        <w:t>edentarismo</w:t>
      </w:r>
      <w:r w:rsidR="00ED18AB">
        <w:rPr>
          <w:rFonts w:cstheme="minorHAnsi"/>
          <w:b/>
          <w:bCs/>
          <w:sz w:val="40"/>
          <w:szCs w:val="40"/>
        </w:rPr>
        <w:t xml:space="preserve"> </w:t>
      </w:r>
    </w:p>
    <w:p w14:paraId="2A49672E" w14:textId="4E135A0A" w:rsidR="00BC40E3" w:rsidRPr="00BC40E3" w:rsidRDefault="00ED18AB" w:rsidP="00B43AA8">
      <w:pPr>
        <w:jc w:val="center"/>
        <w:rPr>
          <w:rFonts w:cstheme="minorHAnsi"/>
          <w:b/>
          <w:bCs/>
          <w:sz w:val="40"/>
          <w:szCs w:val="40"/>
        </w:rPr>
      </w:pPr>
      <w:r>
        <w:rPr>
          <w:rFonts w:cstheme="minorHAnsi"/>
          <w:b/>
          <w:bCs/>
          <w:sz w:val="40"/>
          <w:szCs w:val="40"/>
        </w:rPr>
        <w:t>y la Inactividad Física</w:t>
      </w:r>
      <w:r w:rsidR="00BF7D2E" w:rsidRPr="00BC40E3">
        <w:rPr>
          <w:rFonts w:cstheme="minorHAnsi"/>
          <w:b/>
          <w:bCs/>
          <w:sz w:val="40"/>
          <w:szCs w:val="40"/>
        </w:rPr>
        <w:t xml:space="preserve"> </w:t>
      </w:r>
    </w:p>
    <w:p w14:paraId="764B7877" w14:textId="77777777" w:rsidR="00BC40E3" w:rsidRPr="00BC40E3" w:rsidRDefault="00BC40E3" w:rsidP="00EE5290">
      <w:pPr>
        <w:rPr>
          <w:rFonts w:cstheme="minorHAnsi"/>
          <w:color w:val="000000" w:themeColor="text1"/>
          <w:sz w:val="22"/>
          <w:szCs w:val="22"/>
        </w:rPr>
      </w:pPr>
    </w:p>
    <w:p w14:paraId="1E23B74B" w14:textId="77777777" w:rsidR="00BC40E3" w:rsidRDefault="00BC40E3" w:rsidP="00EE5290">
      <w:pPr>
        <w:jc w:val="center"/>
        <w:rPr>
          <w:rFonts w:cstheme="minorHAnsi"/>
          <w:b/>
          <w:bCs/>
          <w:sz w:val="28"/>
          <w:szCs w:val="28"/>
        </w:rPr>
      </w:pPr>
    </w:p>
    <w:p w14:paraId="523DFFC7" w14:textId="4F12D0AB" w:rsidR="00BC40E3" w:rsidRDefault="00BC40E3" w:rsidP="00EE5290">
      <w:pPr>
        <w:jc w:val="center"/>
        <w:rPr>
          <w:rFonts w:cstheme="minorHAnsi"/>
          <w:b/>
          <w:bCs/>
          <w:sz w:val="28"/>
          <w:szCs w:val="28"/>
        </w:rPr>
      </w:pPr>
    </w:p>
    <w:p w14:paraId="436EB44B" w14:textId="171E9235" w:rsidR="00BC40E3" w:rsidRDefault="00BC40E3" w:rsidP="00EE5290">
      <w:pPr>
        <w:jc w:val="center"/>
        <w:rPr>
          <w:rFonts w:cstheme="minorHAnsi"/>
          <w:b/>
          <w:bCs/>
          <w:sz w:val="28"/>
          <w:szCs w:val="28"/>
        </w:rPr>
      </w:pPr>
    </w:p>
    <w:p w14:paraId="11474DE4" w14:textId="77777777" w:rsidR="00BC40E3" w:rsidRDefault="00BC40E3" w:rsidP="00EE5290">
      <w:pPr>
        <w:jc w:val="center"/>
        <w:rPr>
          <w:rFonts w:cstheme="minorHAnsi"/>
          <w:b/>
          <w:bCs/>
          <w:sz w:val="28"/>
          <w:szCs w:val="28"/>
        </w:rPr>
      </w:pPr>
    </w:p>
    <w:p w14:paraId="502AA2A4" w14:textId="77777777" w:rsidR="00BC40E3" w:rsidRDefault="00BC40E3" w:rsidP="00EE5290">
      <w:pPr>
        <w:jc w:val="center"/>
        <w:rPr>
          <w:rFonts w:cstheme="minorHAnsi"/>
          <w:b/>
          <w:bCs/>
          <w:sz w:val="28"/>
          <w:szCs w:val="28"/>
        </w:rPr>
      </w:pPr>
    </w:p>
    <w:p w14:paraId="77FC64C5" w14:textId="77777777" w:rsidR="00500CDC" w:rsidRDefault="00500CDC" w:rsidP="00500CDC">
      <w:pPr>
        <w:rPr>
          <w:rFonts w:cstheme="minorHAnsi"/>
          <w:b/>
          <w:bCs/>
          <w:sz w:val="28"/>
          <w:szCs w:val="28"/>
        </w:rPr>
      </w:pPr>
    </w:p>
    <w:p w14:paraId="07EE4073" w14:textId="77777777" w:rsidR="00334522" w:rsidRDefault="00334522" w:rsidP="00EE5290">
      <w:pPr>
        <w:jc w:val="center"/>
        <w:rPr>
          <w:rFonts w:cstheme="minorHAnsi"/>
          <w:b/>
          <w:bCs/>
          <w:sz w:val="28"/>
          <w:szCs w:val="28"/>
        </w:rPr>
      </w:pPr>
    </w:p>
    <w:p w14:paraId="3C0115F9" w14:textId="77777777" w:rsidR="00334522" w:rsidRDefault="00334522" w:rsidP="00EE5290">
      <w:pPr>
        <w:jc w:val="center"/>
        <w:rPr>
          <w:rFonts w:cstheme="minorHAnsi"/>
          <w:b/>
          <w:bCs/>
          <w:sz w:val="28"/>
          <w:szCs w:val="28"/>
        </w:rPr>
      </w:pPr>
    </w:p>
    <w:p w14:paraId="00C5CCDB" w14:textId="77777777" w:rsidR="00334522" w:rsidRDefault="00334522" w:rsidP="00EE5290">
      <w:pPr>
        <w:jc w:val="center"/>
        <w:rPr>
          <w:rFonts w:cstheme="minorHAnsi"/>
          <w:b/>
          <w:bCs/>
          <w:sz w:val="28"/>
          <w:szCs w:val="28"/>
        </w:rPr>
      </w:pPr>
    </w:p>
    <w:p w14:paraId="15890D90" w14:textId="77777777" w:rsidR="00334522" w:rsidRDefault="00334522" w:rsidP="00EE5290">
      <w:pPr>
        <w:jc w:val="center"/>
        <w:rPr>
          <w:rFonts w:cstheme="minorHAnsi"/>
          <w:b/>
          <w:bCs/>
          <w:sz w:val="28"/>
          <w:szCs w:val="28"/>
        </w:rPr>
      </w:pPr>
    </w:p>
    <w:p w14:paraId="59821E5A" w14:textId="77777777" w:rsidR="00334522" w:rsidRDefault="00334522" w:rsidP="00EE5290">
      <w:pPr>
        <w:jc w:val="center"/>
        <w:rPr>
          <w:rFonts w:cstheme="minorHAnsi"/>
          <w:b/>
          <w:bCs/>
          <w:sz w:val="28"/>
          <w:szCs w:val="28"/>
        </w:rPr>
      </w:pPr>
    </w:p>
    <w:p w14:paraId="187AE647" w14:textId="77777777" w:rsidR="00334522" w:rsidRDefault="00334522" w:rsidP="00EE5290">
      <w:pPr>
        <w:jc w:val="center"/>
        <w:rPr>
          <w:rFonts w:cstheme="minorHAnsi"/>
          <w:b/>
          <w:bCs/>
          <w:sz w:val="28"/>
          <w:szCs w:val="28"/>
        </w:rPr>
      </w:pPr>
    </w:p>
    <w:p w14:paraId="785DD303" w14:textId="77777777" w:rsidR="00334522" w:rsidRDefault="00334522" w:rsidP="00EE5290">
      <w:pPr>
        <w:jc w:val="center"/>
        <w:rPr>
          <w:rFonts w:cstheme="minorHAnsi"/>
          <w:b/>
          <w:bCs/>
          <w:sz w:val="28"/>
          <w:szCs w:val="28"/>
        </w:rPr>
      </w:pPr>
    </w:p>
    <w:p w14:paraId="1E0EE892" w14:textId="77777777" w:rsidR="00334522" w:rsidRDefault="00334522" w:rsidP="00EE5290">
      <w:pPr>
        <w:jc w:val="center"/>
        <w:rPr>
          <w:rFonts w:cstheme="minorHAnsi"/>
          <w:b/>
          <w:bCs/>
          <w:sz w:val="28"/>
          <w:szCs w:val="28"/>
        </w:rPr>
      </w:pPr>
    </w:p>
    <w:p w14:paraId="4BE0E2E9" w14:textId="77777777" w:rsidR="00334522" w:rsidRDefault="00334522" w:rsidP="00EE5290">
      <w:pPr>
        <w:jc w:val="center"/>
        <w:rPr>
          <w:rFonts w:cstheme="minorHAnsi"/>
          <w:b/>
          <w:bCs/>
          <w:sz w:val="28"/>
          <w:szCs w:val="28"/>
        </w:rPr>
      </w:pPr>
    </w:p>
    <w:p w14:paraId="49733E70" w14:textId="77777777" w:rsidR="00334522" w:rsidRDefault="00334522" w:rsidP="00EE5290">
      <w:pPr>
        <w:jc w:val="center"/>
        <w:rPr>
          <w:rFonts w:cstheme="minorHAnsi"/>
          <w:b/>
          <w:bCs/>
          <w:sz w:val="28"/>
          <w:szCs w:val="28"/>
        </w:rPr>
      </w:pPr>
    </w:p>
    <w:p w14:paraId="5B80883E" w14:textId="77777777" w:rsidR="00334522" w:rsidRDefault="00334522" w:rsidP="00EE5290">
      <w:pPr>
        <w:jc w:val="center"/>
        <w:rPr>
          <w:rFonts w:cstheme="minorHAnsi"/>
          <w:b/>
          <w:bCs/>
          <w:sz w:val="28"/>
          <w:szCs w:val="28"/>
        </w:rPr>
      </w:pPr>
    </w:p>
    <w:p w14:paraId="71042F9E" w14:textId="77777777" w:rsidR="00334522" w:rsidRDefault="00334522" w:rsidP="00EE5290">
      <w:pPr>
        <w:jc w:val="center"/>
        <w:rPr>
          <w:rFonts w:cstheme="minorHAnsi"/>
          <w:b/>
          <w:bCs/>
          <w:sz w:val="28"/>
          <w:szCs w:val="28"/>
        </w:rPr>
      </w:pPr>
    </w:p>
    <w:p w14:paraId="4B3A07EB" w14:textId="77777777" w:rsidR="007E6537" w:rsidRDefault="007E6537" w:rsidP="00EE5290">
      <w:pPr>
        <w:jc w:val="center"/>
        <w:rPr>
          <w:rFonts w:cstheme="minorHAnsi"/>
          <w:b/>
          <w:bCs/>
          <w:sz w:val="28"/>
          <w:szCs w:val="28"/>
        </w:rPr>
      </w:pPr>
    </w:p>
    <w:p w14:paraId="414C9873" w14:textId="77777777" w:rsidR="007E6537" w:rsidRDefault="007E6537" w:rsidP="00EE5290">
      <w:pPr>
        <w:jc w:val="center"/>
        <w:rPr>
          <w:rFonts w:cstheme="minorHAnsi"/>
          <w:b/>
          <w:bCs/>
          <w:sz w:val="28"/>
          <w:szCs w:val="28"/>
        </w:rPr>
      </w:pPr>
    </w:p>
    <w:p w14:paraId="25BC55E0" w14:textId="77777777" w:rsidR="007E6537" w:rsidRDefault="007E6537" w:rsidP="00EE5290">
      <w:pPr>
        <w:jc w:val="center"/>
        <w:rPr>
          <w:rFonts w:cstheme="minorHAnsi"/>
          <w:b/>
          <w:bCs/>
          <w:sz w:val="28"/>
          <w:szCs w:val="28"/>
        </w:rPr>
      </w:pPr>
    </w:p>
    <w:p w14:paraId="70A28321" w14:textId="77777777" w:rsidR="007E6537" w:rsidRDefault="007E6537" w:rsidP="00EE5290">
      <w:pPr>
        <w:jc w:val="center"/>
        <w:rPr>
          <w:rFonts w:cstheme="minorHAnsi"/>
          <w:b/>
          <w:bCs/>
          <w:sz w:val="28"/>
          <w:szCs w:val="28"/>
        </w:rPr>
      </w:pPr>
    </w:p>
    <w:p w14:paraId="423F49B0" w14:textId="77777777" w:rsidR="007E6537" w:rsidRDefault="007E6537" w:rsidP="00EE5290">
      <w:pPr>
        <w:jc w:val="center"/>
        <w:rPr>
          <w:rFonts w:cstheme="minorHAnsi"/>
          <w:b/>
          <w:bCs/>
          <w:sz w:val="28"/>
          <w:szCs w:val="28"/>
        </w:rPr>
      </w:pPr>
    </w:p>
    <w:p w14:paraId="7E89C90E" w14:textId="77777777" w:rsidR="007E6537" w:rsidRDefault="007E6537" w:rsidP="00EE5290">
      <w:pPr>
        <w:jc w:val="center"/>
        <w:rPr>
          <w:rFonts w:cstheme="minorHAnsi"/>
          <w:b/>
          <w:bCs/>
          <w:sz w:val="28"/>
          <w:szCs w:val="28"/>
        </w:rPr>
      </w:pPr>
    </w:p>
    <w:p w14:paraId="39399EE8" w14:textId="77777777" w:rsidR="007E6537" w:rsidRDefault="007E6537" w:rsidP="00EE5290">
      <w:pPr>
        <w:jc w:val="center"/>
        <w:rPr>
          <w:rFonts w:cstheme="minorHAnsi"/>
          <w:b/>
          <w:bCs/>
          <w:sz w:val="28"/>
          <w:szCs w:val="28"/>
        </w:rPr>
      </w:pPr>
    </w:p>
    <w:p w14:paraId="66A68B94" w14:textId="77777777" w:rsidR="007E6537" w:rsidRDefault="007E6537" w:rsidP="00EE5290">
      <w:pPr>
        <w:jc w:val="center"/>
        <w:rPr>
          <w:rFonts w:cstheme="minorHAnsi"/>
          <w:b/>
          <w:bCs/>
          <w:sz w:val="28"/>
          <w:szCs w:val="28"/>
        </w:rPr>
      </w:pPr>
    </w:p>
    <w:p w14:paraId="6F51D70F" w14:textId="77777777" w:rsidR="007E6537" w:rsidRDefault="007E6537" w:rsidP="00EE5290">
      <w:pPr>
        <w:jc w:val="center"/>
        <w:rPr>
          <w:rFonts w:cstheme="minorHAnsi"/>
          <w:b/>
          <w:bCs/>
          <w:sz w:val="28"/>
          <w:szCs w:val="28"/>
        </w:rPr>
      </w:pPr>
    </w:p>
    <w:p w14:paraId="6EEF8B72" w14:textId="77777777" w:rsidR="007E6537" w:rsidRDefault="007E6537" w:rsidP="00EE5290">
      <w:pPr>
        <w:jc w:val="center"/>
        <w:rPr>
          <w:rFonts w:cstheme="minorHAnsi"/>
          <w:b/>
          <w:bCs/>
          <w:sz w:val="28"/>
          <w:szCs w:val="28"/>
        </w:rPr>
      </w:pPr>
    </w:p>
    <w:p w14:paraId="612EE715" w14:textId="77777777" w:rsidR="00B43AA8" w:rsidRDefault="00B43AA8" w:rsidP="00EE5290">
      <w:pPr>
        <w:jc w:val="center"/>
        <w:rPr>
          <w:rFonts w:cstheme="minorHAnsi"/>
          <w:b/>
          <w:bCs/>
          <w:sz w:val="28"/>
          <w:szCs w:val="28"/>
        </w:rPr>
      </w:pPr>
    </w:p>
    <w:p w14:paraId="1B655E62" w14:textId="77777777" w:rsidR="00B43AA8" w:rsidRDefault="00B43AA8" w:rsidP="00EE5290">
      <w:pPr>
        <w:jc w:val="center"/>
        <w:rPr>
          <w:rFonts w:cstheme="minorHAnsi"/>
          <w:b/>
          <w:bCs/>
          <w:sz w:val="28"/>
          <w:szCs w:val="28"/>
        </w:rPr>
      </w:pPr>
    </w:p>
    <w:p w14:paraId="01E4FC98" w14:textId="77777777" w:rsidR="00B43AA8" w:rsidRDefault="00B43AA8" w:rsidP="00EE5290">
      <w:pPr>
        <w:jc w:val="center"/>
        <w:rPr>
          <w:rFonts w:cstheme="minorHAnsi"/>
          <w:b/>
          <w:bCs/>
          <w:sz w:val="28"/>
          <w:szCs w:val="28"/>
        </w:rPr>
      </w:pPr>
    </w:p>
    <w:p w14:paraId="499AF0BC" w14:textId="77777777" w:rsidR="00B43AA8" w:rsidRDefault="00B43AA8" w:rsidP="00EE5290">
      <w:pPr>
        <w:jc w:val="center"/>
        <w:rPr>
          <w:rFonts w:cstheme="minorHAnsi"/>
          <w:b/>
          <w:bCs/>
          <w:sz w:val="28"/>
          <w:szCs w:val="28"/>
        </w:rPr>
      </w:pPr>
    </w:p>
    <w:p w14:paraId="4F153E7B" w14:textId="77777777" w:rsidR="00B43AA8" w:rsidRDefault="00B43AA8" w:rsidP="00EE5290">
      <w:pPr>
        <w:jc w:val="center"/>
        <w:rPr>
          <w:rFonts w:cstheme="minorHAnsi"/>
          <w:b/>
          <w:bCs/>
          <w:sz w:val="28"/>
          <w:szCs w:val="28"/>
        </w:rPr>
      </w:pPr>
    </w:p>
    <w:p w14:paraId="21572B3A" w14:textId="77777777" w:rsidR="00B43AA8" w:rsidRDefault="00B43AA8" w:rsidP="00EE5290">
      <w:pPr>
        <w:jc w:val="center"/>
        <w:rPr>
          <w:rFonts w:cstheme="minorHAnsi"/>
          <w:b/>
          <w:bCs/>
          <w:sz w:val="28"/>
          <w:szCs w:val="28"/>
        </w:rPr>
      </w:pPr>
    </w:p>
    <w:p w14:paraId="3DE8CCC5" w14:textId="77777777" w:rsidR="00B43AA8" w:rsidRDefault="00B43AA8" w:rsidP="00EE5290">
      <w:pPr>
        <w:jc w:val="center"/>
        <w:rPr>
          <w:rFonts w:cstheme="minorHAnsi"/>
          <w:b/>
          <w:bCs/>
          <w:sz w:val="28"/>
          <w:szCs w:val="28"/>
        </w:rPr>
      </w:pPr>
    </w:p>
    <w:p w14:paraId="7277D105" w14:textId="77777777" w:rsidR="00B43AA8" w:rsidRDefault="00B43AA8" w:rsidP="00EE5290">
      <w:pPr>
        <w:jc w:val="center"/>
        <w:rPr>
          <w:rFonts w:cstheme="minorHAnsi"/>
          <w:b/>
          <w:bCs/>
          <w:sz w:val="28"/>
          <w:szCs w:val="28"/>
        </w:rPr>
      </w:pPr>
    </w:p>
    <w:p w14:paraId="3AEA0D39" w14:textId="77777777" w:rsidR="00B43AA8" w:rsidRDefault="00B43AA8" w:rsidP="00EE5290">
      <w:pPr>
        <w:jc w:val="center"/>
        <w:rPr>
          <w:rFonts w:cstheme="minorHAnsi"/>
          <w:b/>
          <w:bCs/>
          <w:sz w:val="28"/>
          <w:szCs w:val="28"/>
        </w:rPr>
      </w:pPr>
    </w:p>
    <w:p w14:paraId="5EE2D81E" w14:textId="77777777" w:rsidR="00B43AA8" w:rsidRDefault="00B43AA8" w:rsidP="00EE5290">
      <w:pPr>
        <w:jc w:val="center"/>
        <w:rPr>
          <w:rFonts w:cstheme="minorHAnsi"/>
          <w:b/>
          <w:bCs/>
          <w:sz w:val="28"/>
          <w:szCs w:val="28"/>
        </w:rPr>
      </w:pPr>
    </w:p>
    <w:p w14:paraId="25E2EB48" w14:textId="77777777" w:rsidR="00B43AA8" w:rsidRDefault="00B43AA8" w:rsidP="00EE5290">
      <w:pPr>
        <w:jc w:val="center"/>
        <w:rPr>
          <w:rFonts w:cstheme="minorHAnsi"/>
          <w:b/>
          <w:bCs/>
          <w:sz w:val="28"/>
          <w:szCs w:val="28"/>
        </w:rPr>
      </w:pPr>
    </w:p>
    <w:p w14:paraId="0D96E57D" w14:textId="77777777" w:rsidR="00B43AA8" w:rsidRDefault="00B43AA8" w:rsidP="00EE5290">
      <w:pPr>
        <w:jc w:val="center"/>
        <w:rPr>
          <w:rFonts w:cstheme="minorHAnsi"/>
          <w:b/>
          <w:bCs/>
          <w:sz w:val="28"/>
          <w:szCs w:val="28"/>
        </w:rPr>
      </w:pPr>
    </w:p>
    <w:p w14:paraId="7866F960" w14:textId="77777777" w:rsidR="007E6537" w:rsidRDefault="007E6537" w:rsidP="0076310A">
      <w:pPr>
        <w:rPr>
          <w:rFonts w:cstheme="minorHAnsi"/>
          <w:b/>
          <w:bCs/>
          <w:sz w:val="28"/>
          <w:szCs w:val="28"/>
        </w:rPr>
      </w:pPr>
    </w:p>
    <w:p w14:paraId="5B5A7DE4" w14:textId="77777777" w:rsidR="007E6537" w:rsidRDefault="007E6537" w:rsidP="00EE5290">
      <w:pPr>
        <w:jc w:val="center"/>
        <w:rPr>
          <w:rFonts w:cstheme="minorHAnsi"/>
          <w:b/>
          <w:bCs/>
          <w:sz w:val="28"/>
          <w:szCs w:val="28"/>
        </w:rPr>
      </w:pPr>
    </w:p>
    <w:p w14:paraId="24926CF7" w14:textId="77777777" w:rsidR="007E6537" w:rsidRPr="005B4B27" w:rsidRDefault="007E6537" w:rsidP="007E6537">
      <w:pPr>
        <w:jc w:val="center"/>
        <w:rPr>
          <w:rFonts w:cstheme="minorHAnsi"/>
          <w:sz w:val="22"/>
          <w:szCs w:val="22"/>
        </w:rPr>
      </w:pPr>
      <w:r w:rsidRPr="005B4B27">
        <w:rPr>
          <w:rFonts w:cstheme="minorHAnsi"/>
          <w:sz w:val="22"/>
          <w:szCs w:val="22"/>
        </w:rPr>
        <w:t xml:space="preserve">Este documento ha sido desarrollado desde el  </w:t>
      </w:r>
    </w:p>
    <w:p w14:paraId="206B00D8" w14:textId="3051CB44" w:rsidR="007E6537" w:rsidRPr="005B4B27" w:rsidRDefault="007E6537" w:rsidP="007E6537">
      <w:pPr>
        <w:jc w:val="center"/>
        <w:rPr>
          <w:rFonts w:cstheme="minorHAnsi"/>
          <w:sz w:val="22"/>
          <w:szCs w:val="22"/>
        </w:rPr>
      </w:pPr>
      <w:r w:rsidRPr="005B4B27">
        <w:rPr>
          <w:rFonts w:cstheme="minorHAnsi"/>
          <w:b/>
          <w:bCs/>
          <w:sz w:val="22"/>
          <w:szCs w:val="22"/>
        </w:rPr>
        <w:t xml:space="preserve">Centro de </w:t>
      </w:r>
      <w:r>
        <w:rPr>
          <w:rFonts w:cstheme="minorHAnsi"/>
          <w:b/>
          <w:bCs/>
          <w:sz w:val="22"/>
          <w:szCs w:val="22"/>
        </w:rPr>
        <w:t xml:space="preserve">Investigación en Ciencias del </w:t>
      </w:r>
      <w:r w:rsidRPr="005B4B27">
        <w:rPr>
          <w:rFonts w:cstheme="minorHAnsi"/>
          <w:b/>
          <w:bCs/>
          <w:sz w:val="22"/>
          <w:szCs w:val="22"/>
        </w:rPr>
        <w:t xml:space="preserve">Deporte de la Universidad Rey Juan Carlos, </w:t>
      </w:r>
    </w:p>
    <w:p w14:paraId="22F5EA97" w14:textId="680A48CA" w:rsidR="007E6537" w:rsidRDefault="007E6537" w:rsidP="007E6537">
      <w:pPr>
        <w:jc w:val="center"/>
        <w:rPr>
          <w:rFonts w:cstheme="minorHAnsi"/>
          <w:sz w:val="22"/>
          <w:szCs w:val="22"/>
        </w:rPr>
      </w:pPr>
      <w:r>
        <w:rPr>
          <w:rFonts w:cstheme="minorHAnsi"/>
          <w:sz w:val="22"/>
          <w:szCs w:val="22"/>
        </w:rPr>
        <w:t xml:space="preserve">con la colaboración </w:t>
      </w:r>
      <w:r w:rsidRPr="005B4B27">
        <w:rPr>
          <w:rFonts w:cstheme="minorHAnsi"/>
          <w:sz w:val="22"/>
          <w:szCs w:val="22"/>
        </w:rPr>
        <w:t xml:space="preserve">de </w:t>
      </w:r>
      <w:r>
        <w:rPr>
          <w:rFonts w:cstheme="minorHAnsi"/>
          <w:sz w:val="22"/>
          <w:szCs w:val="22"/>
        </w:rPr>
        <w:t xml:space="preserve">la Conferencia de Decanos de Centros Universitarios </w:t>
      </w:r>
    </w:p>
    <w:p w14:paraId="0DD94761" w14:textId="77777777" w:rsidR="00DD07DB" w:rsidRDefault="007E6537" w:rsidP="00DD07DB">
      <w:pPr>
        <w:jc w:val="center"/>
        <w:rPr>
          <w:rFonts w:cstheme="minorHAnsi"/>
          <w:sz w:val="22"/>
          <w:szCs w:val="22"/>
        </w:rPr>
      </w:pPr>
      <w:r>
        <w:rPr>
          <w:rFonts w:cstheme="minorHAnsi"/>
          <w:sz w:val="22"/>
          <w:szCs w:val="22"/>
        </w:rPr>
        <w:t xml:space="preserve">de Ciencias de la Actividad Física y del </w:t>
      </w:r>
      <w:r w:rsidRPr="005B4B27">
        <w:rPr>
          <w:rFonts w:cstheme="minorHAnsi"/>
          <w:sz w:val="22"/>
          <w:szCs w:val="22"/>
        </w:rPr>
        <w:t>Deporte</w:t>
      </w:r>
      <w:r w:rsidR="00874B51">
        <w:rPr>
          <w:rFonts w:cstheme="minorHAnsi"/>
          <w:sz w:val="22"/>
          <w:szCs w:val="22"/>
        </w:rPr>
        <w:t xml:space="preserve"> y el Observatorio </w:t>
      </w:r>
    </w:p>
    <w:p w14:paraId="4F35688A" w14:textId="44D0805D" w:rsidR="007E6537" w:rsidRPr="005B4B27" w:rsidRDefault="00874B51" w:rsidP="00DD07DB">
      <w:pPr>
        <w:jc w:val="center"/>
        <w:rPr>
          <w:rFonts w:cstheme="minorHAnsi"/>
          <w:sz w:val="22"/>
          <w:szCs w:val="22"/>
        </w:rPr>
      </w:pPr>
      <w:r>
        <w:rPr>
          <w:rFonts w:cstheme="minorHAnsi"/>
          <w:sz w:val="22"/>
          <w:szCs w:val="22"/>
        </w:rPr>
        <w:t>de la Fundación España Activa</w:t>
      </w:r>
      <w:r w:rsidR="007E6537" w:rsidRPr="005B4B27">
        <w:rPr>
          <w:rFonts w:cstheme="minorHAnsi"/>
          <w:sz w:val="22"/>
          <w:szCs w:val="22"/>
        </w:rPr>
        <w:t>.</w:t>
      </w:r>
    </w:p>
    <w:p w14:paraId="4EF84D20" w14:textId="77777777" w:rsidR="007E6537" w:rsidRPr="005B4B27" w:rsidRDefault="007E6537" w:rsidP="007E6537">
      <w:pPr>
        <w:jc w:val="center"/>
        <w:rPr>
          <w:rFonts w:cstheme="minorHAnsi"/>
          <w:sz w:val="22"/>
          <w:szCs w:val="22"/>
        </w:rPr>
      </w:pPr>
    </w:p>
    <w:p w14:paraId="26B39A0C" w14:textId="77777777" w:rsidR="007E6537" w:rsidRPr="005B4B27" w:rsidRDefault="007E6537" w:rsidP="007E6537">
      <w:pPr>
        <w:jc w:val="center"/>
        <w:rPr>
          <w:rFonts w:cstheme="minorHAnsi"/>
          <w:sz w:val="22"/>
          <w:szCs w:val="22"/>
        </w:rPr>
      </w:pPr>
    </w:p>
    <w:p w14:paraId="53297488" w14:textId="77777777" w:rsidR="007E6537" w:rsidRPr="005B4B27" w:rsidRDefault="007E6537" w:rsidP="007E6537">
      <w:pPr>
        <w:jc w:val="center"/>
        <w:rPr>
          <w:rFonts w:cstheme="minorHAnsi"/>
          <w:sz w:val="22"/>
          <w:szCs w:val="22"/>
        </w:rPr>
      </w:pPr>
    </w:p>
    <w:p w14:paraId="78686BC1" w14:textId="77777777" w:rsidR="007E6537" w:rsidRDefault="007E6537" w:rsidP="007E6537">
      <w:pPr>
        <w:jc w:val="center"/>
        <w:rPr>
          <w:rFonts w:cstheme="minorHAnsi"/>
          <w:sz w:val="22"/>
          <w:szCs w:val="22"/>
        </w:rPr>
      </w:pPr>
    </w:p>
    <w:p w14:paraId="58FACFF6" w14:textId="77777777" w:rsidR="007E6537" w:rsidRDefault="007E6537" w:rsidP="007E6537">
      <w:pPr>
        <w:jc w:val="center"/>
        <w:rPr>
          <w:rFonts w:cstheme="minorHAnsi"/>
          <w:sz w:val="22"/>
          <w:szCs w:val="22"/>
        </w:rPr>
      </w:pPr>
    </w:p>
    <w:p w14:paraId="2908EC28" w14:textId="6E4ED02C" w:rsidR="007E6537" w:rsidRPr="005B4B27" w:rsidRDefault="00D226E2" w:rsidP="007E6537">
      <w:pPr>
        <w:jc w:val="center"/>
        <w:rPr>
          <w:rFonts w:cstheme="minorHAnsi"/>
          <w:sz w:val="22"/>
          <w:szCs w:val="22"/>
        </w:rPr>
      </w:pPr>
      <w:r>
        <w:rPr>
          <w:rFonts w:cstheme="minorHAnsi"/>
          <w:sz w:val="22"/>
          <w:szCs w:val="22"/>
        </w:rPr>
        <w:t xml:space="preserve">Septiembre </w:t>
      </w:r>
      <w:r w:rsidR="007E6537" w:rsidRPr="005B4B27">
        <w:rPr>
          <w:rFonts w:cstheme="minorHAnsi"/>
          <w:sz w:val="22"/>
          <w:szCs w:val="22"/>
        </w:rPr>
        <w:t>202</w:t>
      </w:r>
      <w:r w:rsidR="007E6537">
        <w:rPr>
          <w:rFonts w:cstheme="minorHAnsi"/>
          <w:sz w:val="22"/>
          <w:szCs w:val="22"/>
        </w:rPr>
        <w:t>3</w:t>
      </w:r>
    </w:p>
    <w:p w14:paraId="56588190" w14:textId="77777777" w:rsidR="007E6537" w:rsidRDefault="007E6537" w:rsidP="007E6537">
      <w:pPr>
        <w:rPr>
          <w:rFonts w:cstheme="minorHAnsi"/>
          <w:sz w:val="22"/>
          <w:szCs w:val="22"/>
        </w:rPr>
      </w:pPr>
    </w:p>
    <w:p w14:paraId="1C6F52A6" w14:textId="77777777" w:rsidR="007E6537" w:rsidRPr="005B4B27" w:rsidRDefault="007E6537" w:rsidP="007E6537">
      <w:pPr>
        <w:rPr>
          <w:rFonts w:cstheme="minorHAnsi"/>
          <w:sz w:val="22"/>
          <w:szCs w:val="22"/>
        </w:rPr>
      </w:pPr>
    </w:p>
    <w:p w14:paraId="75C25BE7" w14:textId="77777777" w:rsidR="007E6537" w:rsidRPr="005B4B27" w:rsidRDefault="007E6537" w:rsidP="007E6537">
      <w:pPr>
        <w:jc w:val="center"/>
        <w:rPr>
          <w:rFonts w:cstheme="minorHAnsi"/>
          <w:sz w:val="22"/>
          <w:szCs w:val="22"/>
        </w:rPr>
      </w:pPr>
    </w:p>
    <w:p w14:paraId="66047FB6" w14:textId="335814C9" w:rsidR="007E6537" w:rsidRPr="0076310A" w:rsidRDefault="0076310A" w:rsidP="007E6537">
      <w:pPr>
        <w:jc w:val="center"/>
        <w:rPr>
          <w:rFonts w:cstheme="minorHAnsi"/>
          <w:b/>
          <w:bCs/>
        </w:rPr>
      </w:pPr>
      <w:r w:rsidRPr="0076310A">
        <w:rPr>
          <w:rFonts w:cstheme="minorHAnsi"/>
          <w:b/>
          <w:bCs/>
        </w:rPr>
        <w:t>Autores:</w:t>
      </w:r>
    </w:p>
    <w:p w14:paraId="1B1E7146" w14:textId="77777777" w:rsidR="0076310A" w:rsidRDefault="0076310A" w:rsidP="007E6537">
      <w:pPr>
        <w:jc w:val="center"/>
        <w:rPr>
          <w:rFonts w:cstheme="minorHAnsi"/>
          <w:sz w:val="22"/>
          <w:szCs w:val="22"/>
        </w:rPr>
      </w:pPr>
    </w:p>
    <w:p w14:paraId="014E928E" w14:textId="77777777" w:rsidR="0076310A" w:rsidRDefault="0076310A" w:rsidP="007E6537">
      <w:pPr>
        <w:jc w:val="center"/>
        <w:rPr>
          <w:rFonts w:cstheme="minorHAnsi"/>
          <w:sz w:val="22"/>
          <w:szCs w:val="22"/>
        </w:rPr>
      </w:pPr>
      <w:r>
        <w:rPr>
          <w:rFonts w:cstheme="minorHAnsi"/>
          <w:sz w:val="22"/>
          <w:szCs w:val="22"/>
        </w:rPr>
        <w:t xml:space="preserve">Dr. Alfonso Jiménez Gutiérrez, Dra. Marcela González Gross, Dr. Juan Antonio Moreno Murcia, Dr. David J. Moscoso Sánchez, Ana C. Vallejo Gil, Dr. Carlos Lahoz Palacios, </w:t>
      </w:r>
    </w:p>
    <w:p w14:paraId="76ED4081" w14:textId="3E58F421" w:rsidR="0076310A" w:rsidRDefault="0076310A" w:rsidP="0076310A">
      <w:pPr>
        <w:jc w:val="center"/>
        <w:rPr>
          <w:rFonts w:cstheme="minorHAnsi"/>
          <w:sz w:val="22"/>
          <w:szCs w:val="22"/>
        </w:rPr>
      </w:pPr>
      <w:r>
        <w:rPr>
          <w:rFonts w:cstheme="minorHAnsi"/>
          <w:sz w:val="22"/>
          <w:szCs w:val="22"/>
        </w:rPr>
        <w:t xml:space="preserve">Dr. Santiago F. Gómez, Dra. Inés Nieto Romero, Dr. </w:t>
      </w:r>
      <w:proofErr w:type="spellStart"/>
      <w:r>
        <w:rPr>
          <w:rFonts w:cstheme="minorHAnsi"/>
          <w:sz w:val="22"/>
          <w:szCs w:val="22"/>
        </w:rPr>
        <w:t>Xian</w:t>
      </w:r>
      <w:proofErr w:type="spellEnd"/>
      <w:r>
        <w:rPr>
          <w:rFonts w:cstheme="minorHAnsi"/>
          <w:sz w:val="22"/>
          <w:szCs w:val="22"/>
        </w:rPr>
        <w:t xml:space="preserve"> Mayo </w:t>
      </w:r>
      <w:proofErr w:type="spellStart"/>
      <w:r>
        <w:rPr>
          <w:rFonts w:cstheme="minorHAnsi"/>
          <w:sz w:val="22"/>
          <w:szCs w:val="22"/>
        </w:rPr>
        <w:t>Mauriz</w:t>
      </w:r>
      <w:proofErr w:type="spellEnd"/>
    </w:p>
    <w:p w14:paraId="0BA29BC9" w14:textId="77777777" w:rsidR="0076310A" w:rsidRDefault="0076310A" w:rsidP="007E6537">
      <w:pPr>
        <w:jc w:val="center"/>
        <w:rPr>
          <w:rFonts w:cstheme="minorHAnsi"/>
          <w:sz w:val="22"/>
          <w:szCs w:val="22"/>
        </w:rPr>
      </w:pPr>
    </w:p>
    <w:p w14:paraId="581F9103" w14:textId="77777777" w:rsidR="0076310A" w:rsidRDefault="0076310A" w:rsidP="007E6537">
      <w:pPr>
        <w:jc w:val="center"/>
        <w:rPr>
          <w:rFonts w:cstheme="minorHAnsi"/>
          <w:sz w:val="22"/>
          <w:szCs w:val="22"/>
        </w:rPr>
      </w:pPr>
    </w:p>
    <w:p w14:paraId="2825E01F" w14:textId="7463200E" w:rsidR="0076310A" w:rsidRPr="0076310A" w:rsidRDefault="0076310A" w:rsidP="007E6537">
      <w:pPr>
        <w:jc w:val="center"/>
        <w:rPr>
          <w:rFonts w:cstheme="minorHAnsi"/>
          <w:b/>
          <w:bCs/>
        </w:rPr>
      </w:pPr>
      <w:r w:rsidRPr="0076310A">
        <w:rPr>
          <w:rFonts w:cstheme="minorHAnsi"/>
          <w:b/>
          <w:bCs/>
        </w:rPr>
        <w:t>Colaboradores:</w:t>
      </w:r>
    </w:p>
    <w:p w14:paraId="3EDC5971" w14:textId="77777777" w:rsidR="0076310A" w:rsidRDefault="0076310A" w:rsidP="007E6537">
      <w:pPr>
        <w:jc w:val="center"/>
        <w:rPr>
          <w:rFonts w:cstheme="minorHAnsi"/>
          <w:sz w:val="22"/>
          <w:szCs w:val="22"/>
        </w:rPr>
      </w:pPr>
    </w:p>
    <w:p w14:paraId="513C3BEE" w14:textId="6FE4D45F" w:rsidR="0076310A" w:rsidRDefault="0076310A" w:rsidP="007E6537">
      <w:pPr>
        <w:jc w:val="center"/>
        <w:rPr>
          <w:rFonts w:cstheme="minorHAnsi"/>
          <w:sz w:val="22"/>
          <w:szCs w:val="22"/>
        </w:rPr>
      </w:pPr>
      <w:r>
        <w:rPr>
          <w:rFonts w:cstheme="minorHAnsi"/>
          <w:sz w:val="22"/>
          <w:szCs w:val="22"/>
        </w:rPr>
        <w:t>Genís Según, Mar Ribera,</w:t>
      </w:r>
      <w:r w:rsidR="00B43AA8">
        <w:rPr>
          <w:rFonts w:cstheme="minorHAnsi"/>
          <w:sz w:val="22"/>
          <w:szCs w:val="22"/>
        </w:rPr>
        <w:t xml:space="preserve"> </w:t>
      </w:r>
      <w:r w:rsidR="0037670D">
        <w:rPr>
          <w:rFonts w:cstheme="minorHAnsi"/>
          <w:sz w:val="22"/>
          <w:szCs w:val="22"/>
        </w:rPr>
        <w:t xml:space="preserve">Miguel </w:t>
      </w:r>
      <w:proofErr w:type="spellStart"/>
      <w:r w:rsidR="0037670D">
        <w:rPr>
          <w:rFonts w:cstheme="minorHAnsi"/>
          <w:sz w:val="22"/>
          <w:szCs w:val="22"/>
        </w:rPr>
        <w:t>Ardanuy</w:t>
      </w:r>
      <w:proofErr w:type="spellEnd"/>
      <w:r w:rsidR="0037670D">
        <w:rPr>
          <w:rFonts w:cstheme="minorHAnsi"/>
          <w:sz w:val="22"/>
          <w:szCs w:val="22"/>
        </w:rPr>
        <w:t xml:space="preserve">, </w:t>
      </w:r>
      <w:r w:rsidR="00B43AA8">
        <w:rPr>
          <w:rFonts w:cstheme="minorHAnsi"/>
          <w:sz w:val="22"/>
          <w:szCs w:val="22"/>
        </w:rPr>
        <w:t>Alfonso Arroyo</w:t>
      </w:r>
      <w:r w:rsidR="00433BD9">
        <w:rPr>
          <w:rFonts w:cstheme="minorHAnsi"/>
          <w:sz w:val="22"/>
          <w:szCs w:val="22"/>
        </w:rPr>
        <w:t xml:space="preserve">, Dra. Margarita Pérez Ruiz, Dra. Raquel Aparicio Ugarriza, Alicia </w:t>
      </w:r>
      <w:proofErr w:type="spellStart"/>
      <w:r w:rsidR="00433BD9">
        <w:rPr>
          <w:rFonts w:cstheme="minorHAnsi"/>
          <w:sz w:val="22"/>
          <w:szCs w:val="22"/>
        </w:rPr>
        <w:t>Portals</w:t>
      </w:r>
      <w:proofErr w:type="spellEnd"/>
      <w:r w:rsidR="00433BD9">
        <w:rPr>
          <w:rFonts w:cstheme="minorHAnsi"/>
          <w:sz w:val="22"/>
          <w:szCs w:val="22"/>
        </w:rPr>
        <w:t xml:space="preserve"> </w:t>
      </w:r>
      <w:proofErr w:type="spellStart"/>
      <w:r w:rsidR="00433BD9">
        <w:rPr>
          <w:rFonts w:cstheme="minorHAnsi"/>
          <w:sz w:val="22"/>
          <w:szCs w:val="22"/>
        </w:rPr>
        <w:t>Riomao</w:t>
      </w:r>
      <w:proofErr w:type="spellEnd"/>
      <w:r w:rsidR="00433BD9">
        <w:rPr>
          <w:rFonts w:cstheme="minorHAnsi"/>
          <w:sz w:val="22"/>
          <w:szCs w:val="22"/>
        </w:rPr>
        <w:t xml:space="preserve">, </w:t>
      </w:r>
      <w:proofErr w:type="spellStart"/>
      <w:r w:rsidR="00433BD9">
        <w:rPr>
          <w:rFonts w:cstheme="minorHAnsi"/>
          <w:sz w:val="22"/>
          <w:szCs w:val="22"/>
        </w:rPr>
        <w:t>Asmaa</w:t>
      </w:r>
      <w:proofErr w:type="spellEnd"/>
      <w:r w:rsidR="00433BD9">
        <w:rPr>
          <w:rFonts w:cstheme="minorHAnsi"/>
          <w:sz w:val="22"/>
          <w:szCs w:val="22"/>
        </w:rPr>
        <w:t xml:space="preserve"> </w:t>
      </w:r>
      <w:proofErr w:type="spellStart"/>
      <w:r w:rsidR="00433BD9">
        <w:rPr>
          <w:rFonts w:cstheme="minorHAnsi"/>
          <w:sz w:val="22"/>
          <w:szCs w:val="22"/>
        </w:rPr>
        <w:t>Nehari</w:t>
      </w:r>
      <w:proofErr w:type="spellEnd"/>
    </w:p>
    <w:p w14:paraId="1A5BD1A9" w14:textId="77777777" w:rsidR="00DF3DF5" w:rsidRDefault="00DF3DF5" w:rsidP="00DF3DF5">
      <w:pPr>
        <w:rPr>
          <w:rFonts w:cstheme="minorHAnsi"/>
          <w:sz w:val="22"/>
          <w:szCs w:val="22"/>
        </w:rPr>
      </w:pPr>
    </w:p>
    <w:p w14:paraId="40C4D1CF" w14:textId="77777777" w:rsidR="00ED001B" w:rsidRDefault="00ED001B" w:rsidP="00EE5290">
      <w:pPr>
        <w:jc w:val="center"/>
        <w:rPr>
          <w:rFonts w:cstheme="minorHAnsi"/>
          <w:b/>
          <w:bCs/>
        </w:rPr>
      </w:pPr>
    </w:p>
    <w:p w14:paraId="16D61752" w14:textId="77777777" w:rsidR="00ED001B" w:rsidRDefault="00ED001B" w:rsidP="00EE5290">
      <w:pPr>
        <w:jc w:val="center"/>
        <w:rPr>
          <w:rFonts w:cstheme="minorHAnsi"/>
          <w:b/>
          <w:bCs/>
        </w:rPr>
      </w:pPr>
    </w:p>
    <w:p w14:paraId="52F94A44" w14:textId="77777777" w:rsidR="00ED001B" w:rsidRDefault="00ED001B" w:rsidP="00EE5290">
      <w:pPr>
        <w:jc w:val="center"/>
        <w:rPr>
          <w:rFonts w:cstheme="minorHAnsi"/>
          <w:b/>
          <w:bCs/>
        </w:rPr>
      </w:pPr>
    </w:p>
    <w:p w14:paraId="67990432" w14:textId="2E497424" w:rsidR="006A6D22" w:rsidRDefault="00EE5290" w:rsidP="00EE5290">
      <w:pPr>
        <w:jc w:val="center"/>
        <w:rPr>
          <w:rFonts w:cstheme="minorHAnsi"/>
          <w:b/>
          <w:bCs/>
        </w:rPr>
      </w:pPr>
      <w:r w:rsidRPr="0051709F">
        <w:rPr>
          <w:rFonts w:cstheme="minorHAnsi"/>
          <w:b/>
          <w:bCs/>
        </w:rPr>
        <w:t xml:space="preserve">Estrategia Nacional del </w:t>
      </w:r>
      <w:r w:rsidR="00BF7D2E" w:rsidRPr="0051709F">
        <w:rPr>
          <w:rFonts w:cstheme="minorHAnsi"/>
          <w:b/>
          <w:bCs/>
        </w:rPr>
        <w:t>F</w:t>
      </w:r>
      <w:r w:rsidRPr="0051709F">
        <w:rPr>
          <w:rFonts w:cstheme="minorHAnsi"/>
          <w:b/>
          <w:bCs/>
        </w:rPr>
        <w:t xml:space="preserve">omento del </w:t>
      </w:r>
      <w:r w:rsidR="00BF7D2E" w:rsidRPr="0051709F">
        <w:rPr>
          <w:rFonts w:cstheme="minorHAnsi"/>
          <w:b/>
          <w:bCs/>
        </w:rPr>
        <w:t>Deporte</w:t>
      </w:r>
      <w:r w:rsidR="00DF3DF5" w:rsidRPr="0051709F">
        <w:rPr>
          <w:rFonts w:cstheme="minorHAnsi"/>
          <w:b/>
          <w:bCs/>
        </w:rPr>
        <w:t xml:space="preserve"> </w:t>
      </w:r>
      <w:r w:rsidRPr="0051709F">
        <w:rPr>
          <w:rFonts w:cstheme="minorHAnsi"/>
          <w:b/>
          <w:bCs/>
        </w:rPr>
        <w:t xml:space="preserve">contra el </w:t>
      </w:r>
      <w:r w:rsidR="00BF7D2E" w:rsidRPr="0051709F">
        <w:rPr>
          <w:rFonts w:cstheme="minorHAnsi"/>
          <w:b/>
          <w:bCs/>
        </w:rPr>
        <w:t xml:space="preserve">Sedentarismo </w:t>
      </w:r>
    </w:p>
    <w:p w14:paraId="7FBF3663" w14:textId="1ACA8D3C" w:rsidR="00EE5290" w:rsidRPr="0051709F" w:rsidRDefault="00ED18AB" w:rsidP="00EE5290">
      <w:pPr>
        <w:jc w:val="center"/>
        <w:rPr>
          <w:rFonts w:cstheme="minorHAnsi"/>
          <w:b/>
          <w:bCs/>
        </w:rPr>
      </w:pPr>
      <w:r w:rsidRPr="0051709F">
        <w:rPr>
          <w:rFonts w:cstheme="minorHAnsi"/>
          <w:b/>
          <w:bCs/>
        </w:rPr>
        <w:t>y la Inactividad Física</w:t>
      </w:r>
    </w:p>
    <w:p w14:paraId="6CDC26DD" w14:textId="77777777" w:rsidR="00EE5290" w:rsidRPr="0051709F" w:rsidRDefault="00EE5290" w:rsidP="00EE5290">
      <w:pPr>
        <w:jc w:val="center"/>
        <w:rPr>
          <w:rFonts w:cstheme="minorHAnsi"/>
          <w:b/>
          <w:bCs/>
        </w:rPr>
      </w:pPr>
    </w:p>
    <w:p w14:paraId="07FDB565" w14:textId="77777777" w:rsidR="009E2CA0" w:rsidRPr="0051709F" w:rsidRDefault="009E2CA0" w:rsidP="009E2CA0">
      <w:pPr>
        <w:pStyle w:val="Ttulo1"/>
        <w:rPr>
          <w:rFonts w:asciiTheme="minorHAnsi" w:hAnsiTheme="minorHAnsi" w:cstheme="minorHAnsi"/>
          <w:sz w:val="24"/>
          <w:szCs w:val="24"/>
        </w:rPr>
      </w:pPr>
      <w:r w:rsidRPr="0051709F">
        <w:rPr>
          <w:rFonts w:asciiTheme="minorHAnsi" w:hAnsiTheme="minorHAnsi" w:cstheme="minorHAnsi"/>
          <w:sz w:val="24"/>
          <w:szCs w:val="24"/>
        </w:rPr>
        <w:t>Índice</w:t>
      </w:r>
    </w:p>
    <w:p w14:paraId="2B2497FE" w14:textId="77777777" w:rsidR="009E2CA0" w:rsidRPr="0051709F" w:rsidRDefault="009E2CA0" w:rsidP="009E2CA0">
      <w:pPr>
        <w:rPr>
          <w:rFonts w:cstheme="minorHAnsi"/>
          <w:color w:val="000000" w:themeColor="text1"/>
          <w:lang w:val="es-ES_tradnl"/>
        </w:rPr>
      </w:pPr>
    </w:p>
    <w:p w14:paraId="35E7BCDF" w14:textId="77777777" w:rsidR="009E2CA0" w:rsidRPr="0051709F" w:rsidRDefault="009E2CA0" w:rsidP="009E2CA0">
      <w:pPr>
        <w:rPr>
          <w:rFonts w:cstheme="minorHAnsi"/>
          <w:color w:val="000000" w:themeColor="text1"/>
          <w:lang w:val="es-ES_tradnl"/>
        </w:rPr>
      </w:pPr>
      <w:r w:rsidRPr="0051709F">
        <w:rPr>
          <w:rFonts w:cstheme="minorHAnsi"/>
          <w:color w:val="000000" w:themeColor="text1"/>
          <w:lang w:val="es-ES_tradnl"/>
        </w:rPr>
        <w:t>Resumen Ejecutivo.</w:t>
      </w:r>
    </w:p>
    <w:p w14:paraId="16458970" w14:textId="77777777" w:rsidR="009E2CA0" w:rsidRPr="0051709F" w:rsidRDefault="009E2CA0" w:rsidP="009E2CA0">
      <w:pPr>
        <w:rPr>
          <w:rFonts w:cstheme="minorHAnsi"/>
          <w:color w:val="000000" w:themeColor="text1"/>
          <w:lang w:val="es-ES_tradnl"/>
        </w:rPr>
      </w:pPr>
    </w:p>
    <w:p w14:paraId="04B639AD" w14:textId="77777777" w:rsidR="009E2CA0" w:rsidRPr="0051709F" w:rsidRDefault="009E2CA0" w:rsidP="009E2CA0">
      <w:pPr>
        <w:rPr>
          <w:rFonts w:cstheme="minorHAnsi"/>
          <w:color w:val="000000" w:themeColor="text1"/>
          <w:lang w:val="es-ES_tradnl"/>
        </w:rPr>
      </w:pPr>
      <w:r w:rsidRPr="0051709F">
        <w:rPr>
          <w:rFonts w:cstheme="minorHAnsi"/>
          <w:color w:val="000000" w:themeColor="text1"/>
          <w:lang w:val="es-ES_tradnl"/>
        </w:rPr>
        <w:t xml:space="preserve">#1. Contexto </w:t>
      </w:r>
    </w:p>
    <w:p w14:paraId="5DCF46DC" w14:textId="77777777" w:rsidR="009E2CA0" w:rsidRPr="0051709F" w:rsidRDefault="009E2CA0" w:rsidP="009E2CA0">
      <w:pPr>
        <w:rPr>
          <w:rFonts w:cstheme="minorHAnsi"/>
          <w:color w:val="000000" w:themeColor="text1"/>
          <w:lang w:val="es-ES_tradnl"/>
        </w:rPr>
      </w:pPr>
    </w:p>
    <w:p w14:paraId="73DE5BC8" w14:textId="77777777" w:rsidR="009E2CA0" w:rsidRPr="0051709F" w:rsidRDefault="009E2CA0" w:rsidP="009E2CA0">
      <w:pPr>
        <w:jc w:val="both"/>
        <w:rPr>
          <w:rFonts w:cstheme="minorHAnsi"/>
          <w:color w:val="000000" w:themeColor="text1"/>
          <w:lang w:val="es-ES_tradnl"/>
        </w:rPr>
      </w:pPr>
      <w:r w:rsidRPr="0051709F">
        <w:rPr>
          <w:rFonts w:cstheme="minorHAnsi"/>
          <w:color w:val="000000" w:themeColor="text1"/>
          <w:lang w:val="es-ES_tradnl"/>
        </w:rPr>
        <w:t xml:space="preserve">#2. Antecedentes. </w:t>
      </w:r>
    </w:p>
    <w:p w14:paraId="3473FD25" w14:textId="77777777" w:rsidR="009E2CA0" w:rsidRPr="0051709F" w:rsidRDefault="009E2CA0" w:rsidP="009E2CA0">
      <w:pPr>
        <w:rPr>
          <w:rFonts w:cstheme="minorHAnsi"/>
          <w:color w:val="000000" w:themeColor="text1"/>
          <w:lang w:val="es-ES_tradnl"/>
        </w:rPr>
      </w:pPr>
    </w:p>
    <w:p w14:paraId="60C34716" w14:textId="77777777" w:rsidR="009E2CA0" w:rsidRPr="0051709F" w:rsidRDefault="009E2CA0" w:rsidP="009E2CA0">
      <w:pPr>
        <w:jc w:val="both"/>
        <w:rPr>
          <w:rFonts w:cstheme="minorHAnsi"/>
          <w:color w:val="000000" w:themeColor="text1"/>
          <w:lang w:val="es-ES_tradnl"/>
        </w:rPr>
      </w:pPr>
      <w:r w:rsidRPr="0051709F">
        <w:rPr>
          <w:rFonts w:cstheme="minorHAnsi"/>
          <w:color w:val="000000" w:themeColor="text1"/>
          <w:lang w:val="es-ES_tradnl"/>
        </w:rPr>
        <w:t xml:space="preserve">#3. </w:t>
      </w:r>
      <w:r w:rsidRPr="0051709F">
        <w:rPr>
          <w:rFonts w:cstheme="minorHAnsi"/>
          <w:bCs/>
          <w:color w:val="000000"/>
          <w:shd w:val="clear" w:color="auto" w:fill="FFFFFF"/>
        </w:rPr>
        <w:t>Contexto internacional: Estrategias nacionales contra el sedentarismo y la inactividad física en los países miembros de la Unión Europea</w:t>
      </w:r>
    </w:p>
    <w:p w14:paraId="3E8AFE3E" w14:textId="77777777" w:rsidR="009E2CA0" w:rsidRPr="0051709F" w:rsidRDefault="009E2CA0" w:rsidP="009E2CA0">
      <w:pPr>
        <w:rPr>
          <w:rFonts w:cstheme="minorHAnsi"/>
          <w:color w:val="000000" w:themeColor="text1"/>
          <w:lang w:val="es-ES_tradnl"/>
        </w:rPr>
      </w:pPr>
    </w:p>
    <w:p w14:paraId="754875E6" w14:textId="77777777" w:rsidR="009E2CA0" w:rsidRPr="0051709F" w:rsidRDefault="009E2CA0" w:rsidP="009E2CA0">
      <w:pPr>
        <w:jc w:val="both"/>
        <w:rPr>
          <w:rFonts w:cstheme="minorHAnsi"/>
          <w:color w:val="000000" w:themeColor="text1"/>
        </w:rPr>
      </w:pPr>
      <w:r w:rsidRPr="0051709F">
        <w:rPr>
          <w:rFonts w:cstheme="minorHAnsi"/>
          <w:bCs/>
          <w:color w:val="000000"/>
          <w:shd w:val="clear" w:color="auto" w:fill="FFFFFF"/>
        </w:rPr>
        <w:t xml:space="preserve">#4. </w:t>
      </w:r>
      <w:r w:rsidRPr="0051709F">
        <w:rPr>
          <w:rFonts w:eastAsia="Montserrat" w:cstheme="minorHAnsi"/>
        </w:rPr>
        <w:t xml:space="preserve">La sociedad española: una estructura sociodemográfica, socioeconómica y cultural diversa, y sus implicaciones para el ecosistema del deporte y sus agentes </w:t>
      </w:r>
    </w:p>
    <w:p w14:paraId="77DFEF8A" w14:textId="77777777" w:rsidR="009E2CA0" w:rsidRPr="0051709F" w:rsidRDefault="009E2CA0" w:rsidP="009E2CA0">
      <w:pPr>
        <w:rPr>
          <w:rFonts w:cstheme="minorHAnsi"/>
          <w:color w:val="000000" w:themeColor="text1"/>
        </w:rPr>
      </w:pPr>
    </w:p>
    <w:p w14:paraId="64F56C0E" w14:textId="77777777" w:rsidR="009E2CA0" w:rsidRPr="001E6EBB" w:rsidRDefault="009E2CA0" w:rsidP="009E2CA0">
      <w:pPr>
        <w:pStyle w:val="Ttulo1"/>
        <w:spacing w:before="0"/>
        <w:jc w:val="both"/>
        <w:rPr>
          <w:rFonts w:asciiTheme="minorHAnsi" w:hAnsiTheme="minorHAnsi" w:cstheme="minorHAnsi"/>
          <w:b w:val="0"/>
          <w:bCs/>
          <w:color w:val="000000" w:themeColor="text1"/>
          <w:sz w:val="24"/>
          <w:szCs w:val="24"/>
        </w:rPr>
      </w:pPr>
      <w:r w:rsidRPr="001E6EBB">
        <w:rPr>
          <w:rFonts w:asciiTheme="minorHAnsi" w:eastAsia="Montserrat" w:hAnsiTheme="minorHAnsi" w:cstheme="minorHAnsi"/>
          <w:b w:val="0"/>
          <w:bCs/>
          <w:color w:val="000000" w:themeColor="text1"/>
          <w:sz w:val="24"/>
          <w:szCs w:val="24"/>
        </w:rPr>
        <w:t xml:space="preserve">#5. </w:t>
      </w:r>
      <w:r w:rsidRPr="001E6EBB">
        <w:rPr>
          <w:rFonts w:asciiTheme="minorHAnsi" w:hAnsiTheme="minorHAnsi" w:cstheme="minorHAnsi"/>
          <w:b w:val="0"/>
          <w:bCs/>
          <w:color w:val="000000" w:themeColor="text1"/>
          <w:sz w:val="24"/>
          <w:szCs w:val="24"/>
        </w:rPr>
        <w:t>La Estrategia Nacional del Fomento del Deporte contra el Sedentarismo y la Inactividad Física: Visión, Misión y Declaración de principios rectores</w:t>
      </w:r>
    </w:p>
    <w:p w14:paraId="363F36B8" w14:textId="77777777" w:rsidR="009E2CA0" w:rsidRPr="0051709F" w:rsidRDefault="009E2CA0" w:rsidP="009E2CA0">
      <w:pPr>
        <w:rPr>
          <w:rFonts w:cstheme="minorHAnsi"/>
          <w:color w:val="000000" w:themeColor="text1"/>
          <w:lang w:val="es-ES_tradnl"/>
        </w:rPr>
      </w:pPr>
    </w:p>
    <w:p w14:paraId="3222FE52" w14:textId="37EC7B49"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w:t>
      </w:r>
      <w:r w:rsidRPr="0051709F">
        <w:rPr>
          <w:rFonts w:cstheme="minorHAnsi"/>
          <w:color w:val="000000" w:themeColor="text1"/>
          <w:lang w:val="es-ES_tradnl"/>
        </w:rPr>
        <w:t>.</w:t>
      </w:r>
      <w:r w:rsidR="00C13402">
        <w:rPr>
          <w:rFonts w:cstheme="minorHAnsi"/>
          <w:color w:val="000000" w:themeColor="text1"/>
          <w:lang w:val="es-ES_tradnl"/>
        </w:rPr>
        <w:t>1.</w:t>
      </w:r>
      <w:r w:rsidRPr="0051709F">
        <w:rPr>
          <w:rFonts w:cstheme="minorHAnsi"/>
          <w:color w:val="000000" w:themeColor="text1"/>
          <w:lang w:val="es-ES_tradnl"/>
        </w:rPr>
        <w:t xml:space="preserve"> </w:t>
      </w:r>
      <w:r>
        <w:rPr>
          <w:rFonts w:cstheme="minorHAnsi"/>
          <w:color w:val="000000" w:themeColor="text1"/>
          <w:lang w:val="es-ES_tradnl"/>
        </w:rPr>
        <w:t>Metodología de Implementación, i</w:t>
      </w:r>
      <w:r w:rsidRPr="0051709F">
        <w:rPr>
          <w:rFonts w:cstheme="minorHAnsi"/>
          <w:color w:val="000000" w:themeColor="text1"/>
          <w:lang w:val="es-ES_tradnl"/>
        </w:rPr>
        <w:t xml:space="preserve">nvestigación, seguimiento y evaluación </w:t>
      </w:r>
    </w:p>
    <w:p w14:paraId="03836297" w14:textId="77777777" w:rsidR="009E2CA0" w:rsidRPr="0051709F" w:rsidRDefault="009E2CA0" w:rsidP="00C13402">
      <w:pPr>
        <w:ind w:left="708"/>
        <w:rPr>
          <w:rFonts w:cstheme="minorHAnsi"/>
          <w:color w:val="000000" w:themeColor="text1"/>
          <w:lang w:val="es-ES_tradnl"/>
        </w:rPr>
      </w:pPr>
    </w:p>
    <w:p w14:paraId="6269E351" w14:textId="1D76113C"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w:t>
      </w:r>
      <w:r w:rsidRPr="0051709F">
        <w:rPr>
          <w:rFonts w:cstheme="minorHAnsi"/>
          <w:color w:val="000000" w:themeColor="text1"/>
          <w:lang w:val="es-ES_tradnl"/>
        </w:rPr>
        <w:t>.</w:t>
      </w:r>
      <w:r w:rsidR="00C13402">
        <w:rPr>
          <w:rFonts w:cstheme="minorHAnsi"/>
          <w:color w:val="000000" w:themeColor="text1"/>
          <w:lang w:val="es-ES_tradnl"/>
        </w:rPr>
        <w:t>2</w:t>
      </w:r>
      <w:r w:rsidRPr="0051709F">
        <w:rPr>
          <w:rFonts w:cstheme="minorHAnsi"/>
          <w:color w:val="000000" w:themeColor="text1"/>
          <w:lang w:val="es-ES_tradnl"/>
        </w:rPr>
        <w:t xml:space="preserve"> Área de acción </w:t>
      </w:r>
      <w:r>
        <w:rPr>
          <w:rFonts w:cstheme="minorHAnsi"/>
          <w:color w:val="000000" w:themeColor="text1"/>
          <w:lang w:val="es-ES_tradnl"/>
        </w:rPr>
        <w:t>1</w:t>
      </w:r>
      <w:r w:rsidRPr="0051709F">
        <w:rPr>
          <w:rFonts w:cstheme="minorHAnsi"/>
          <w:color w:val="000000" w:themeColor="text1"/>
          <w:lang w:val="es-ES_tradnl"/>
        </w:rPr>
        <w:t xml:space="preserve">: Intervenciones en el contexto escolar: Niños y jóvenes </w:t>
      </w:r>
    </w:p>
    <w:p w14:paraId="13427791" w14:textId="77777777" w:rsidR="009E2CA0" w:rsidRPr="0051709F" w:rsidRDefault="009E2CA0" w:rsidP="00C13402">
      <w:pPr>
        <w:ind w:left="708"/>
        <w:rPr>
          <w:rFonts w:cstheme="minorHAnsi"/>
          <w:color w:val="000000" w:themeColor="text1"/>
          <w:lang w:val="es-ES_tradnl"/>
        </w:rPr>
      </w:pPr>
    </w:p>
    <w:p w14:paraId="77F1A0AE" w14:textId="2354ED57"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5.3</w:t>
      </w:r>
      <w:r w:rsidRPr="0051709F">
        <w:rPr>
          <w:rFonts w:cstheme="minorHAnsi"/>
          <w:color w:val="000000" w:themeColor="text1"/>
          <w:lang w:val="es-ES_tradnl"/>
        </w:rPr>
        <w:t xml:space="preserve"> Área de acción 3: Intervenciones en el ámbito de la Salud </w:t>
      </w:r>
    </w:p>
    <w:p w14:paraId="0BAE3D75" w14:textId="77777777" w:rsidR="009E2CA0" w:rsidRPr="0051709F" w:rsidRDefault="009E2CA0" w:rsidP="00C13402">
      <w:pPr>
        <w:ind w:left="708"/>
        <w:rPr>
          <w:rFonts w:cstheme="minorHAnsi"/>
          <w:color w:val="000000" w:themeColor="text1"/>
          <w:lang w:val="es-ES_tradnl"/>
        </w:rPr>
      </w:pPr>
    </w:p>
    <w:p w14:paraId="367869ED" w14:textId="4621AC86"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5.4</w:t>
      </w:r>
      <w:r w:rsidRPr="0051709F">
        <w:rPr>
          <w:rFonts w:cstheme="minorHAnsi"/>
          <w:color w:val="000000" w:themeColor="text1"/>
          <w:lang w:val="es-ES_tradnl"/>
        </w:rPr>
        <w:t xml:space="preserve"> Área de acción 4: Medio ambiente y desarrollo sostenible </w:t>
      </w:r>
    </w:p>
    <w:p w14:paraId="44847A52" w14:textId="77777777" w:rsidR="009E2CA0" w:rsidRPr="0051709F" w:rsidRDefault="009E2CA0" w:rsidP="00C13402">
      <w:pPr>
        <w:ind w:left="708"/>
        <w:rPr>
          <w:rFonts w:cstheme="minorHAnsi"/>
          <w:color w:val="000000" w:themeColor="text1"/>
          <w:lang w:val="es-ES_tradnl"/>
        </w:rPr>
      </w:pPr>
    </w:p>
    <w:p w14:paraId="295571BC" w14:textId="669744E8"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5.5</w:t>
      </w:r>
      <w:r w:rsidRPr="0051709F">
        <w:rPr>
          <w:rFonts w:cstheme="minorHAnsi"/>
          <w:color w:val="000000" w:themeColor="text1"/>
          <w:lang w:val="es-ES_tradnl"/>
        </w:rPr>
        <w:t xml:space="preserve"> Área de acción 5: Intervenciones en los entornos laborales </w:t>
      </w:r>
    </w:p>
    <w:p w14:paraId="4DF8F9E2" w14:textId="77777777" w:rsidR="009E2CA0" w:rsidRPr="0051709F" w:rsidRDefault="009E2CA0" w:rsidP="00C13402">
      <w:pPr>
        <w:ind w:left="708"/>
        <w:rPr>
          <w:rFonts w:cstheme="minorHAnsi"/>
          <w:color w:val="000000" w:themeColor="text1"/>
          <w:lang w:val="es-ES_tradnl"/>
        </w:rPr>
      </w:pPr>
    </w:p>
    <w:p w14:paraId="639742F8" w14:textId="522D623B"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5.6</w:t>
      </w:r>
      <w:r w:rsidRPr="0051709F">
        <w:rPr>
          <w:rFonts w:cstheme="minorHAnsi"/>
          <w:color w:val="000000" w:themeColor="text1"/>
          <w:lang w:val="es-ES_tradnl"/>
        </w:rPr>
        <w:t xml:space="preserve"> Área de acción 6: Deporte y actividad física en la inclusión social </w:t>
      </w:r>
    </w:p>
    <w:p w14:paraId="3CF10534" w14:textId="77777777" w:rsidR="009E2CA0" w:rsidRPr="0051709F" w:rsidRDefault="009E2CA0" w:rsidP="00C13402">
      <w:pPr>
        <w:ind w:left="708"/>
        <w:rPr>
          <w:rFonts w:cstheme="minorHAnsi"/>
          <w:color w:val="000000" w:themeColor="text1"/>
          <w:lang w:val="es-ES_tradnl"/>
        </w:rPr>
      </w:pPr>
    </w:p>
    <w:p w14:paraId="05615EF5" w14:textId="0E398C43" w:rsidR="009E2CA0" w:rsidRPr="0051709F" w:rsidRDefault="009E2CA0" w:rsidP="00C13402">
      <w:pPr>
        <w:ind w:left="708"/>
        <w:rPr>
          <w:rFonts w:cstheme="minorHAnsi"/>
          <w:color w:val="000000" w:themeColor="text1"/>
          <w:lang w:val="es-ES_tradnl"/>
        </w:rPr>
      </w:pPr>
      <w:r w:rsidRPr="0051709F">
        <w:rPr>
          <w:rFonts w:cstheme="minorHAnsi"/>
          <w:color w:val="000000" w:themeColor="text1"/>
          <w:lang w:val="es-ES_tradnl"/>
        </w:rPr>
        <w:t>#</w:t>
      </w:r>
      <w:r w:rsidR="00C13402">
        <w:rPr>
          <w:rFonts w:cstheme="minorHAnsi"/>
          <w:color w:val="000000" w:themeColor="text1"/>
          <w:lang w:val="es-ES_tradnl"/>
        </w:rPr>
        <w:t>5.7</w:t>
      </w:r>
      <w:r w:rsidRPr="0051709F">
        <w:rPr>
          <w:rFonts w:cstheme="minorHAnsi"/>
          <w:color w:val="000000" w:themeColor="text1"/>
          <w:lang w:val="es-ES_tradnl"/>
        </w:rPr>
        <w:t xml:space="preserve"> Área de acción 7: Intervenciones en el entorno físico </w:t>
      </w:r>
    </w:p>
    <w:p w14:paraId="03847FED" w14:textId="77777777" w:rsidR="009E2CA0" w:rsidRPr="0051709F" w:rsidRDefault="009E2CA0" w:rsidP="009E2CA0">
      <w:pPr>
        <w:rPr>
          <w:rFonts w:cstheme="minorHAnsi"/>
          <w:color w:val="000000" w:themeColor="text1"/>
          <w:lang w:val="es-ES_tradnl"/>
        </w:rPr>
      </w:pPr>
    </w:p>
    <w:p w14:paraId="0D2C4CF1" w14:textId="77777777" w:rsidR="009E2CA0" w:rsidRPr="0051709F" w:rsidRDefault="009E2CA0" w:rsidP="009E2CA0">
      <w:pPr>
        <w:rPr>
          <w:rFonts w:cstheme="minorHAnsi"/>
          <w:color w:val="000000" w:themeColor="text1"/>
          <w:lang w:val="es-ES_tradnl"/>
        </w:rPr>
      </w:pPr>
    </w:p>
    <w:p w14:paraId="7790629C" w14:textId="6DEEF515" w:rsidR="009E2CA0" w:rsidRPr="0051709F" w:rsidRDefault="009E2CA0" w:rsidP="00F45DB3">
      <w:pPr>
        <w:ind w:firstLine="708"/>
        <w:rPr>
          <w:rFonts w:cstheme="minorHAnsi"/>
          <w:color w:val="000000" w:themeColor="text1"/>
          <w:lang w:val="es-ES_tradnl"/>
        </w:rPr>
      </w:pPr>
      <w:r w:rsidRPr="0051709F">
        <w:rPr>
          <w:rFonts w:cstheme="minorHAnsi"/>
          <w:color w:val="000000" w:themeColor="text1"/>
          <w:lang w:val="es-ES_tradnl"/>
        </w:rPr>
        <w:t xml:space="preserve">Acciones </w:t>
      </w:r>
      <w:r w:rsidR="009E16DD">
        <w:rPr>
          <w:rFonts w:cstheme="minorHAnsi"/>
          <w:color w:val="000000" w:themeColor="text1"/>
          <w:lang w:val="es-ES_tradnl"/>
        </w:rPr>
        <w:t>propuestas como parte de la Estrategia</w:t>
      </w:r>
    </w:p>
    <w:p w14:paraId="7923E930" w14:textId="77777777" w:rsidR="009E2CA0" w:rsidRPr="0051709F" w:rsidRDefault="009E2CA0" w:rsidP="009E2CA0">
      <w:pPr>
        <w:rPr>
          <w:rFonts w:cstheme="minorHAnsi"/>
          <w:color w:val="000000" w:themeColor="text1"/>
          <w:lang w:val="es-ES_tradnl"/>
        </w:rPr>
      </w:pPr>
    </w:p>
    <w:p w14:paraId="71B5D3A4" w14:textId="4A4B7B0A" w:rsidR="009E2CA0" w:rsidRPr="0051709F" w:rsidRDefault="009E2CA0" w:rsidP="009E2CA0">
      <w:pPr>
        <w:rPr>
          <w:rFonts w:cstheme="minorHAnsi"/>
          <w:color w:val="000000" w:themeColor="text1"/>
          <w:lang w:val="es-ES_tradnl"/>
        </w:rPr>
      </w:pPr>
      <w:r w:rsidRPr="0051709F">
        <w:rPr>
          <w:rFonts w:cstheme="minorHAnsi"/>
          <w:color w:val="000000" w:themeColor="text1"/>
          <w:lang w:val="es-ES_tradnl"/>
        </w:rPr>
        <w:t xml:space="preserve">Anexo </w:t>
      </w:r>
      <w:r w:rsidR="00F45DB3">
        <w:rPr>
          <w:rFonts w:cstheme="minorHAnsi"/>
          <w:color w:val="000000" w:themeColor="text1"/>
          <w:lang w:val="es-ES_tradnl"/>
        </w:rPr>
        <w:t>1</w:t>
      </w:r>
      <w:r w:rsidRPr="0051709F">
        <w:rPr>
          <w:rFonts w:cstheme="minorHAnsi"/>
          <w:color w:val="000000" w:themeColor="text1"/>
          <w:lang w:val="es-ES_tradnl"/>
        </w:rPr>
        <w:t>: Referencias.</w:t>
      </w:r>
    </w:p>
    <w:p w14:paraId="6785287F" w14:textId="77777777" w:rsidR="009E2CA0" w:rsidRPr="0051709F" w:rsidRDefault="009E2CA0" w:rsidP="009E2CA0">
      <w:pPr>
        <w:rPr>
          <w:rFonts w:cstheme="minorHAnsi"/>
          <w:color w:val="000000" w:themeColor="text1"/>
          <w:lang w:val="es-ES_tradnl"/>
        </w:rPr>
      </w:pPr>
    </w:p>
    <w:p w14:paraId="7A6F7BF5" w14:textId="67A8D894" w:rsidR="009E2CA0" w:rsidRPr="0051709F" w:rsidRDefault="009E2CA0" w:rsidP="009E2CA0">
      <w:pPr>
        <w:rPr>
          <w:rFonts w:cstheme="minorHAnsi"/>
          <w:color w:val="000000" w:themeColor="text1"/>
          <w:lang w:val="es-ES_tradnl"/>
        </w:rPr>
      </w:pPr>
      <w:r w:rsidRPr="0051709F">
        <w:rPr>
          <w:rFonts w:cstheme="minorHAnsi"/>
          <w:color w:val="000000" w:themeColor="text1"/>
          <w:lang w:val="es-ES_tradnl"/>
        </w:rPr>
        <w:t xml:space="preserve">Anexo </w:t>
      </w:r>
      <w:r w:rsidR="00F45DB3">
        <w:rPr>
          <w:rFonts w:cstheme="minorHAnsi"/>
          <w:color w:val="000000" w:themeColor="text1"/>
          <w:lang w:val="es-ES_tradnl"/>
        </w:rPr>
        <w:t>2</w:t>
      </w:r>
      <w:r w:rsidRPr="0051709F">
        <w:rPr>
          <w:rFonts w:cstheme="minorHAnsi"/>
          <w:color w:val="000000" w:themeColor="text1"/>
          <w:lang w:val="es-ES_tradnl"/>
        </w:rPr>
        <w:t>: Repositorio de buenas prácticas desarrolladas en España.</w:t>
      </w:r>
    </w:p>
    <w:p w14:paraId="21F34E75" w14:textId="77777777" w:rsidR="009E2CA0" w:rsidRPr="0051709F" w:rsidRDefault="009E2CA0" w:rsidP="009E2CA0">
      <w:pPr>
        <w:rPr>
          <w:rFonts w:cstheme="minorHAnsi"/>
          <w:color w:val="000000" w:themeColor="text1"/>
          <w:lang w:val="es-ES_tradnl"/>
        </w:rPr>
      </w:pPr>
    </w:p>
    <w:p w14:paraId="0E159A13" w14:textId="61FBD4E9" w:rsidR="009E2CA0" w:rsidRPr="0051709F" w:rsidRDefault="009E2CA0" w:rsidP="009E2CA0">
      <w:pPr>
        <w:rPr>
          <w:rFonts w:cstheme="minorHAnsi"/>
          <w:color w:val="000000" w:themeColor="text1"/>
          <w:lang w:val="es-ES_tradnl"/>
        </w:rPr>
      </w:pPr>
      <w:r w:rsidRPr="0051709F">
        <w:rPr>
          <w:rFonts w:cstheme="minorHAnsi"/>
          <w:color w:val="000000" w:themeColor="text1"/>
          <w:lang w:val="es-ES_tradnl"/>
        </w:rPr>
        <w:t xml:space="preserve">Anexo </w:t>
      </w:r>
      <w:r w:rsidR="00F45DB3">
        <w:rPr>
          <w:rFonts w:cstheme="minorHAnsi"/>
          <w:color w:val="000000" w:themeColor="text1"/>
          <w:lang w:val="es-ES_tradnl"/>
        </w:rPr>
        <w:t>3</w:t>
      </w:r>
      <w:r w:rsidRPr="0051709F">
        <w:rPr>
          <w:rFonts w:cstheme="minorHAnsi"/>
          <w:color w:val="000000" w:themeColor="text1"/>
          <w:lang w:val="es-ES_tradnl"/>
        </w:rPr>
        <w:t xml:space="preserve">: Equipo completo de autores y colaboradores de la propuesta. </w:t>
      </w:r>
    </w:p>
    <w:p w14:paraId="080726BE" w14:textId="77777777" w:rsidR="000703E5" w:rsidRPr="009E2CA0" w:rsidRDefault="000703E5" w:rsidP="0051709F">
      <w:pPr>
        <w:pStyle w:val="Ttulo1"/>
        <w:rPr>
          <w:rFonts w:asciiTheme="minorHAnsi" w:hAnsiTheme="minorHAnsi" w:cstheme="minorHAnsi"/>
          <w:sz w:val="28"/>
          <w:szCs w:val="28"/>
          <w:lang w:val="es-ES_tradnl"/>
        </w:rPr>
      </w:pPr>
    </w:p>
    <w:p w14:paraId="04FCEA07" w14:textId="77777777" w:rsidR="000703E5" w:rsidRDefault="000703E5" w:rsidP="0051709F">
      <w:pPr>
        <w:pStyle w:val="Ttulo1"/>
        <w:rPr>
          <w:rFonts w:asciiTheme="minorHAnsi" w:hAnsiTheme="minorHAnsi" w:cstheme="minorHAnsi"/>
          <w:sz w:val="28"/>
          <w:szCs w:val="28"/>
        </w:rPr>
      </w:pPr>
    </w:p>
    <w:p w14:paraId="3426DCE0" w14:textId="77777777" w:rsidR="000703E5" w:rsidRDefault="000703E5" w:rsidP="0051709F">
      <w:pPr>
        <w:pStyle w:val="Ttulo1"/>
        <w:rPr>
          <w:rFonts w:asciiTheme="minorHAnsi" w:hAnsiTheme="minorHAnsi" w:cstheme="minorHAnsi"/>
          <w:sz w:val="28"/>
          <w:szCs w:val="28"/>
        </w:rPr>
      </w:pPr>
    </w:p>
    <w:p w14:paraId="24E8347C" w14:textId="77777777" w:rsidR="000703E5" w:rsidRDefault="000703E5" w:rsidP="0051709F">
      <w:pPr>
        <w:pStyle w:val="Ttulo1"/>
        <w:rPr>
          <w:rFonts w:asciiTheme="minorHAnsi" w:hAnsiTheme="minorHAnsi" w:cstheme="minorHAnsi"/>
          <w:sz w:val="28"/>
          <w:szCs w:val="28"/>
        </w:rPr>
      </w:pPr>
    </w:p>
    <w:p w14:paraId="4FC31843" w14:textId="77777777" w:rsidR="000703E5" w:rsidRDefault="000703E5" w:rsidP="0051709F">
      <w:pPr>
        <w:pStyle w:val="Ttulo1"/>
        <w:rPr>
          <w:rFonts w:asciiTheme="minorHAnsi" w:hAnsiTheme="minorHAnsi" w:cstheme="minorHAnsi"/>
          <w:sz w:val="28"/>
          <w:szCs w:val="28"/>
        </w:rPr>
      </w:pPr>
    </w:p>
    <w:p w14:paraId="6CA33A08" w14:textId="77777777" w:rsidR="000703E5" w:rsidRDefault="000703E5" w:rsidP="0051709F">
      <w:pPr>
        <w:pStyle w:val="Ttulo1"/>
        <w:rPr>
          <w:rFonts w:asciiTheme="minorHAnsi" w:hAnsiTheme="minorHAnsi" w:cstheme="minorHAnsi"/>
          <w:sz w:val="28"/>
          <w:szCs w:val="28"/>
        </w:rPr>
      </w:pPr>
    </w:p>
    <w:p w14:paraId="1BBDF7D7" w14:textId="77777777" w:rsidR="000703E5" w:rsidRDefault="000703E5" w:rsidP="0051709F">
      <w:pPr>
        <w:pStyle w:val="Ttulo1"/>
        <w:rPr>
          <w:rFonts w:asciiTheme="minorHAnsi" w:hAnsiTheme="minorHAnsi" w:cstheme="minorHAnsi"/>
          <w:sz w:val="28"/>
          <w:szCs w:val="28"/>
        </w:rPr>
      </w:pPr>
    </w:p>
    <w:p w14:paraId="76D8484A" w14:textId="77777777" w:rsidR="000703E5" w:rsidRDefault="000703E5" w:rsidP="0051709F">
      <w:pPr>
        <w:pStyle w:val="Ttulo1"/>
        <w:rPr>
          <w:rFonts w:asciiTheme="minorHAnsi" w:hAnsiTheme="minorHAnsi" w:cstheme="minorHAnsi"/>
          <w:sz w:val="28"/>
          <w:szCs w:val="28"/>
        </w:rPr>
      </w:pPr>
    </w:p>
    <w:p w14:paraId="37E8C6B5" w14:textId="77777777" w:rsidR="000703E5" w:rsidRDefault="000703E5" w:rsidP="0051709F">
      <w:pPr>
        <w:pStyle w:val="Ttulo1"/>
        <w:rPr>
          <w:rFonts w:asciiTheme="minorHAnsi" w:hAnsiTheme="minorHAnsi" w:cstheme="minorHAnsi"/>
          <w:sz w:val="28"/>
          <w:szCs w:val="28"/>
        </w:rPr>
      </w:pPr>
    </w:p>
    <w:p w14:paraId="6090AF66" w14:textId="77777777" w:rsidR="000703E5" w:rsidRDefault="000703E5" w:rsidP="0051709F">
      <w:pPr>
        <w:pStyle w:val="Ttulo1"/>
        <w:rPr>
          <w:rFonts w:asciiTheme="minorHAnsi" w:hAnsiTheme="minorHAnsi" w:cstheme="minorHAnsi"/>
          <w:sz w:val="28"/>
          <w:szCs w:val="28"/>
        </w:rPr>
      </w:pPr>
    </w:p>
    <w:p w14:paraId="586A7F64" w14:textId="77777777" w:rsidR="000703E5" w:rsidRDefault="000703E5" w:rsidP="0051709F">
      <w:pPr>
        <w:pStyle w:val="Ttulo1"/>
        <w:rPr>
          <w:rFonts w:asciiTheme="minorHAnsi" w:hAnsiTheme="minorHAnsi" w:cstheme="minorHAnsi"/>
          <w:sz w:val="28"/>
          <w:szCs w:val="28"/>
        </w:rPr>
      </w:pPr>
    </w:p>
    <w:p w14:paraId="52ED4A18" w14:textId="77777777" w:rsidR="000703E5" w:rsidRDefault="000703E5" w:rsidP="000703E5"/>
    <w:p w14:paraId="66823AE2" w14:textId="77777777" w:rsidR="000703E5" w:rsidRDefault="000703E5" w:rsidP="000703E5"/>
    <w:p w14:paraId="52452A22" w14:textId="77777777" w:rsidR="000703E5" w:rsidRDefault="000703E5" w:rsidP="000703E5"/>
    <w:p w14:paraId="1C55E520" w14:textId="77777777" w:rsidR="000703E5" w:rsidRPr="000703E5" w:rsidRDefault="000703E5" w:rsidP="000703E5"/>
    <w:p w14:paraId="66540A40" w14:textId="77777777" w:rsidR="000703E5" w:rsidRDefault="000703E5" w:rsidP="0051709F">
      <w:pPr>
        <w:pStyle w:val="Ttulo1"/>
        <w:rPr>
          <w:rFonts w:asciiTheme="minorHAnsi" w:hAnsiTheme="minorHAnsi" w:cstheme="minorHAnsi"/>
          <w:sz w:val="28"/>
          <w:szCs w:val="28"/>
        </w:rPr>
      </w:pPr>
    </w:p>
    <w:p w14:paraId="24A539A0" w14:textId="77777777" w:rsidR="000703E5" w:rsidRDefault="000703E5" w:rsidP="0051709F">
      <w:pPr>
        <w:pStyle w:val="Ttulo1"/>
        <w:rPr>
          <w:rFonts w:asciiTheme="minorHAnsi" w:hAnsiTheme="minorHAnsi" w:cstheme="minorHAnsi"/>
          <w:sz w:val="28"/>
          <w:szCs w:val="28"/>
        </w:rPr>
      </w:pPr>
    </w:p>
    <w:p w14:paraId="336BC366" w14:textId="77777777" w:rsidR="000703E5" w:rsidRPr="000703E5" w:rsidRDefault="000703E5" w:rsidP="000703E5">
      <w:pPr>
        <w:pStyle w:val="Ttulo1"/>
        <w:jc w:val="right"/>
        <w:rPr>
          <w:rFonts w:asciiTheme="minorHAnsi" w:hAnsiTheme="minorHAnsi" w:cstheme="minorHAnsi"/>
          <w:b w:val="0"/>
          <w:bCs/>
          <w:color w:val="1F4E79" w:themeColor="accent5" w:themeShade="80"/>
        </w:rPr>
      </w:pPr>
      <w:r w:rsidRPr="000703E5">
        <w:rPr>
          <w:rFonts w:asciiTheme="minorHAnsi" w:hAnsiTheme="minorHAnsi" w:cstheme="minorHAnsi"/>
        </w:rPr>
        <w:t>Resumen Ejecutivo</w:t>
      </w:r>
    </w:p>
    <w:p w14:paraId="366E4082" w14:textId="77777777" w:rsidR="000703E5" w:rsidRPr="000703E5" w:rsidRDefault="000703E5" w:rsidP="0051709F">
      <w:pPr>
        <w:pStyle w:val="Ttulo1"/>
        <w:rPr>
          <w:rFonts w:asciiTheme="minorHAnsi" w:hAnsiTheme="minorHAnsi" w:cstheme="minorHAnsi"/>
        </w:rPr>
      </w:pPr>
    </w:p>
    <w:p w14:paraId="21C41B4D" w14:textId="77777777" w:rsidR="000703E5" w:rsidRDefault="000703E5" w:rsidP="0051709F">
      <w:pPr>
        <w:pStyle w:val="Ttulo1"/>
        <w:rPr>
          <w:rFonts w:asciiTheme="minorHAnsi" w:hAnsiTheme="minorHAnsi" w:cstheme="minorHAnsi"/>
          <w:sz w:val="28"/>
          <w:szCs w:val="28"/>
        </w:rPr>
      </w:pPr>
    </w:p>
    <w:p w14:paraId="7F748052" w14:textId="77777777" w:rsidR="000703E5" w:rsidRDefault="000703E5" w:rsidP="0051709F">
      <w:pPr>
        <w:pStyle w:val="Ttulo1"/>
        <w:rPr>
          <w:rFonts w:asciiTheme="minorHAnsi" w:hAnsiTheme="minorHAnsi" w:cstheme="minorHAnsi"/>
          <w:sz w:val="28"/>
          <w:szCs w:val="28"/>
        </w:rPr>
      </w:pPr>
    </w:p>
    <w:p w14:paraId="107F47D3" w14:textId="77777777" w:rsidR="000703E5" w:rsidRDefault="000703E5" w:rsidP="000703E5"/>
    <w:p w14:paraId="72A5CD2D" w14:textId="77777777" w:rsidR="000703E5" w:rsidRDefault="000703E5" w:rsidP="000703E5"/>
    <w:p w14:paraId="3BB61440" w14:textId="77777777" w:rsidR="000703E5" w:rsidRDefault="000703E5" w:rsidP="000703E5"/>
    <w:p w14:paraId="0186273B" w14:textId="77777777" w:rsidR="000703E5" w:rsidRDefault="000703E5" w:rsidP="000703E5"/>
    <w:p w14:paraId="798D699A" w14:textId="77777777" w:rsidR="000703E5" w:rsidRDefault="000703E5" w:rsidP="000703E5"/>
    <w:p w14:paraId="7CC84A12" w14:textId="77777777" w:rsidR="000703E5" w:rsidRDefault="000703E5" w:rsidP="000703E5"/>
    <w:p w14:paraId="51EAF1AB" w14:textId="77777777" w:rsidR="000703E5" w:rsidRDefault="000703E5" w:rsidP="000703E5"/>
    <w:p w14:paraId="45295EA6" w14:textId="77777777" w:rsidR="000703E5" w:rsidRDefault="000703E5" w:rsidP="000703E5"/>
    <w:p w14:paraId="09CB2E0F" w14:textId="77777777" w:rsidR="000703E5" w:rsidRDefault="000703E5" w:rsidP="000703E5"/>
    <w:p w14:paraId="2B6079C3" w14:textId="77777777" w:rsidR="000703E5" w:rsidRDefault="000703E5" w:rsidP="000703E5"/>
    <w:p w14:paraId="45386684" w14:textId="77777777" w:rsidR="000703E5" w:rsidRPr="000703E5" w:rsidRDefault="000703E5" w:rsidP="000703E5"/>
    <w:p w14:paraId="4F9E653B" w14:textId="7B582446" w:rsidR="00C83BA5" w:rsidRPr="005145E0" w:rsidRDefault="00C83BA5" w:rsidP="0051709F">
      <w:pPr>
        <w:pStyle w:val="Ttulo1"/>
        <w:rPr>
          <w:rFonts w:asciiTheme="minorHAnsi" w:hAnsiTheme="minorHAnsi" w:cstheme="minorHAnsi"/>
          <w:b w:val="0"/>
          <w:bCs/>
          <w:color w:val="1F4E79" w:themeColor="accent5" w:themeShade="80"/>
          <w:sz w:val="28"/>
          <w:szCs w:val="28"/>
        </w:rPr>
      </w:pPr>
      <w:r w:rsidRPr="005145E0">
        <w:rPr>
          <w:rFonts w:asciiTheme="minorHAnsi" w:hAnsiTheme="minorHAnsi" w:cstheme="minorHAnsi"/>
          <w:sz w:val="28"/>
          <w:szCs w:val="28"/>
        </w:rPr>
        <w:t>Resumen Ejecutivo</w:t>
      </w:r>
    </w:p>
    <w:p w14:paraId="0A9E5889" w14:textId="77777777" w:rsidR="00C83BA5" w:rsidRPr="0051709F" w:rsidRDefault="00C83BA5" w:rsidP="00C83BA5">
      <w:pPr>
        <w:rPr>
          <w:rFonts w:cstheme="minorHAnsi"/>
        </w:rPr>
      </w:pPr>
    </w:p>
    <w:p w14:paraId="77B739E9" w14:textId="464C92C2" w:rsidR="00C83BA5" w:rsidRPr="0051709F" w:rsidRDefault="00C83BA5" w:rsidP="00C83BA5">
      <w:pPr>
        <w:jc w:val="both"/>
        <w:rPr>
          <w:rFonts w:cstheme="minorHAnsi"/>
          <w:b/>
          <w:bCs/>
          <w:i/>
          <w:iCs/>
        </w:rPr>
      </w:pPr>
      <w:r w:rsidRPr="0051709F">
        <w:rPr>
          <w:rFonts w:cstheme="minorHAnsi"/>
        </w:rPr>
        <w:t xml:space="preserve">El Plan de Recuperación Transformación y Resiliencia, que fue aprobado al amparo del MRR, fue aprobado el 16 de junio de 2021. </w:t>
      </w:r>
      <w:r w:rsidR="003A2FC5">
        <w:rPr>
          <w:rFonts w:cstheme="minorHAnsi"/>
        </w:rPr>
        <w:t>Su</w:t>
      </w:r>
      <w:r w:rsidR="003A2FC5" w:rsidRPr="0051709F">
        <w:rPr>
          <w:rFonts w:cstheme="minorHAnsi"/>
        </w:rPr>
        <w:t xml:space="preserve"> </w:t>
      </w:r>
      <w:r w:rsidRPr="0051709F">
        <w:rPr>
          <w:rFonts w:cstheme="minorHAnsi"/>
          <w:b/>
          <w:bCs/>
        </w:rPr>
        <w:t>Componente 26</w:t>
      </w:r>
      <w:r w:rsidR="003A2FC5">
        <w:rPr>
          <w:rFonts w:cstheme="minorHAnsi"/>
          <w:b/>
          <w:bCs/>
        </w:rPr>
        <w:t>,</w:t>
      </w:r>
      <w:r w:rsidRPr="0051709F">
        <w:rPr>
          <w:rFonts w:cstheme="minorHAnsi"/>
          <w:b/>
          <w:bCs/>
        </w:rPr>
        <w:t xml:space="preserve"> de Fomento del Sector Deporte</w:t>
      </w:r>
      <w:r w:rsidR="003A2FC5">
        <w:rPr>
          <w:rFonts w:cstheme="minorHAnsi"/>
          <w:b/>
          <w:bCs/>
        </w:rPr>
        <w:t>,</w:t>
      </w:r>
      <w:r w:rsidRPr="0051709F">
        <w:rPr>
          <w:rFonts w:cstheme="minorHAnsi"/>
        </w:rPr>
        <w:t xml:space="preserve"> contempla 3 reformas y 3 inversiones. Una de estas reformas es la </w:t>
      </w:r>
      <w:r w:rsidRPr="0051709F">
        <w:rPr>
          <w:rFonts w:cstheme="minorHAnsi"/>
          <w:b/>
          <w:bCs/>
          <w:i/>
          <w:iCs/>
        </w:rPr>
        <w:t xml:space="preserve">Estrategia Nacional del fomento del deporte contra el sedentarismo y la inactividad física. </w:t>
      </w:r>
    </w:p>
    <w:p w14:paraId="4B359E0C" w14:textId="77777777" w:rsidR="00C83BA5" w:rsidRPr="0051709F" w:rsidRDefault="00C83BA5" w:rsidP="00C83BA5">
      <w:pPr>
        <w:jc w:val="both"/>
        <w:rPr>
          <w:rFonts w:cstheme="minorHAnsi"/>
        </w:rPr>
      </w:pPr>
    </w:p>
    <w:p w14:paraId="62FD1CAE" w14:textId="77777777" w:rsidR="00C83BA5" w:rsidRPr="0051709F" w:rsidRDefault="00C83BA5" w:rsidP="00C83BA5">
      <w:pPr>
        <w:jc w:val="both"/>
        <w:rPr>
          <w:rFonts w:cstheme="minorHAnsi"/>
        </w:rPr>
      </w:pPr>
      <w:r w:rsidRPr="0051709F">
        <w:rPr>
          <w:rFonts w:cstheme="minorHAnsi"/>
        </w:rPr>
        <w:t>De acuerdo con el resumen publicado en el momento de su aprobación (C26.R3), esta reforma tiene como objetivo principal definir una estrategia nacional del fomento del deporte contra el sedentarismo y la inactividad física.</w:t>
      </w:r>
    </w:p>
    <w:p w14:paraId="234235C0" w14:textId="77777777" w:rsidR="00C83BA5" w:rsidRPr="0051709F" w:rsidRDefault="00C83BA5" w:rsidP="00C83BA5">
      <w:pPr>
        <w:jc w:val="both"/>
        <w:rPr>
          <w:rFonts w:cstheme="minorHAnsi"/>
        </w:rPr>
      </w:pPr>
    </w:p>
    <w:p w14:paraId="3E14C7DD" w14:textId="77777777" w:rsidR="00C83BA5" w:rsidRPr="0051709F" w:rsidRDefault="00C83BA5" w:rsidP="00C83BA5">
      <w:pPr>
        <w:jc w:val="both"/>
        <w:rPr>
          <w:rFonts w:eastAsiaTheme="minorEastAsia" w:cstheme="minorHAnsi"/>
          <w:i/>
          <w:iCs/>
          <w:color w:val="000000" w:themeColor="text1"/>
        </w:rPr>
      </w:pPr>
      <w:r w:rsidRPr="0051709F">
        <w:rPr>
          <w:rFonts w:eastAsiaTheme="minorEastAsia" w:cstheme="minorHAnsi"/>
          <w:color w:val="000000" w:themeColor="text1"/>
        </w:rPr>
        <w:t xml:space="preserve">La misión -la razón de ser- de esta </w:t>
      </w:r>
      <w:r w:rsidRPr="0051709F">
        <w:rPr>
          <w:rFonts w:cstheme="minorHAnsi"/>
        </w:rPr>
        <w:t xml:space="preserve">Estrategia Nacional </w:t>
      </w:r>
      <w:r w:rsidRPr="0051709F">
        <w:rPr>
          <w:rFonts w:eastAsiaTheme="minorEastAsia" w:cstheme="minorHAnsi"/>
          <w:color w:val="000000" w:themeColor="text1"/>
        </w:rPr>
        <w:t>será “</w:t>
      </w:r>
      <w:r w:rsidRPr="0051709F">
        <w:rPr>
          <w:rFonts w:eastAsiaTheme="minorEastAsia" w:cstheme="minorHAnsi"/>
          <w:i/>
          <w:iCs/>
          <w:color w:val="000000" w:themeColor="text1"/>
        </w:rPr>
        <w:t>disponer de una herramienta de análisis permanente de la realidad de la práctica de la actividad física y deportiva para el conjunto de la población española, que permita poner en marcha diversas medidas y acciones concretas”.</w:t>
      </w:r>
    </w:p>
    <w:p w14:paraId="3E443D35" w14:textId="77777777" w:rsidR="00C83BA5" w:rsidRPr="0051709F" w:rsidRDefault="00C83BA5" w:rsidP="00C83BA5">
      <w:pPr>
        <w:rPr>
          <w:rFonts w:cstheme="minorHAnsi"/>
          <w:color w:val="000000" w:themeColor="text1"/>
        </w:rPr>
      </w:pPr>
    </w:p>
    <w:p w14:paraId="5AECDE83" w14:textId="77777777" w:rsidR="00C83BA5" w:rsidRPr="0051709F" w:rsidRDefault="00C83BA5" w:rsidP="00C83BA5">
      <w:pPr>
        <w:jc w:val="both"/>
        <w:rPr>
          <w:rFonts w:cstheme="minorHAnsi"/>
          <w:b/>
          <w:bCs/>
          <w:i/>
          <w:iCs/>
        </w:rPr>
      </w:pPr>
      <w:r w:rsidRPr="0051709F">
        <w:rPr>
          <w:rFonts w:cstheme="minorHAnsi"/>
          <w:color w:val="000000" w:themeColor="text1"/>
          <w:lang w:val="es-ES_tradnl"/>
        </w:rPr>
        <w:t xml:space="preserve">El presente documento recoge una propuesta integral para el desarrollo e implementación de esta </w:t>
      </w:r>
      <w:r w:rsidRPr="0051709F">
        <w:rPr>
          <w:rFonts w:cstheme="minorHAnsi"/>
          <w:b/>
          <w:bCs/>
          <w:i/>
          <w:iCs/>
          <w:color w:val="000000" w:themeColor="text1"/>
          <w:lang w:val="es-ES_tradnl"/>
        </w:rPr>
        <w:t>Estrategia Nacional</w:t>
      </w:r>
      <w:r w:rsidRPr="0051709F">
        <w:rPr>
          <w:rFonts w:cstheme="minorHAnsi"/>
          <w:color w:val="000000" w:themeColor="text1"/>
          <w:lang w:val="es-ES_tradnl"/>
        </w:rPr>
        <w:t xml:space="preserve"> </w:t>
      </w:r>
      <w:r w:rsidRPr="0051709F">
        <w:rPr>
          <w:rFonts w:cstheme="minorHAnsi"/>
          <w:b/>
          <w:bCs/>
          <w:i/>
          <w:iCs/>
        </w:rPr>
        <w:t xml:space="preserve">del fomento del deporte contra el sedentarismo y la inactividad física. </w:t>
      </w:r>
    </w:p>
    <w:p w14:paraId="4C2133A3" w14:textId="77777777" w:rsidR="00C83BA5" w:rsidRPr="0051709F" w:rsidRDefault="00C83BA5" w:rsidP="00C83BA5">
      <w:pPr>
        <w:rPr>
          <w:rFonts w:cstheme="minorHAnsi"/>
          <w:color w:val="000000" w:themeColor="text1"/>
        </w:rPr>
      </w:pPr>
    </w:p>
    <w:p w14:paraId="30C6CB35" w14:textId="406FF4C5" w:rsidR="00C83BA5" w:rsidRPr="00324B51" w:rsidRDefault="00C83BA5" w:rsidP="00C83BA5">
      <w:pPr>
        <w:jc w:val="both"/>
        <w:rPr>
          <w:rFonts w:cstheme="minorHAnsi"/>
          <w:color w:val="000000" w:themeColor="text1"/>
          <w:lang w:val="es-ES_tradnl"/>
        </w:rPr>
      </w:pPr>
      <w:r w:rsidRPr="0051709F">
        <w:rPr>
          <w:rFonts w:cstheme="minorHAnsi"/>
          <w:color w:val="000000" w:themeColor="text1"/>
          <w:lang w:val="es-ES_tradnl"/>
        </w:rPr>
        <w:t xml:space="preserve">Para ello, se </w:t>
      </w:r>
      <w:r w:rsidR="00377863">
        <w:rPr>
          <w:rFonts w:cstheme="minorHAnsi"/>
          <w:color w:val="000000" w:themeColor="text1"/>
          <w:lang w:val="es-ES_tradnl"/>
        </w:rPr>
        <w:t>profundiza</w:t>
      </w:r>
      <w:r w:rsidR="00324B51">
        <w:rPr>
          <w:rFonts w:cstheme="minorHAnsi"/>
          <w:color w:val="000000" w:themeColor="text1"/>
          <w:lang w:val="es-ES_tradnl"/>
        </w:rPr>
        <w:t>,</w:t>
      </w:r>
      <w:r w:rsidR="00377863">
        <w:rPr>
          <w:rFonts w:cstheme="minorHAnsi"/>
          <w:color w:val="000000" w:themeColor="text1"/>
          <w:lang w:val="es-ES_tradnl"/>
        </w:rPr>
        <w:t xml:space="preserve"> </w:t>
      </w:r>
      <w:r w:rsidRPr="0051709F">
        <w:rPr>
          <w:rFonts w:cstheme="minorHAnsi"/>
          <w:color w:val="000000" w:themeColor="text1"/>
          <w:lang w:val="es-ES_tradnl"/>
        </w:rPr>
        <w:t>inicialmente</w:t>
      </w:r>
      <w:r w:rsidR="00324B51">
        <w:rPr>
          <w:rFonts w:cstheme="minorHAnsi"/>
          <w:color w:val="000000" w:themeColor="text1"/>
          <w:lang w:val="es-ES_tradnl"/>
        </w:rPr>
        <w:t>,</w:t>
      </w:r>
      <w:r w:rsidR="00377863">
        <w:rPr>
          <w:rFonts w:cstheme="minorHAnsi"/>
          <w:color w:val="000000" w:themeColor="text1"/>
          <w:lang w:val="es-ES_tradnl"/>
        </w:rPr>
        <w:t xml:space="preserve"> en </w:t>
      </w:r>
      <w:r w:rsidRPr="0051709F">
        <w:rPr>
          <w:rFonts w:cstheme="minorHAnsi"/>
          <w:color w:val="000000" w:themeColor="text1"/>
          <w:lang w:val="es-ES_tradnl"/>
        </w:rPr>
        <w:t xml:space="preserve">un </w:t>
      </w:r>
      <w:r w:rsidRPr="00324B51">
        <w:rPr>
          <w:rFonts w:cstheme="minorHAnsi"/>
          <w:color w:val="000000" w:themeColor="text1"/>
          <w:lang w:val="es-ES_tradnl"/>
        </w:rPr>
        <w:t xml:space="preserve">análisis exhaustivo del contexto actual sobre la importancia e impacto de la promoción de una vida activa para el desarrollo social, cultural y económico de los </w:t>
      </w:r>
      <w:r w:rsidR="00A30E04" w:rsidRPr="00324B51">
        <w:rPr>
          <w:rFonts w:cstheme="minorHAnsi"/>
          <w:color w:val="000000" w:themeColor="text1"/>
          <w:lang w:val="es-ES_tradnl"/>
        </w:rPr>
        <w:t xml:space="preserve">Estados </w:t>
      </w:r>
      <w:r w:rsidRPr="00324B51">
        <w:rPr>
          <w:rFonts w:cstheme="minorHAnsi"/>
          <w:color w:val="000000" w:themeColor="text1"/>
          <w:lang w:val="es-ES_tradnl"/>
        </w:rPr>
        <w:t>y sus habitantes.</w:t>
      </w:r>
    </w:p>
    <w:p w14:paraId="556E85AC" w14:textId="77777777" w:rsidR="00C83BA5" w:rsidRPr="00324B51" w:rsidRDefault="00C83BA5" w:rsidP="00C83BA5">
      <w:pPr>
        <w:jc w:val="both"/>
        <w:rPr>
          <w:rFonts w:cstheme="minorHAnsi"/>
          <w:color w:val="000000" w:themeColor="text1"/>
          <w:lang w:val="es-ES_tradnl"/>
        </w:rPr>
      </w:pPr>
    </w:p>
    <w:p w14:paraId="0C0AF406" w14:textId="0F187949" w:rsidR="00C83BA5" w:rsidRPr="00324B51" w:rsidRDefault="00C83BA5" w:rsidP="00C83BA5">
      <w:pPr>
        <w:jc w:val="both"/>
        <w:rPr>
          <w:rFonts w:cstheme="minorHAnsi"/>
          <w:color w:val="000000"/>
          <w:shd w:val="clear" w:color="auto" w:fill="FFFFFF"/>
        </w:rPr>
      </w:pPr>
      <w:r w:rsidRPr="00324B51">
        <w:rPr>
          <w:rFonts w:cstheme="minorHAnsi"/>
          <w:color w:val="000000" w:themeColor="text1"/>
          <w:lang w:val="es-ES_tradnl"/>
        </w:rPr>
        <w:t xml:space="preserve">A continuación, se realiza un breve análisis del marco legislativo y normativo de referencia en el contexto internacional, con especial atención a las </w:t>
      </w:r>
      <w:r w:rsidRPr="00324B51">
        <w:rPr>
          <w:rFonts w:cstheme="minorHAnsi"/>
          <w:color w:val="000000"/>
          <w:shd w:val="clear" w:color="auto" w:fill="FFFFFF"/>
        </w:rPr>
        <w:t xml:space="preserve">Estrategias Nacionales contra el sedentarismo y la inactividad física en marcha en los </w:t>
      </w:r>
      <w:r w:rsidR="002B37BA" w:rsidRPr="00324B51">
        <w:rPr>
          <w:rFonts w:cstheme="minorHAnsi"/>
          <w:color w:val="000000"/>
          <w:shd w:val="clear" w:color="auto" w:fill="FFFFFF"/>
        </w:rPr>
        <w:t xml:space="preserve">Estados </w:t>
      </w:r>
      <w:r w:rsidR="00324B51">
        <w:rPr>
          <w:rFonts w:cstheme="minorHAnsi"/>
          <w:color w:val="000000"/>
          <w:shd w:val="clear" w:color="auto" w:fill="FFFFFF"/>
        </w:rPr>
        <w:t>M</w:t>
      </w:r>
      <w:r w:rsidRPr="00324B51">
        <w:rPr>
          <w:rFonts w:cstheme="minorHAnsi"/>
          <w:color w:val="000000"/>
          <w:shd w:val="clear" w:color="auto" w:fill="FFFFFF"/>
        </w:rPr>
        <w:t xml:space="preserve">iembros de la Unión Europea. </w:t>
      </w:r>
    </w:p>
    <w:p w14:paraId="1B404A2C" w14:textId="77777777" w:rsidR="00C83BA5" w:rsidRPr="00324B51" w:rsidRDefault="00C83BA5" w:rsidP="00C83BA5">
      <w:pPr>
        <w:jc w:val="both"/>
        <w:rPr>
          <w:rFonts w:cstheme="minorHAnsi"/>
          <w:color w:val="000000" w:themeColor="text1"/>
        </w:rPr>
      </w:pPr>
    </w:p>
    <w:p w14:paraId="0C6A321C" w14:textId="38F18D28" w:rsidR="00C83BA5" w:rsidRPr="00324B51" w:rsidRDefault="00C83BA5" w:rsidP="00C83BA5">
      <w:pPr>
        <w:jc w:val="both"/>
        <w:rPr>
          <w:rFonts w:eastAsia="Montserrat" w:cstheme="minorHAnsi"/>
        </w:rPr>
      </w:pPr>
      <w:r w:rsidRPr="00324B51">
        <w:rPr>
          <w:rFonts w:eastAsia="Montserrat" w:cstheme="minorHAnsi"/>
        </w:rPr>
        <w:t xml:space="preserve">Ya </w:t>
      </w:r>
      <w:r w:rsidR="002B37BA" w:rsidRPr="00324B51">
        <w:rPr>
          <w:rFonts w:eastAsia="Montserrat" w:cstheme="minorHAnsi"/>
        </w:rPr>
        <w:t xml:space="preserve">de manera </w:t>
      </w:r>
      <w:r w:rsidR="00DC1793" w:rsidRPr="00324B51">
        <w:rPr>
          <w:rFonts w:eastAsia="Montserrat" w:cstheme="minorHAnsi"/>
        </w:rPr>
        <w:t>exhaustiva</w:t>
      </w:r>
      <w:r w:rsidR="00324B51">
        <w:rPr>
          <w:rFonts w:eastAsia="Montserrat" w:cstheme="minorHAnsi"/>
        </w:rPr>
        <w:t>,</w:t>
      </w:r>
      <w:r w:rsidR="002B37BA" w:rsidRPr="00324B51">
        <w:rPr>
          <w:rFonts w:eastAsia="Montserrat" w:cstheme="minorHAnsi"/>
        </w:rPr>
        <w:t xml:space="preserve"> se</w:t>
      </w:r>
      <w:r w:rsidRPr="00324B51">
        <w:rPr>
          <w:rFonts w:eastAsia="Montserrat" w:cstheme="minorHAnsi"/>
        </w:rPr>
        <w:t xml:space="preserve"> aborda con profundidad en un apartado específico, el análisis </w:t>
      </w:r>
      <w:r w:rsidR="002B37BA" w:rsidRPr="00324B51">
        <w:rPr>
          <w:rFonts w:eastAsia="Montserrat" w:cstheme="minorHAnsi"/>
        </w:rPr>
        <w:t xml:space="preserve">y </w:t>
      </w:r>
      <w:r w:rsidRPr="00324B51">
        <w:rPr>
          <w:rFonts w:eastAsia="Montserrat" w:cstheme="minorHAnsi"/>
        </w:rPr>
        <w:t>diagnóstico de caracterización de la sociedad española: una estructura sociodemográfica, socioeconómica y cultural diversa, identificando en cada caso aquellas implicaciones relevantes para el ecosistema del deporte y sus agentes, así como para las demás áreas de actuación y desarrollo.</w:t>
      </w:r>
    </w:p>
    <w:p w14:paraId="61111185" w14:textId="77777777" w:rsidR="00C83BA5" w:rsidRPr="00324B51" w:rsidRDefault="00C83BA5" w:rsidP="00C83BA5">
      <w:pPr>
        <w:jc w:val="both"/>
        <w:rPr>
          <w:rFonts w:eastAsia="Montserrat" w:cstheme="minorHAnsi"/>
        </w:rPr>
      </w:pPr>
    </w:p>
    <w:p w14:paraId="31FBFEF7" w14:textId="6C5E05C5" w:rsidR="00377863" w:rsidRPr="00324B51" w:rsidRDefault="00C83BA5" w:rsidP="00C83BA5">
      <w:pPr>
        <w:jc w:val="both"/>
        <w:rPr>
          <w:rFonts w:cstheme="minorHAnsi"/>
          <w:color w:val="000000" w:themeColor="text1"/>
          <w:lang w:val="es-ES_tradnl"/>
        </w:rPr>
      </w:pPr>
      <w:r w:rsidRPr="00324B51">
        <w:rPr>
          <w:rFonts w:eastAsia="Montserrat" w:cstheme="minorHAnsi"/>
        </w:rPr>
        <w:t xml:space="preserve">Una vez entendido el </w:t>
      </w:r>
      <w:r w:rsidR="00DC1793" w:rsidRPr="00324B51">
        <w:rPr>
          <w:rFonts w:eastAsia="Montserrat" w:cstheme="minorHAnsi"/>
        </w:rPr>
        <w:t>contexto en el que</w:t>
      </w:r>
      <w:r w:rsidRPr="00324B51">
        <w:rPr>
          <w:rFonts w:eastAsia="Montserrat" w:cstheme="minorHAnsi"/>
        </w:rPr>
        <w:t xml:space="preserve"> esta Estrategia Nacional debería generar sus </w:t>
      </w:r>
      <w:r w:rsidR="00DC1793" w:rsidRPr="00324B51">
        <w:rPr>
          <w:rFonts w:eastAsia="Montserrat" w:cstheme="minorHAnsi"/>
        </w:rPr>
        <w:t xml:space="preserve">resultados, especialmente en el conjunto de la </w:t>
      </w:r>
      <w:r w:rsidRPr="00324B51">
        <w:rPr>
          <w:rFonts w:eastAsia="Montserrat" w:cstheme="minorHAnsi"/>
        </w:rPr>
        <w:t xml:space="preserve">sociedad española, </w:t>
      </w:r>
      <w:r w:rsidR="00DC1793" w:rsidRPr="00324B51">
        <w:rPr>
          <w:rFonts w:eastAsia="Montserrat" w:cstheme="minorHAnsi"/>
        </w:rPr>
        <w:t xml:space="preserve">se </w:t>
      </w:r>
      <w:r w:rsidR="00377863" w:rsidRPr="00324B51">
        <w:rPr>
          <w:rFonts w:eastAsia="Montserrat" w:cstheme="minorHAnsi"/>
        </w:rPr>
        <w:t xml:space="preserve">define </w:t>
      </w:r>
      <w:r w:rsidR="00377863" w:rsidRPr="00324B51">
        <w:rPr>
          <w:rFonts w:cstheme="minorHAnsi"/>
          <w:color w:val="000000" w:themeColor="text1"/>
          <w:lang w:val="es-ES_tradnl"/>
        </w:rPr>
        <w:t xml:space="preserve">la visión, misión y principios rectores de esta estrategia, incluyendo una serie de aspectos metodológicos relevantes para su implementación, evaluación y monitorización. </w:t>
      </w:r>
    </w:p>
    <w:p w14:paraId="2B9A0A4D" w14:textId="77777777" w:rsidR="00377863" w:rsidRPr="00324B51" w:rsidRDefault="00377863" w:rsidP="00C83BA5">
      <w:pPr>
        <w:jc w:val="both"/>
        <w:rPr>
          <w:rFonts w:cstheme="minorHAnsi"/>
          <w:color w:val="000000" w:themeColor="text1"/>
          <w:lang w:val="es-ES_tradnl"/>
        </w:rPr>
      </w:pPr>
    </w:p>
    <w:p w14:paraId="66DA01BE" w14:textId="7B45955C" w:rsidR="00C83BA5" w:rsidRPr="0051709F" w:rsidRDefault="00377863" w:rsidP="00C83BA5">
      <w:pPr>
        <w:jc w:val="both"/>
        <w:rPr>
          <w:rFonts w:eastAsia="Montserrat" w:cstheme="minorHAnsi"/>
        </w:rPr>
      </w:pPr>
      <w:r w:rsidRPr="00324B51">
        <w:rPr>
          <w:rFonts w:cstheme="minorHAnsi"/>
          <w:color w:val="000000" w:themeColor="text1"/>
          <w:lang w:val="es-ES_tradnl"/>
        </w:rPr>
        <w:t xml:space="preserve">A continuación, se </w:t>
      </w:r>
      <w:r w:rsidR="00DC1793" w:rsidRPr="00324B51">
        <w:rPr>
          <w:rFonts w:eastAsia="Montserrat" w:cstheme="minorHAnsi"/>
        </w:rPr>
        <w:t>aborda</w:t>
      </w:r>
      <w:r w:rsidRPr="00324B51">
        <w:rPr>
          <w:rFonts w:eastAsia="Montserrat" w:cstheme="minorHAnsi"/>
        </w:rPr>
        <w:t>n</w:t>
      </w:r>
      <w:r w:rsidR="00DC1793" w:rsidRPr="00324B51">
        <w:rPr>
          <w:rFonts w:eastAsia="Montserrat" w:cstheme="minorHAnsi"/>
        </w:rPr>
        <w:t xml:space="preserve"> </w:t>
      </w:r>
      <w:r w:rsidR="00C83BA5" w:rsidRPr="00324B51">
        <w:rPr>
          <w:rFonts w:eastAsia="Montserrat" w:cstheme="minorHAnsi"/>
        </w:rPr>
        <w:t xml:space="preserve">paso a paso las diferentes áreas de intervención. Estas propuestas por áreas han partido del </w:t>
      </w:r>
      <w:r w:rsidR="00C83BA5" w:rsidRPr="00324B51">
        <w:rPr>
          <w:rFonts w:cstheme="minorHAnsi"/>
          <w:color w:val="000000" w:themeColor="text1"/>
        </w:rPr>
        <w:t>desarrollo de documentos técnicos de análisis por parte del Grupo de Expertos para cada caso,</w:t>
      </w:r>
      <w:r w:rsidR="00C83BA5" w:rsidRPr="00324B51">
        <w:rPr>
          <w:rFonts w:cstheme="minorHAnsi"/>
        </w:rPr>
        <w:t xml:space="preserve"> incluyendo</w:t>
      </w:r>
      <w:r w:rsidR="00DC1793" w:rsidRPr="00324B51">
        <w:rPr>
          <w:rFonts w:cstheme="minorHAnsi"/>
        </w:rPr>
        <w:t>,</w:t>
      </w:r>
      <w:r w:rsidR="00C83BA5" w:rsidRPr="00324B51">
        <w:rPr>
          <w:rFonts w:cstheme="minorHAnsi"/>
        </w:rPr>
        <w:t xml:space="preserve"> inicialmente:</w:t>
      </w:r>
      <w:r w:rsidR="00C83BA5" w:rsidRPr="00324B51">
        <w:rPr>
          <w:rFonts w:eastAsia="Montserrat" w:cstheme="minorHAnsi"/>
        </w:rPr>
        <w:t xml:space="preserve"> </w:t>
      </w:r>
      <w:r w:rsidR="00C83BA5" w:rsidRPr="00324B51">
        <w:rPr>
          <w:rFonts w:cstheme="minorHAnsi"/>
        </w:rPr>
        <w:t xml:space="preserve">una caracterización específica del reto de la inactividad física y el sedentarismo en ese área o dominio; </w:t>
      </w:r>
      <w:r w:rsidR="00C83BA5" w:rsidRPr="00324B51">
        <w:rPr>
          <w:rFonts w:eastAsia="Montserrat" w:cstheme="minorHAnsi"/>
        </w:rPr>
        <w:t>u</w:t>
      </w:r>
      <w:r w:rsidR="00C83BA5" w:rsidRPr="00324B51">
        <w:rPr>
          <w:rFonts w:cstheme="minorHAnsi"/>
        </w:rPr>
        <w:t xml:space="preserve">na revisión de la literatura existente sobre posibles actuaciones y </w:t>
      </w:r>
      <w:r w:rsidR="00C83BA5" w:rsidRPr="00324B51">
        <w:rPr>
          <w:rFonts w:cstheme="minorHAnsi"/>
        </w:rPr>
        <w:lastRenderedPageBreak/>
        <w:t>estrategias que hayan generado o pudieran generar un impacto sostenible; una propuesta preliminar de actuaciones coordinadas que pudieran dar lugar a una estrategia específica para es</w:t>
      </w:r>
      <w:r w:rsidR="00324B51">
        <w:rPr>
          <w:rFonts w:cstheme="minorHAnsi"/>
        </w:rPr>
        <w:t>e</w:t>
      </w:r>
      <w:r w:rsidR="00C83BA5" w:rsidRPr="00324B51">
        <w:rPr>
          <w:rFonts w:cstheme="minorHAnsi"/>
        </w:rPr>
        <w:t xml:space="preserve"> área o dominio en nuestro país, identificando a aquellos agentes a implicar en cada caso; </w:t>
      </w:r>
      <w:r w:rsidR="00C83BA5" w:rsidRPr="00324B51">
        <w:rPr>
          <w:rFonts w:eastAsia="Montserrat" w:cstheme="minorHAnsi"/>
        </w:rPr>
        <w:t>u</w:t>
      </w:r>
      <w:r w:rsidR="00C83BA5" w:rsidRPr="00324B51">
        <w:rPr>
          <w:rFonts w:cstheme="minorHAnsi"/>
        </w:rPr>
        <w:t>na serie de indicadores a</w:t>
      </w:r>
      <w:r w:rsidR="00C83BA5" w:rsidRPr="0051709F">
        <w:rPr>
          <w:rFonts w:cstheme="minorHAnsi"/>
        </w:rPr>
        <w:t xml:space="preserve"> integrar en su implementación que permitan una adecuada monitorización y evaluación del impacto en cada caso; </w:t>
      </w:r>
      <w:r w:rsidR="00DC1793">
        <w:rPr>
          <w:rFonts w:cstheme="minorHAnsi"/>
        </w:rPr>
        <w:t xml:space="preserve">y, finalmente, </w:t>
      </w:r>
      <w:r w:rsidR="00C83BA5" w:rsidRPr="0051709F">
        <w:rPr>
          <w:rFonts w:cstheme="minorHAnsi"/>
        </w:rPr>
        <w:t>unas recomendaciones para articular su integración en el conjunto de la Estrategia Nacional.</w:t>
      </w:r>
    </w:p>
    <w:p w14:paraId="5481BB7A" w14:textId="77777777" w:rsidR="00C83BA5" w:rsidRPr="0051709F" w:rsidRDefault="00C83BA5" w:rsidP="00C83BA5">
      <w:pPr>
        <w:jc w:val="both"/>
        <w:rPr>
          <w:rFonts w:cstheme="minorHAnsi"/>
          <w:color w:val="000000" w:themeColor="text1"/>
        </w:rPr>
      </w:pPr>
    </w:p>
    <w:p w14:paraId="10020EEA" w14:textId="09A9C0AA" w:rsidR="00C83BA5" w:rsidRPr="0051709F" w:rsidRDefault="00C83BA5" w:rsidP="00C83BA5">
      <w:pPr>
        <w:rPr>
          <w:rFonts w:cstheme="minorHAnsi"/>
          <w:color w:val="000000" w:themeColor="text1"/>
        </w:rPr>
      </w:pPr>
      <w:r w:rsidRPr="0051709F">
        <w:rPr>
          <w:rFonts w:cstheme="minorHAnsi"/>
          <w:color w:val="000000" w:themeColor="text1"/>
        </w:rPr>
        <w:t>De esta forma</w:t>
      </w:r>
      <w:r w:rsidR="00DC1793">
        <w:rPr>
          <w:rFonts w:cstheme="minorHAnsi"/>
          <w:color w:val="000000" w:themeColor="text1"/>
        </w:rPr>
        <w:t>,</w:t>
      </w:r>
      <w:r w:rsidRPr="0051709F">
        <w:rPr>
          <w:rFonts w:cstheme="minorHAnsi"/>
          <w:color w:val="000000" w:themeColor="text1"/>
        </w:rPr>
        <w:t xml:space="preserve"> </w:t>
      </w:r>
      <w:r w:rsidR="00324B51">
        <w:rPr>
          <w:rFonts w:cstheme="minorHAnsi"/>
          <w:color w:val="000000" w:themeColor="text1"/>
        </w:rPr>
        <w:t>se han</w:t>
      </w:r>
      <w:r w:rsidRPr="0051709F">
        <w:rPr>
          <w:rFonts w:cstheme="minorHAnsi"/>
          <w:color w:val="000000" w:themeColor="text1"/>
        </w:rPr>
        <w:t xml:space="preserve"> definido s</w:t>
      </w:r>
      <w:r w:rsidR="006F4045">
        <w:rPr>
          <w:rFonts w:cstheme="minorHAnsi"/>
          <w:color w:val="000000" w:themeColor="text1"/>
        </w:rPr>
        <w:t xml:space="preserve">eis </w:t>
      </w:r>
      <w:r w:rsidRPr="0051709F">
        <w:rPr>
          <w:rFonts w:cstheme="minorHAnsi"/>
          <w:color w:val="000000" w:themeColor="text1"/>
        </w:rPr>
        <w:t xml:space="preserve">áreas claras y concretas de acción: </w:t>
      </w:r>
    </w:p>
    <w:p w14:paraId="3A02E772" w14:textId="77777777" w:rsidR="00C83BA5" w:rsidRPr="0051709F" w:rsidRDefault="00C83BA5" w:rsidP="00C83BA5">
      <w:pPr>
        <w:rPr>
          <w:rFonts w:cstheme="minorHAnsi"/>
          <w:color w:val="000000" w:themeColor="text1"/>
          <w:lang w:val="es-ES_tradnl"/>
        </w:rPr>
      </w:pPr>
    </w:p>
    <w:p w14:paraId="71793351" w14:textId="36BEE7A3"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1</w:t>
      </w:r>
      <w:r w:rsidRPr="0051709F">
        <w:rPr>
          <w:rFonts w:asciiTheme="minorHAnsi" w:hAnsiTheme="minorHAnsi" w:cstheme="minorHAnsi"/>
          <w:color w:val="000000" w:themeColor="text1"/>
          <w:sz w:val="24"/>
          <w:szCs w:val="24"/>
          <w:lang w:val="es-ES_tradnl"/>
        </w:rPr>
        <w:t>: Intervenciones en el contexto escolar: Niños y jóvenes</w:t>
      </w:r>
      <w:r w:rsidR="00DC1793">
        <w:rPr>
          <w:rFonts w:asciiTheme="minorHAnsi" w:hAnsiTheme="minorHAnsi" w:cstheme="minorHAnsi"/>
          <w:color w:val="000000" w:themeColor="text1"/>
          <w:sz w:val="24"/>
          <w:szCs w:val="24"/>
          <w:lang w:val="es-ES_tradnl"/>
        </w:rPr>
        <w:t>.</w:t>
      </w:r>
      <w:r w:rsidRPr="0051709F">
        <w:rPr>
          <w:rFonts w:asciiTheme="minorHAnsi" w:hAnsiTheme="minorHAnsi" w:cstheme="minorHAnsi"/>
          <w:color w:val="000000" w:themeColor="text1"/>
          <w:sz w:val="24"/>
          <w:szCs w:val="24"/>
          <w:lang w:val="es-ES_tradnl"/>
        </w:rPr>
        <w:t xml:space="preserve"> </w:t>
      </w:r>
    </w:p>
    <w:p w14:paraId="51B2931A" w14:textId="4594F4A1"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2</w:t>
      </w:r>
      <w:r w:rsidRPr="0051709F">
        <w:rPr>
          <w:rFonts w:asciiTheme="minorHAnsi" w:hAnsiTheme="minorHAnsi" w:cstheme="minorHAnsi"/>
          <w:color w:val="000000" w:themeColor="text1"/>
          <w:sz w:val="24"/>
          <w:szCs w:val="24"/>
          <w:lang w:val="es-ES_tradnl"/>
        </w:rPr>
        <w:t>: Intervenciones en el ámbito de la Salud</w:t>
      </w:r>
      <w:r w:rsidR="00DC1793">
        <w:rPr>
          <w:rFonts w:asciiTheme="minorHAnsi" w:hAnsiTheme="minorHAnsi" w:cstheme="minorHAnsi"/>
          <w:color w:val="000000" w:themeColor="text1"/>
          <w:sz w:val="24"/>
          <w:szCs w:val="24"/>
          <w:lang w:val="es-ES_tradnl"/>
        </w:rPr>
        <w:t>.</w:t>
      </w:r>
      <w:r w:rsidRPr="0051709F">
        <w:rPr>
          <w:rFonts w:asciiTheme="minorHAnsi" w:hAnsiTheme="minorHAnsi" w:cstheme="minorHAnsi"/>
          <w:color w:val="000000" w:themeColor="text1"/>
          <w:sz w:val="24"/>
          <w:szCs w:val="24"/>
          <w:lang w:val="es-ES_tradnl"/>
        </w:rPr>
        <w:t xml:space="preserve"> </w:t>
      </w:r>
    </w:p>
    <w:p w14:paraId="4AC21CD8" w14:textId="1A0C7614"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3</w:t>
      </w:r>
      <w:r w:rsidRPr="0051709F">
        <w:rPr>
          <w:rFonts w:asciiTheme="minorHAnsi" w:hAnsiTheme="minorHAnsi" w:cstheme="minorHAnsi"/>
          <w:color w:val="000000" w:themeColor="text1"/>
          <w:sz w:val="24"/>
          <w:szCs w:val="24"/>
          <w:lang w:val="es-ES_tradnl"/>
        </w:rPr>
        <w:t>: Medio ambiente y desarrollo sostenible</w:t>
      </w:r>
      <w:r w:rsidR="00DC1793">
        <w:rPr>
          <w:rFonts w:asciiTheme="minorHAnsi" w:hAnsiTheme="minorHAnsi" w:cstheme="minorHAnsi"/>
          <w:color w:val="000000" w:themeColor="text1"/>
          <w:sz w:val="24"/>
          <w:szCs w:val="24"/>
          <w:lang w:val="es-ES_tradnl"/>
        </w:rPr>
        <w:t>.</w:t>
      </w:r>
      <w:r w:rsidRPr="0051709F">
        <w:rPr>
          <w:rFonts w:asciiTheme="minorHAnsi" w:hAnsiTheme="minorHAnsi" w:cstheme="minorHAnsi"/>
          <w:color w:val="000000" w:themeColor="text1"/>
          <w:sz w:val="24"/>
          <w:szCs w:val="24"/>
          <w:lang w:val="es-ES_tradnl"/>
        </w:rPr>
        <w:t xml:space="preserve"> </w:t>
      </w:r>
    </w:p>
    <w:p w14:paraId="13D9607D" w14:textId="784EB6BD"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4</w:t>
      </w:r>
      <w:r w:rsidRPr="0051709F">
        <w:rPr>
          <w:rFonts w:asciiTheme="minorHAnsi" w:hAnsiTheme="minorHAnsi" w:cstheme="minorHAnsi"/>
          <w:color w:val="000000" w:themeColor="text1"/>
          <w:sz w:val="24"/>
          <w:szCs w:val="24"/>
          <w:lang w:val="es-ES_tradnl"/>
        </w:rPr>
        <w:t>: Intervenciones en los entornos laborales</w:t>
      </w:r>
      <w:r w:rsidR="00DC1793">
        <w:rPr>
          <w:rFonts w:asciiTheme="minorHAnsi" w:hAnsiTheme="minorHAnsi" w:cstheme="minorHAnsi"/>
          <w:color w:val="000000" w:themeColor="text1"/>
          <w:sz w:val="24"/>
          <w:szCs w:val="24"/>
          <w:lang w:val="es-ES_tradnl"/>
        </w:rPr>
        <w:t>.</w:t>
      </w:r>
      <w:r w:rsidRPr="0051709F">
        <w:rPr>
          <w:rFonts w:asciiTheme="minorHAnsi" w:hAnsiTheme="minorHAnsi" w:cstheme="minorHAnsi"/>
          <w:color w:val="000000" w:themeColor="text1"/>
          <w:sz w:val="24"/>
          <w:szCs w:val="24"/>
          <w:lang w:val="es-ES_tradnl"/>
        </w:rPr>
        <w:t xml:space="preserve"> </w:t>
      </w:r>
    </w:p>
    <w:p w14:paraId="155762F8" w14:textId="783F97C1"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5</w:t>
      </w:r>
      <w:r w:rsidRPr="0051709F">
        <w:rPr>
          <w:rFonts w:asciiTheme="minorHAnsi" w:hAnsiTheme="minorHAnsi" w:cstheme="minorHAnsi"/>
          <w:color w:val="000000" w:themeColor="text1"/>
          <w:sz w:val="24"/>
          <w:szCs w:val="24"/>
          <w:lang w:val="es-ES_tradnl"/>
        </w:rPr>
        <w:t>: Deporte y actividad física en la inclusión social</w:t>
      </w:r>
      <w:r w:rsidR="00DC1793">
        <w:rPr>
          <w:rFonts w:asciiTheme="minorHAnsi" w:hAnsiTheme="minorHAnsi" w:cstheme="minorHAnsi"/>
          <w:color w:val="000000" w:themeColor="text1"/>
          <w:sz w:val="24"/>
          <w:szCs w:val="24"/>
          <w:lang w:val="es-ES_tradnl"/>
        </w:rPr>
        <w:t>.</w:t>
      </w:r>
      <w:r w:rsidRPr="0051709F">
        <w:rPr>
          <w:rFonts w:asciiTheme="minorHAnsi" w:hAnsiTheme="minorHAnsi" w:cstheme="minorHAnsi"/>
          <w:color w:val="000000" w:themeColor="text1"/>
          <w:sz w:val="24"/>
          <w:szCs w:val="24"/>
          <w:lang w:val="es-ES_tradnl"/>
        </w:rPr>
        <w:t xml:space="preserve"> </w:t>
      </w:r>
    </w:p>
    <w:p w14:paraId="547C897A" w14:textId="33B96EBB" w:rsidR="00C83BA5" w:rsidRPr="0051709F" w:rsidRDefault="00C83BA5" w:rsidP="00E6399B">
      <w:pPr>
        <w:pStyle w:val="Prrafodelista"/>
        <w:numPr>
          <w:ilvl w:val="0"/>
          <w:numId w:val="89"/>
        </w:numPr>
        <w:rPr>
          <w:rFonts w:asciiTheme="minorHAnsi" w:hAnsiTheme="minorHAnsi" w:cstheme="minorHAnsi"/>
          <w:color w:val="000000" w:themeColor="text1"/>
          <w:sz w:val="24"/>
          <w:szCs w:val="24"/>
          <w:lang w:val="es-ES_tradnl"/>
        </w:rPr>
      </w:pPr>
      <w:r w:rsidRPr="0051709F">
        <w:rPr>
          <w:rFonts w:asciiTheme="minorHAnsi" w:hAnsiTheme="minorHAnsi" w:cstheme="minorHAnsi"/>
          <w:color w:val="000000" w:themeColor="text1"/>
          <w:sz w:val="24"/>
          <w:szCs w:val="24"/>
          <w:lang w:val="es-ES_tradnl"/>
        </w:rPr>
        <w:t xml:space="preserve">Área de acción </w:t>
      </w:r>
      <w:r w:rsidR="006F4045">
        <w:rPr>
          <w:rFonts w:asciiTheme="minorHAnsi" w:hAnsiTheme="minorHAnsi" w:cstheme="minorHAnsi"/>
          <w:color w:val="000000" w:themeColor="text1"/>
          <w:sz w:val="24"/>
          <w:szCs w:val="24"/>
          <w:lang w:val="es-ES_tradnl"/>
        </w:rPr>
        <w:t>6</w:t>
      </w:r>
      <w:r w:rsidRPr="0051709F">
        <w:rPr>
          <w:rFonts w:asciiTheme="minorHAnsi" w:hAnsiTheme="minorHAnsi" w:cstheme="minorHAnsi"/>
          <w:color w:val="000000" w:themeColor="text1"/>
          <w:sz w:val="24"/>
          <w:szCs w:val="24"/>
          <w:lang w:val="es-ES_tradnl"/>
        </w:rPr>
        <w:t>: Intervenciones en el entorno físico</w:t>
      </w:r>
      <w:r w:rsidR="00DC1793">
        <w:rPr>
          <w:rFonts w:asciiTheme="minorHAnsi" w:hAnsiTheme="minorHAnsi" w:cstheme="minorHAnsi"/>
          <w:color w:val="000000" w:themeColor="text1"/>
          <w:sz w:val="24"/>
          <w:szCs w:val="24"/>
          <w:lang w:val="es-ES_tradnl"/>
        </w:rPr>
        <w:t xml:space="preserve">, </w:t>
      </w:r>
      <w:r w:rsidRPr="0051709F">
        <w:rPr>
          <w:rFonts w:asciiTheme="minorHAnsi" w:hAnsiTheme="minorHAnsi" w:cstheme="minorHAnsi"/>
          <w:color w:val="000000" w:themeColor="text1"/>
          <w:sz w:val="24"/>
          <w:szCs w:val="24"/>
          <w:lang w:val="es-ES_tradnl"/>
        </w:rPr>
        <w:t>rural y urbano</w:t>
      </w:r>
      <w:r w:rsidR="00DC1793">
        <w:rPr>
          <w:rFonts w:asciiTheme="minorHAnsi" w:hAnsiTheme="minorHAnsi" w:cstheme="minorHAnsi"/>
          <w:color w:val="000000" w:themeColor="text1"/>
          <w:sz w:val="24"/>
          <w:szCs w:val="24"/>
          <w:lang w:val="es-ES_tradnl"/>
        </w:rPr>
        <w:t>.</w:t>
      </w:r>
    </w:p>
    <w:p w14:paraId="48B2EECD" w14:textId="77777777" w:rsidR="00C83BA5" w:rsidRPr="0051709F" w:rsidRDefault="00C83BA5" w:rsidP="00C83BA5">
      <w:pPr>
        <w:rPr>
          <w:rFonts w:cstheme="minorHAnsi"/>
          <w:color w:val="000000" w:themeColor="text1"/>
          <w:lang w:val="es-ES_tradnl"/>
        </w:rPr>
      </w:pPr>
    </w:p>
    <w:p w14:paraId="0E32D1D9" w14:textId="4F85288C" w:rsidR="00EF44E4" w:rsidRPr="0051709F" w:rsidRDefault="00EF44E4" w:rsidP="00EF44E4">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t xml:space="preserve">Ahora bien, tal </w:t>
      </w:r>
      <w:r w:rsidR="00DC1793">
        <w:rPr>
          <w:rFonts w:cstheme="minorHAnsi"/>
          <w:color w:val="000000" w:themeColor="text1"/>
          <w:lang w:val="es-ES_tradnl"/>
        </w:rPr>
        <w:t xml:space="preserve">y </w:t>
      </w:r>
      <w:r w:rsidRPr="0051709F">
        <w:rPr>
          <w:rFonts w:cstheme="minorHAnsi"/>
          <w:color w:val="000000" w:themeColor="text1"/>
          <w:lang w:val="es-ES_tradnl"/>
        </w:rPr>
        <w:t xml:space="preserve">como se identifica con claridad en la </w:t>
      </w:r>
      <w:r w:rsidRPr="0051709F">
        <w:rPr>
          <w:rFonts w:cstheme="minorHAnsi"/>
          <w:i/>
          <w:iCs/>
          <w:color w:val="000000" w:themeColor="text1"/>
          <w:lang w:val="es-ES_tradnl"/>
        </w:rPr>
        <w:t>Encuesta de Hábitos Deportivos 2022</w:t>
      </w:r>
      <w:r w:rsidRPr="0051709F">
        <w:rPr>
          <w:rFonts w:cstheme="minorHAnsi"/>
          <w:color w:val="000000" w:themeColor="text1"/>
          <w:lang w:val="es-ES_tradnl"/>
        </w:rPr>
        <w:t xml:space="preserve">, tanto el sexo, como la edad y el nivel de estudios (representando esta </w:t>
      </w:r>
      <w:r w:rsidR="00DC1793">
        <w:rPr>
          <w:rFonts w:cstheme="minorHAnsi"/>
          <w:color w:val="000000" w:themeColor="text1"/>
          <w:lang w:val="es-ES_tradnl"/>
        </w:rPr>
        <w:t xml:space="preserve">última </w:t>
      </w:r>
      <w:r w:rsidRPr="0051709F">
        <w:rPr>
          <w:rFonts w:cstheme="minorHAnsi"/>
          <w:color w:val="000000" w:themeColor="text1"/>
          <w:lang w:val="es-ES_tradnl"/>
        </w:rPr>
        <w:t xml:space="preserve">variable de manera especialmente relevante las </w:t>
      </w:r>
      <w:r w:rsidR="00DC1793" w:rsidRPr="0051709F">
        <w:rPr>
          <w:rFonts w:cstheme="minorHAnsi"/>
          <w:color w:val="000000" w:themeColor="text1"/>
          <w:lang w:val="es-ES_tradnl"/>
        </w:rPr>
        <w:t>desigualdades</w:t>
      </w:r>
      <w:r w:rsidRPr="0051709F">
        <w:rPr>
          <w:rFonts w:cstheme="minorHAnsi"/>
          <w:color w:val="000000" w:themeColor="text1"/>
          <w:lang w:val="es-ES_tradnl"/>
        </w:rPr>
        <w:t xml:space="preserve"> sociales)</w:t>
      </w:r>
      <w:r w:rsidR="00DC1793">
        <w:rPr>
          <w:rFonts w:cstheme="minorHAnsi"/>
          <w:color w:val="000000" w:themeColor="text1"/>
          <w:lang w:val="es-ES_tradnl"/>
        </w:rPr>
        <w:t>,</w:t>
      </w:r>
      <w:r w:rsidRPr="0051709F">
        <w:rPr>
          <w:rFonts w:cstheme="minorHAnsi"/>
          <w:color w:val="000000" w:themeColor="text1"/>
          <w:lang w:val="es-ES_tradnl"/>
        </w:rPr>
        <w:t xml:space="preserve"> son variables determinantes del nivel de práctica deportiva.</w:t>
      </w:r>
    </w:p>
    <w:p w14:paraId="4EA927DB" w14:textId="77777777" w:rsidR="00EF44E4" w:rsidRPr="0051709F" w:rsidRDefault="00EF44E4" w:rsidP="00EF44E4">
      <w:pPr>
        <w:autoSpaceDE w:val="0"/>
        <w:autoSpaceDN w:val="0"/>
        <w:adjustRightInd w:val="0"/>
        <w:jc w:val="both"/>
        <w:rPr>
          <w:rFonts w:cstheme="minorHAnsi"/>
          <w:color w:val="000000" w:themeColor="text1"/>
          <w:lang w:val="es-ES_tradnl"/>
        </w:rPr>
      </w:pPr>
    </w:p>
    <w:p w14:paraId="4A6AD4F9" w14:textId="3A3B9725" w:rsidR="00EF44E4" w:rsidRPr="0051709F" w:rsidRDefault="00377863" w:rsidP="00EF44E4">
      <w:pPr>
        <w:autoSpaceDE w:val="0"/>
        <w:autoSpaceDN w:val="0"/>
        <w:adjustRightInd w:val="0"/>
        <w:jc w:val="both"/>
        <w:rPr>
          <w:rFonts w:cstheme="minorHAnsi"/>
          <w:color w:val="000000" w:themeColor="text1"/>
          <w:lang w:val="es-ES_tradnl"/>
        </w:rPr>
      </w:pPr>
      <w:r>
        <w:rPr>
          <w:rFonts w:cstheme="minorHAnsi"/>
          <w:color w:val="000000" w:themeColor="text1"/>
          <w:lang w:val="es-ES_tradnl"/>
        </w:rPr>
        <w:t>Así</w:t>
      </w:r>
      <w:r w:rsidR="00EF44E4" w:rsidRPr="0051709F">
        <w:rPr>
          <w:rFonts w:cstheme="minorHAnsi"/>
          <w:color w:val="000000" w:themeColor="text1"/>
          <w:lang w:val="es-ES_tradnl"/>
        </w:rPr>
        <w:t>, existe una brecha deportiva de 11,3 puntos en favor de los hombres respecto a las mujeres. La diferencia es aún más palpable entre los diferentes grupos de edad, que alcanza su punto máximo entre los 15 y 24 años con una práctica del 82,9% y que va reduciéndose hasta limitarse al 36,7%</w:t>
      </w:r>
      <w:r w:rsidR="00DC1793">
        <w:rPr>
          <w:rFonts w:cstheme="minorHAnsi"/>
          <w:color w:val="000000" w:themeColor="text1"/>
          <w:lang w:val="es-ES_tradnl"/>
        </w:rPr>
        <w:t xml:space="preserve"> de</w:t>
      </w:r>
      <w:r w:rsidR="00EF44E4" w:rsidRPr="0051709F">
        <w:rPr>
          <w:rFonts w:cstheme="minorHAnsi"/>
          <w:color w:val="000000" w:themeColor="text1"/>
          <w:lang w:val="es-ES_tradnl"/>
        </w:rPr>
        <w:t xml:space="preserve"> practicantes entre los mayores de 55 años. El nivel de estudios</w:t>
      </w:r>
      <w:r w:rsidR="00DC1793">
        <w:rPr>
          <w:rFonts w:cstheme="minorHAnsi"/>
          <w:color w:val="000000" w:themeColor="text1"/>
          <w:lang w:val="es-ES_tradnl"/>
        </w:rPr>
        <w:t>,</w:t>
      </w:r>
      <w:r w:rsidR="00EF44E4" w:rsidRPr="0051709F">
        <w:rPr>
          <w:rFonts w:cstheme="minorHAnsi"/>
          <w:color w:val="000000" w:themeColor="text1"/>
          <w:lang w:val="es-ES_tradnl"/>
        </w:rPr>
        <w:t xml:space="preserve"> por su parte</w:t>
      </w:r>
      <w:r w:rsidR="00DC1793">
        <w:rPr>
          <w:rFonts w:cstheme="minorHAnsi"/>
          <w:color w:val="000000" w:themeColor="text1"/>
          <w:lang w:val="es-ES_tradnl"/>
        </w:rPr>
        <w:t>,</w:t>
      </w:r>
      <w:r w:rsidR="00EF44E4" w:rsidRPr="0051709F">
        <w:rPr>
          <w:rFonts w:cstheme="minorHAnsi"/>
          <w:color w:val="000000" w:themeColor="text1"/>
          <w:lang w:val="es-ES_tradnl"/>
        </w:rPr>
        <w:t xml:space="preserve"> también es un factor fundamental, como demuestra la brecha de 32,1 puntos entre aquellas personas con una menor formación (41,3%) y el segmento de población que tiene estudios superiores (74,1%).</w:t>
      </w:r>
    </w:p>
    <w:p w14:paraId="711C9288" w14:textId="77777777" w:rsidR="00EF44E4" w:rsidRPr="0051709F" w:rsidRDefault="00EF44E4" w:rsidP="00C83BA5">
      <w:pPr>
        <w:jc w:val="both"/>
        <w:rPr>
          <w:rFonts w:cstheme="minorHAnsi"/>
          <w:color w:val="000000" w:themeColor="text1"/>
          <w:lang w:val="es-ES_tradnl"/>
        </w:rPr>
      </w:pPr>
    </w:p>
    <w:p w14:paraId="13801461" w14:textId="5050E0A5" w:rsidR="00C83BA5" w:rsidRPr="0051709F" w:rsidRDefault="00DC3CB1" w:rsidP="00C83BA5">
      <w:pPr>
        <w:jc w:val="both"/>
        <w:rPr>
          <w:rFonts w:cstheme="minorHAnsi"/>
          <w:color w:val="000000" w:themeColor="text1"/>
          <w:lang w:val="es-ES_tradnl"/>
        </w:rPr>
      </w:pPr>
      <w:r w:rsidRPr="0051709F">
        <w:rPr>
          <w:rFonts w:cstheme="minorHAnsi"/>
          <w:color w:val="000000" w:themeColor="text1"/>
          <w:lang w:val="es-ES_tradnl"/>
        </w:rPr>
        <w:t>La F</w:t>
      </w:r>
      <w:r w:rsidR="00C83BA5" w:rsidRPr="0051709F">
        <w:rPr>
          <w:rFonts w:cstheme="minorHAnsi"/>
          <w:color w:val="000000" w:themeColor="text1"/>
          <w:lang w:val="es-ES_tradnl"/>
        </w:rPr>
        <w:t>igura 1</w:t>
      </w:r>
      <w:r w:rsidR="00324B51">
        <w:rPr>
          <w:rFonts w:cstheme="minorHAnsi"/>
          <w:color w:val="000000" w:themeColor="text1"/>
          <w:lang w:val="es-ES_tradnl"/>
        </w:rPr>
        <w:t>,</w:t>
      </w:r>
      <w:r w:rsidR="00C83BA5" w:rsidRPr="0051709F">
        <w:rPr>
          <w:rFonts w:cstheme="minorHAnsi"/>
          <w:color w:val="000000" w:themeColor="text1"/>
          <w:lang w:val="es-ES_tradnl"/>
        </w:rPr>
        <w:t xml:space="preserve"> incluida a continuación</w:t>
      </w:r>
      <w:r w:rsidR="00DC1793">
        <w:rPr>
          <w:rFonts w:cstheme="minorHAnsi"/>
          <w:color w:val="000000" w:themeColor="text1"/>
          <w:lang w:val="es-ES_tradnl"/>
        </w:rPr>
        <w:t>,</w:t>
      </w:r>
      <w:r w:rsidR="00C83BA5" w:rsidRPr="0051709F">
        <w:rPr>
          <w:rFonts w:cstheme="minorHAnsi"/>
          <w:color w:val="000000" w:themeColor="text1"/>
          <w:lang w:val="es-ES_tradnl"/>
        </w:rPr>
        <w:t xml:space="preserve"> representa con claridad esta estructura de organización y desarrollo de la Estrategia Nacional</w:t>
      </w:r>
      <w:r w:rsidR="00EF44E4" w:rsidRPr="0051709F">
        <w:rPr>
          <w:rFonts w:cstheme="minorHAnsi"/>
          <w:color w:val="000000" w:themeColor="text1"/>
          <w:lang w:val="es-ES_tradnl"/>
        </w:rPr>
        <w:t xml:space="preserve">, en la que se representan también sus dos criterios de desarrollo e implementación fundamentales. Todas las áreas de intervención deben </w:t>
      </w:r>
      <w:r w:rsidR="00EF44E4" w:rsidRPr="00324B51">
        <w:rPr>
          <w:rFonts w:cstheme="minorHAnsi"/>
          <w:color w:val="000000" w:themeColor="text1"/>
          <w:u w:val="single"/>
          <w:lang w:val="es-ES_tradnl"/>
        </w:rPr>
        <w:t>priorizar actuaciones orientadas a reducir la brecha de género y las desigualdades sociales</w:t>
      </w:r>
      <w:r w:rsidR="00EF44E4" w:rsidRPr="0051709F">
        <w:rPr>
          <w:rFonts w:cstheme="minorHAnsi"/>
          <w:color w:val="000000" w:themeColor="text1"/>
          <w:lang w:val="es-ES_tradnl"/>
        </w:rPr>
        <w:t xml:space="preserve">. De esta forma, la estrategia propuesta es por </w:t>
      </w:r>
      <w:r w:rsidR="006137FB" w:rsidRPr="0051709F">
        <w:rPr>
          <w:rFonts w:cstheme="minorHAnsi"/>
          <w:color w:val="000000" w:themeColor="text1"/>
          <w:lang w:val="es-ES_tradnl"/>
        </w:rPr>
        <w:t>definición</w:t>
      </w:r>
      <w:r w:rsidR="00EF44E4" w:rsidRPr="0051709F">
        <w:rPr>
          <w:rFonts w:cstheme="minorHAnsi"/>
          <w:color w:val="000000" w:themeColor="text1"/>
          <w:lang w:val="es-ES_tradnl"/>
        </w:rPr>
        <w:t xml:space="preserve"> asimétrica, atendiendo a la estructura social de nuestro país y a estos dos retos críticos para nuestro futuro. </w:t>
      </w:r>
    </w:p>
    <w:p w14:paraId="339A81EA" w14:textId="77777777" w:rsidR="00C83BA5" w:rsidRPr="0051709F" w:rsidRDefault="00C83BA5" w:rsidP="00C83BA5">
      <w:pPr>
        <w:jc w:val="both"/>
        <w:rPr>
          <w:rFonts w:cstheme="minorHAnsi"/>
          <w:color w:val="000000" w:themeColor="text1"/>
          <w:lang w:val="es-ES_tradnl"/>
        </w:rPr>
      </w:pPr>
    </w:p>
    <w:p w14:paraId="24B8B5B3" w14:textId="77777777" w:rsidR="0037670D" w:rsidRPr="0051709F" w:rsidRDefault="0037670D" w:rsidP="00C83BA5">
      <w:pPr>
        <w:jc w:val="both"/>
        <w:rPr>
          <w:rFonts w:cstheme="minorHAnsi"/>
          <w:color w:val="000000" w:themeColor="text1"/>
          <w:lang w:val="es-ES_tradnl"/>
        </w:rPr>
      </w:pPr>
    </w:p>
    <w:tbl>
      <w:tblPr>
        <w:tblStyle w:val="Tablaconcuadrcula"/>
        <w:tblW w:w="8931" w:type="dxa"/>
        <w:tblInd w:w="-147" w:type="dxa"/>
        <w:tblLook w:val="04A0" w:firstRow="1" w:lastRow="0" w:firstColumn="1" w:lastColumn="0" w:noHBand="0" w:noVBand="1"/>
      </w:tblPr>
      <w:tblGrid>
        <w:gridCol w:w="9356"/>
      </w:tblGrid>
      <w:tr w:rsidR="0037670D" w:rsidRPr="0051709F" w14:paraId="4D3C09EA" w14:textId="77777777" w:rsidTr="0072261F">
        <w:tc>
          <w:tcPr>
            <w:tcW w:w="8931" w:type="dxa"/>
          </w:tcPr>
          <w:p w14:paraId="1C463A6C" w14:textId="427C27A1" w:rsidR="0037670D" w:rsidRPr="0051709F" w:rsidRDefault="00377863" w:rsidP="0072261F">
            <w:pPr>
              <w:jc w:val="center"/>
              <w:rPr>
                <w:rFonts w:cstheme="minorHAnsi"/>
                <w:color w:val="000000" w:themeColor="text1"/>
                <w:sz w:val="24"/>
                <w:szCs w:val="24"/>
              </w:rPr>
            </w:pPr>
            <w:r w:rsidRPr="00377863">
              <w:rPr>
                <w:rFonts w:cstheme="minorHAnsi"/>
                <w:noProof/>
                <w:color w:val="000000" w:themeColor="text1"/>
              </w:rPr>
              <w:lastRenderedPageBreak/>
              <w:drawing>
                <wp:inline distT="0" distB="0" distL="0" distR="0" wp14:anchorId="30092794" wp14:editId="15399537">
                  <wp:extent cx="5802641" cy="3263900"/>
                  <wp:effectExtent l="0" t="0" r="1270" b="0"/>
                  <wp:docPr id="564200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00128" name=""/>
                          <pic:cNvPicPr/>
                        </pic:nvPicPr>
                        <pic:blipFill>
                          <a:blip r:embed="rId8"/>
                          <a:stretch>
                            <a:fillRect/>
                          </a:stretch>
                        </pic:blipFill>
                        <pic:spPr>
                          <a:xfrm>
                            <a:off x="0" y="0"/>
                            <a:ext cx="5806129" cy="3265862"/>
                          </a:xfrm>
                          <a:prstGeom prst="rect">
                            <a:avLst/>
                          </a:prstGeom>
                        </pic:spPr>
                      </pic:pic>
                    </a:graphicData>
                  </a:graphic>
                </wp:inline>
              </w:drawing>
            </w:r>
          </w:p>
        </w:tc>
      </w:tr>
    </w:tbl>
    <w:p w14:paraId="4668A592" w14:textId="77777777" w:rsidR="00956F65" w:rsidRPr="0051709F" w:rsidRDefault="00956F65" w:rsidP="00956F65">
      <w:pPr>
        <w:jc w:val="center"/>
        <w:rPr>
          <w:rFonts w:cstheme="minorHAnsi"/>
          <w:color w:val="000000" w:themeColor="text1"/>
        </w:rPr>
      </w:pPr>
    </w:p>
    <w:p w14:paraId="13553731" w14:textId="698FA2E2" w:rsidR="0037670D" w:rsidRPr="007B667D" w:rsidRDefault="00956F65" w:rsidP="00956F65">
      <w:pPr>
        <w:jc w:val="center"/>
        <w:rPr>
          <w:rFonts w:cstheme="minorHAnsi"/>
          <w:i/>
          <w:iCs/>
          <w:color w:val="000000" w:themeColor="text1"/>
          <w:sz w:val="22"/>
          <w:szCs w:val="22"/>
          <w:lang w:val="es-ES_tradnl"/>
        </w:rPr>
      </w:pPr>
      <w:r w:rsidRPr="007B667D">
        <w:rPr>
          <w:rFonts w:cstheme="minorHAnsi"/>
          <w:i/>
          <w:iCs/>
          <w:color w:val="000000" w:themeColor="text1"/>
          <w:sz w:val="22"/>
          <w:szCs w:val="22"/>
        </w:rPr>
        <w:t>F</w:t>
      </w:r>
      <w:proofErr w:type="spellStart"/>
      <w:r w:rsidRPr="007B667D">
        <w:rPr>
          <w:rFonts w:cstheme="minorHAnsi"/>
          <w:i/>
          <w:iCs/>
          <w:color w:val="000000" w:themeColor="text1"/>
          <w:sz w:val="22"/>
          <w:szCs w:val="22"/>
          <w:lang w:val="es-ES_tradnl"/>
        </w:rPr>
        <w:t>igura</w:t>
      </w:r>
      <w:proofErr w:type="spellEnd"/>
      <w:r w:rsidRPr="007B667D">
        <w:rPr>
          <w:rFonts w:cstheme="minorHAnsi"/>
          <w:i/>
          <w:iCs/>
          <w:color w:val="000000" w:themeColor="text1"/>
          <w:sz w:val="22"/>
          <w:szCs w:val="22"/>
          <w:lang w:val="es-ES_tradnl"/>
        </w:rPr>
        <w:t xml:space="preserve"> 1: Estructura de organización y desarrollo de la Estrategia Nacional</w:t>
      </w:r>
    </w:p>
    <w:p w14:paraId="3D713EEB" w14:textId="77777777" w:rsidR="0037670D" w:rsidRPr="0051709F" w:rsidRDefault="0037670D" w:rsidP="00C83BA5">
      <w:pPr>
        <w:jc w:val="both"/>
        <w:rPr>
          <w:rFonts w:cstheme="minorHAnsi"/>
          <w:color w:val="000000" w:themeColor="text1"/>
          <w:lang w:val="es-ES_tradnl"/>
        </w:rPr>
      </w:pPr>
    </w:p>
    <w:p w14:paraId="583C0E74" w14:textId="7E68E1B8" w:rsidR="009E16DD" w:rsidRDefault="009E16DD" w:rsidP="00C83BA5">
      <w:pPr>
        <w:jc w:val="both"/>
        <w:rPr>
          <w:rFonts w:cstheme="minorHAnsi"/>
          <w:color w:val="000000" w:themeColor="text1"/>
          <w:lang w:val="es-ES_tradnl"/>
        </w:rPr>
      </w:pPr>
      <w:r>
        <w:rPr>
          <w:rFonts w:cstheme="minorHAnsi"/>
          <w:color w:val="000000" w:themeColor="text1"/>
          <w:lang w:val="es-ES_tradnl"/>
        </w:rPr>
        <w:t>S</w:t>
      </w:r>
      <w:r w:rsidR="00C83BA5" w:rsidRPr="0051709F">
        <w:rPr>
          <w:rFonts w:cstheme="minorHAnsi"/>
          <w:color w:val="000000" w:themeColor="text1"/>
          <w:lang w:val="es-ES_tradnl"/>
        </w:rPr>
        <w:t>e incluye</w:t>
      </w:r>
      <w:r>
        <w:rPr>
          <w:rFonts w:cstheme="minorHAnsi"/>
          <w:color w:val="000000" w:themeColor="text1"/>
          <w:lang w:val="es-ES_tradnl"/>
        </w:rPr>
        <w:t>, a continuación, un marco de actuación como parte de la Estrategia y que será desarrollado por el conjunto de actores públicos y privados del sector del deporte.</w:t>
      </w:r>
    </w:p>
    <w:p w14:paraId="04A01700" w14:textId="77777777" w:rsidR="009E16DD" w:rsidRDefault="009E16DD" w:rsidP="00C83BA5">
      <w:pPr>
        <w:jc w:val="both"/>
        <w:rPr>
          <w:rFonts w:cstheme="minorHAnsi"/>
          <w:color w:val="000000" w:themeColor="text1"/>
          <w:lang w:val="es-ES_tradnl"/>
        </w:rPr>
      </w:pPr>
    </w:p>
    <w:p w14:paraId="34C2C536" w14:textId="550995A6" w:rsidR="00DF3DF5" w:rsidRPr="0051709F" w:rsidRDefault="009E16DD" w:rsidP="00C83BA5">
      <w:pPr>
        <w:jc w:val="both"/>
        <w:rPr>
          <w:rFonts w:cstheme="minorHAnsi"/>
          <w:color w:val="000000" w:themeColor="text1"/>
          <w:lang w:val="es-ES_tradnl"/>
        </w:rPr>
      </w:pPr>
      <w:r>
        <w:rPr>
          <w:rFonts w:cstheme="minorHAnsi"/>
          <w:color w:val="000000" w:themeColor="text1"/>
          <w:lang w:val="es-ES_tradnl"/>
        </w:rPr>
        <w:t>Por último se han incorporado a la estrategia tres</w:t>
      </w:r>
      <w:r w:rsidR="00C83BA5" w:rsidRPr="0051709F">
        <w:rPr>
          <w:rFonts w:cstheme="minorHAnsi"/>
          <w:color w:val="000000" w:themeColor="text1"/>
          <w:lang w:val="es-ES_tradnl"/>
        </w:rPr>
        <w:t xml:space="preserve"> anexos con información complementaria de valor para la comprensión del conjunto de la </w:t>
      </w:r>
      <w:r w:rsidR="006137FB">
        <w:rPr>
          <w:rFonts w:cstheme="minorHAnsi"/>
          <w:color w:val="000000" w:themeColor="text1"/>
          <w:lang w:val="es-ES_tradnl"/>
        </w:rPr>
        <w:t>Estrategia</w:t>
      </w:r>
      <w:r w:rsidR="00324B51">
        <w:rPr>
          <w:rFonts w:cstheme="minorHAnsi"/>
          <w:color w:val="000000" w:themeColor="text1"/>
          <w:lang w:val="es-ES_tradnl"/>
        </w:rPr>
        <w:t>: e</w:t>
      </w:r>
      <w:r w:rsidR="00C83BA5" w:rsidRPr="0051709F">
        <w:rPr>
          <w:rFonts w:cstheme="minorHAnsi"/>
          <w:color w:val="000000" w:themeColor="text1"/>
          <w:lang w:val="es-ES_tradnl"/>
        </w:rPr>
        <w:t>n el anexo 2 se incluyen todas las referencias bibliográficas que han informado la propuesta en cada caso</w:t>
      </w:r>
      <w:r w:rsidR="00324B51">
        <w:rPr>
          <w:rFonts w:cstheme="minorHAnsi"/>
          <w:color w:val="000000" w:themeColor="text1"/>
          <w:lang w:val="es-ES_tradnl"/>
        </w:rPr>
        <w:t>; e</w:t>
      </w:r>
      <w:r w:rsidR="00C83BA5" w:rsidRPr="0051709F">
        <w:rPr>
          <w:rFonts w:cstheme="minorHAnsi"/>
          <w:color w:val="000000" w:themeColor="text1"/>
          <w:lang w:val="es-ES_tradnl"/>
        </w:rPr>
        <w:t xml:space="preserve">l anexo 3 incorpora un elemento de alto valor para la posterior implementación coordinada de la Estrategia, pues recoge un repositorio de buenas prácticas desarrolladas y ya en marcha en nuestro contexto nacional, que pueden facilitar la </w:t>
      </w:r>
      <w:r w:rsidR="00165F8D">
        <w:rPr>
          <w:rFonts w:cstheme="minorHAnsi"/>
          <w:color w:val="000000" w:themeColor="text1"/>
          <w:lang w:val="es-ES_tradnl"/>
        </w:rPr>
        <w:t>implantación</w:t>
      </w:r>
      <w:r w:rsidR="00C83BA5" w:rsidRPr="0051709F">
        <w:rPr>
          <w:rFonts w:cstheme="minorHAnsi"/>
          <w:color w:val="000000" w:themeColor="text1"/>
          <w:lang w:val="es-ES_tradnl"/>
        </w:rPr>
        <w:t xml:space="preserve"> de las diferentes acciones específicas en cada área de intervención</w:t>
      </w:r>
      <w:r w:rsidR="00165F8D">
        <w:rPr>
          <w:rFonts w:cstheme="minorHAnsi"/>
          <w:color w:val="000000" w:themeColor="text1"/>
          <w:lang w:val="es-ES_tradnl"/>
        </w:rPr>
        <w:t xml:space="preserve">; y finalmente, </w:t>
      </w:r>
      <w:r w:rsidR="00C83BA5" w:rsidRPr="0051709F">
        <w:rPr>
          <w:rFonts w:cstheme="minorHAnsi"/>
          <w:color w:val="000000" w:themeColor="text1"/>
          <w:lang w:val="es-ES_tradnl"/>
        </w:rPr>
        <w:t>el anexo 4 incluye información concreta sobre el equipo completo de expertos y colaboradores que han participado en la elaboración de la propuesta.</w:t>
      </w:r>
      <w:r w:rsidR="00DF3DF5" w:rsidRPr="0051709F">
        <w:rPr>
          <w:rFonts w:cstheme="minorHAnsi"/>
          <w:color w:val="000000" w:themeColor="text1"/>
          <w:lang w:val="es-ES_tradnl"/>
        </w:rPr>
        <w:br w:type="page"/>
      </w:r>
    </w:p>
    <w:p w14:paraId="77710637" w14:textId="77777777" w:rsidR="005C41CD" w:rsidRDefault="005C41CD" w:rsidP="00DF3DF5">
      <w:pPr>
        <w:pStyle w:val="Ttulo1"/>
        <w:rPr>
          <w:rFonts w:asciiTheme="minorHAnsi" w:hAnsiTheme="minorHAnsi" w:cstheme="minorHAnsi"/>
          <w:sz w:val="28"/>
          <w:szCs w:val="28"/>
        </w:rPr>
      </w:pPr>
    </w:p>
    <w:p w14:paraId="4B7600E5" w14:textId="77777777" w:rsidR="005C41CD" w:rsidRDefault="005C41CD" w:rsidP="00DF3DF5">
      <w:pPr>
        <w:pStyle w:val="Ttulo1"/>
        <w:rPr>
          <w:rFonts w:asciiTheme="minorHAnsi" w:hAnsiTheme="minorHAnsi" w:cstheme="minorHAnsi"/>
          <w:sz w:val="28"/>
          <w:szCs w:val="28"/>
        </w:rPr>
      </w:pPr>
    </w:p>
    <w:p w14:paraId="57D153BE" w14:textId="77777777" w:rsidR="005C41CD" w:rsidRDefault="005C41CD" w:rsidP="00DF3DF5">
      <w:pPr>
        <w:pStyle w:val="Ttulo1"/>
        <w:rPr>
          <w:rFonts w:asciiTheme="minorHAnsi" w:hAnsiTheme="minorHAnsi" w:cstheme="minorHAnsi"/>
          <w:sz w:val="28"/>
          <w:szCs w:val="28"/>
        </w:rPr>
      </w:pPr>
    </w:p>
    <w:p w14:paraId="0862296A" w14:textId="77777777" w:rsidR="005C41CD" w:rsidRDefault="005C41CD" w:rsidP="00DF3DF5">
      <w:pPr>
        <w:pStyle w:val="Ttulo1"/>
        <w:rPr>
          <w:rFonts w:asciiTheme="minorHAnsi" w:hAnsiTheme="minorHAnsi" w:cstheme="minorHAnsi"/>
          <w:sz w:val="28"/>
          <w:szCs w:val="28"/>
        </w:rPr>
      </w:pPr>
    </w:p>
    <w:p w14:paraId="57A8001B" w14:textId="77777777" w:rsidR="005C41CD" w:rsidRDefault="005C41CD" w:rsidP="00DF3DF5">
      <w:pPr>
        <w:pStyle w:val="Ttulo1"/>
        <w:rPr>
          <w:rFonts w:asciiTheme="minorHAnsi" w:hAnsiTheme="minorHAnsi" w:cstheme="minorHAnsi"/>
          <w:sz w:val="28"/>
          <w:szCs w:val="28"/>
        </w:rPr>
      </w:pPr>
    </w:p>
    <w:p w14:paraId="4DA4BDAC" w14:textId="77777777" w:rsidR="005C41CD" w:rsidRDefault="005C41CD" w:rsidP="00DF3DF5">
      <w:pPr>
        <w:pStyle w:val="Ttulo1"/>
        <w:rPr>
          <w:rFonts w:asciiTheme="minorHAnsi" w:hAnsiTheme="minorHAnsi" w:cstheme="minorHAnsi"/>
          <w:sz w:val="28"/>
          <w:szCs w:val="28"/>
        </w:rPr>
      </w:pPr>
    </w:p>
    <w:p w14:paraId="501E4028" w14:textId="77777777" w:rsidR="005C41CD" w:rsidRDefault="005C41CD" w:rsidP="00DF3DF5">
      <w:pPr>
        <w:pStyle w:val="Ttulo1"/>
        <w:rPr>
          <w:rFonts w:asciiTheme="minorHAnsi" w:hAnsiTheme="minorHAnsi" w:cstheme="minorHAnsi"/>
          <w:sz w:val="28"/>
          <w:szCs w:val="28"/>
        </w:rPr>
      </w:pPr>
    </w:p>
    <w:p w14:paraId="39432ED9" w14:textId="77777777" w:rsidR="005C41CD" w:rsidRDefault="005C41CD" w:rsidP="00DF3DF5">
      <w:pPr>
        <w:pStyle w:val="Ttulo1"/>
        <w:rPr>
          <w:rFonts w:asciiTheme="minorHAnsi" w:hAnsiTheme="minorHAnsi" w:cstheme="minorHAnsi"/>
          <w:sz w:val="28"/>
          <w:szCs w:val="28"/>
        </w:rPr>
      </w:pPr>
    </w:p>
    <w:p w14:paraId="185BEFDF" w14:textId="77777777" w:rsidR="005C41CD" w:rsidRDefault="005C41CD" w:rsidP="00DF3DF5">
      <w:pPr>
        <w:pStyle w:val="Ttulo1"/>
        <w:rPr>
          <w:rFonts w:asciiTheme="minorHAnsi" w:hAnsiTheme="minorHAnsi" w:cstheme="minorHAnsi"/>
          <w:sz w:val="28"/>
          <w:szCs w:val="28"/>
        </w:rPr>
      </w:pPr>
    </w:p>
    <w:p w14:paraId="2876C639" w14:textId="77777777" w:rsidR="005C41CD" w:rsidRDefault="005C41CD" w:rsidP="00DF3DF5">
      <w:pPr>
        <w:pStyle w:val="Ttulo1"/>
        <w:rPr>
          <w:rFonts w:asciiTheme="minorHAnsi" w:hAnsiTheme="minorHAnsi" w:cstheme="minorHAnsi"/>
          <w:sz w:val="28"/>
          <w:szCs w:val="28"/>
        </w:rPr>
      </w:pPr>
    </w:p>
    <w:p w14:paraId="4DAD3C5A" w14:textId="77777777" w:rsidR="005C41CD" w:rsidRDefault="005C41CD" w:rsidP="00DF3DF5">
      <w:pPr>
        <w:pStyle w:val="Ttulo1"/>
        <w:rPr>
          <w:rFonts w:asciiTheme="minorHAnsi" w:hAnsiTheme="minorHAnsi" w:cstheme="minorHAnsi"/>
          <w:sz w:val="28"/>
          <w:szCs w:val="28"/>
        </w:rPr>
      </w:pPr>
    </w:p>
    <w:p w14:paraId="01C3FF16" w14:textId="77777777" w:rsidR="005C41CD" w:rsidRDefault="005C41CD" w:rsidP="00DF3DF5">
      <w:pPr>
        <w:pStyle w:val="Ttulo1"/>
        <w:rPr>
          <w:rFonts w:asciiTheme="minorHAnsi" w:hAnsiTheme="minorHAnsi" w:cstheme="minorHAnsi"/>
          <w:sz w:val="28"/>
          <w:szCs w:val="28"/>
        </w:rPr>
      </w:pPr>
    </w:p>
    <w:p w14:paraId="24F4BE08" w14:textId="77777777" w:rsidR="005C41CD" w:rsidRDefault="005C41CD" w:rsidP="00DF3DF5">
      <w:pPr>
        <w:pStyle w:val="Ttulo1"/>
        <w:rPr>
          <w:rFonts w:asciiTheme="minorHAnsi" w:hAnsiTheme="minorHAnsi" w:cstheme="minorHAnsi"/>
          <w:sz w:val="28"/>
          <w:szCs w:val="28"/>
        </w:rPr>
      </w:pPr>
    </w:p>
    <w:p w14:paraId="3A41ADCE" w14:textId="77777777" w:rsidR="005C41CD" w:rsidRDefault="005C41CD" w:rsidP="005C41CD"/>
    <w:p w14:paraId="44FE6762" w14:textId="77777777" w:rsidR="005C41CD" w:rsidRPr="005C41CD" w:rsidRDefault="005C41CD" w:rsidP="005C41CD"/>
    <w:p w14:paraId="324A8C61" w14:textId="77777777" w:rsidR="005C41CD" w:rsidRDefault="005C41CD" w:rsidP="005C41CD"/>
    <w:p w14:paraId="3B42F014" w14:textId="77777777" w:rsidR="005C41CD" w:rsidRPr="005C41CD" w:rsidRDefault="005C41CD" w:rsidP="005C41CD">
      <w:pPr>
        <w:pStyle w:val="Ttulo1"/>
        <w:jc w:val="right"/>
        <w:rPr>
          <w:rFonts w:asciiTheme="minorHAnsi" w:hAnsiTheme="minorHAnsi" w:cstheme="minorHAnsi"/>
        </w:rPr>
      </w:pPr>
      <w:r w:rsidRPr="005C41CD">
        <w:rPr>
          <w:rFonts w:asciiTheme="minorHAnsi" w:hAnsiTheme="minorHAnsi" w:cstheme="minorHAnsi"/>
        </w:rPr>
        <w:t>#1. Contexto</w:t>
      </w:r>
    </w:p>
    <w:p w14:paraId="7F2B4D57" w14:textId="77777777" w:rsidR="005C41CD" w:rsidRPr="005C41CD" w:rsidRDefault="005C41CD" w:rsidP="005C41CD"/>
    <w:p w14:paraId="78927C8D" w14:textId="77777777" w:rsidR="005C41CD" w:rsidRDefault="005C41CD" w:rsidP="00DF3DF5">
      <w:pPr>
        <w:pStyle w:val="Ttulo1"/>
        <w:rPr>
          <w:rFonts w:asciiTheme="minorHAnsi" w:hAnsiTheme="minorHAnsi" w:cstheme="minorHAnsi"/>
          <w:sz w:val="28"/>
          <w:szCs w:val="28"/>
        </w:rPr>
      </w:pPr>
    </w:p>
    <w:p w14:paraId="5AE1ACF6" w14:textId="77777777" w:rsidR="005C41CD" w:rsidRDefault="005C41CD" w:rsidP="00DF3DF5">
      <w:pPr>
        <w:pStyle w:val="Ttulo1"/>
        <w:rPr>
          <w:rFonts w:asciiTheme="minorHAnsi" w:hAnsiTheme="minorHAnsi" w:cstheme="minorHAnsi"/>
          <w:sz w:val="28"/>
          <w:szCs w:val="28"/>
        </w:rPr>
      </w:pPr>
    </w:p>
    <w:p w14:paraId="2CE9B6D8" w14:textId="77777777" w:rsidR="005C41CD" w:rsidRDefault="005C41CD" w:rsidP="00DF3DF5">
      <w:pPr>
        <w:pStyle w:val="Ttulo1"/>
        <w:rPr>
          <w:rFonts w:asciiTheme="minorHAnsi" w:hAnsiTheme="minorHAnsi" w:cstheme="minorHAnsi"/>
          <w:sz w:val="28"/>
          <w:szCs w:val="28"/>
        </w:rPr>
      </w:pPr>
    </w:p>
    <w:p w14:paraId="472763BA" w14:textId="77777777" w:rsidR="005C41CD" w:rsidRDefault="005C41CD" w:rsidP="00DF3DF5">
      <w:pPr>
        <w:pStyle w:val="Ttulo1"/>
        <w:rPr>
          <w:rFonts w:asciiTheme="minorHAnsi" w:hAnsiTheme="minorHAnsi" w:cstheme="minorHAnsi"/>
          <w:sz w:val="28"/>
          <w:szCs w:val="28"/>
        </w:rPr>
      </w:pPr>
    </w:p>
    <w:p w14:paraId="5586851D" w14:textId="77777777" w:rsidR="005C41CD" w:rsidRDefault="005C41CD" w:rsidP="00DF3DF5">
      <w:pPr>
        <w:pStyle w:val="Ttulo1"/>
        <w:rPr>
          <w:rFonts w:asciiTheme="minorHAnsi" w:hAnsiTheme="minorHAnsi" w:cstheme="minorHAnsi"/>
          <w:sz w:val="28"/>
          <w:szCs w:val="28"/>
        </w:rPr>
      </w:pPr>
    </w:p>
    <w:p w14:paraId="5EA94277" w14:textId="77777777" w:rsidR="005C41CD" w:rsidRDefault="005C41CD" w:rsidP="005C41CD"/>
    <w:p w14:paraId="0DCD3B2D" w14:textId="77777777" w:rsidR="005C41CD" w:rsidRDefault="005C41CD" w:rsidP="005C41CD"/>
    <w:p w14:paraId="323F2123" w14:textId="77777777" w:rsidR="005C41CD" w:rsidRDefault="005C41CD" w:rsidP="005C41CD"/>
    <w:p w14:paraId="4DEDBD5C" w14:textId="77777777" w:rsidR="005C41CD" w:rsidRDefault="005C41CD" w:rsidP="005C41CD"/>
    <w:p w14:paraId="226A1282" w14:textId="77777777" w:rsidR="005C41CD" w:rsidRDefault="005C41CD" w:rsidP="005C41CD"/>
    <w:p w14:paraId="040CEBB7" w14:textId="77777777" w:rsidR="005C41CD" w:rsidRDefault="005C41CD" w:rsidP="005C41CD"/>
    <w:p w14:paraId="7A138DE6" w14:textId="77777777" w:rsidR="005C41CD" w:rsidRPr="005C41CD" w:rsidRDefault="005C41CD" w:rsidP="005C41CD"/>
    <w:p w14:paraId="51CECAAE" w14:textId="4D29BEB8" w:rsidR="00EE5290" w:rsidRPr="005145E0" w:rsidRDefault="00CB63B2" w:rsidP="00DF3DF5">
      <w:pPr>
        <w:pStyle w:val="Ttulo1"/>
        <w:rPr>
          <w:rFonts w:asciiTheme="minorHAnsi" w:hAnsiTheme="minorHAnsi" w:cstheme="minorHAnsi"/>
          <w:sz w:val="28"/>
          <w:szCs w:val="28"/>
        </w:rPr>
      </w:pPr>
      <w:r w:rsidRPr="005145E0">
        <w:rPr>
          <w:rFonts w:asciiTheme="minorHAnsi" w:hAnsiTheme="minorHAnsi" w:cstheme="minorHAnsi"/>
          <w:sz w:val="28"/>
          <w:szCs w:val="28"/>
        </w:rPr>
        <w:t xml:space="preserve">#1. </w:t>
      </w:r>
      <w:r w:rsidR="00EE5290" w:rsidRPr="005145E0">
        <w:rPr>
          <w:rFonts w:asciiTheme="minorHAnsi" w:hAnsiTheme="minorHAnsi" w:cstheme="minorHAnsi"/>
          <w:sz w:val="28"/>
          <w:szCs w:val="28"/>
        </w:rPr>
        <w:t>Contexto</w:t>
      </w:r>
    </w:p>
    <w:p w14:paraId="0542465D" w14:textId="77777777" w:rsidR="00EE5290" w:rsidRPr="0051709F" w:rsidRDefault="00EE5290" w:rsidP="00EE5290">
      <w:pPr>
        <w:rPr>
          <w:rFonts w:cstheme="minorHAnsi"/>
          <w:color w:val="000000" w:themeColor="text1"/>
          <w:lang w:val="es-ES_tradnl"/>
        </w:rPr>
      </w:pPr>
    </w:p>
    <w:p w14:paraId="2F50DE8B" w14:textId="078B9678" w:rsidR="00CB63B2" w:rsidRPr="0051709F" w:rsidRDefault="00AA7C4C" w:rsidP="00EE5290">
      <w:pPr>
        <w:jc w:val="both"/>
        <w:rPr>
          <w:rFonts w:cstheme="minorHAnsi"/>
        </w:rPr>
      </w:pPr>
      <w:r w:rsidRPr="0051709F">
        <w:rPr>
          <w:rFonts w:cstheme="minorHAnsi"/>
        </w:rPr>
        <w:t>El Plan de Recuperación</w:t>
      </w:r>
      <w:r w:rsidR="00B255C3">
        <w:rPr>
          <w:rFonts w:cstheme="minorHAnsi"/>
        </w:rPr>
        <w:t>,</w:t>
      </w:r>
      <w:r w:rsidRPr="0051709F">
        <w:rPr>
          <w:rFonts w:cstheme="minorHAnsi"/>
        </w:rPr>
        <w:t xml:space="preserve"> Transformación y Resiliencia</w:t>
      </w:r>
      <w:r w:rsidR="00B255C3">
        <w:rPr>
          <w:rFonts w:cstheme="minorHAnsi"/>
        </w:rPr>
        <w:t xml:space="preserve"> fue </w:t>
      </w:r>
      <w:r w:rsidRPr="0051709F">
        <w:rPr>
          <w:rFonts w:cstheme="minorHAnsi"/>
        </w:rPr>
        <w:t>aprobado al amparo del M</w:t>
      </w:r>
      <w:r w:rsidR="00B255C3">
        <w:rPr>
          <w:rFonts w:cstheme="minorHAnsi"/>
        </w:rPr>
        <w:t xml:space="preserve">ecanismo de </w:t>
      </w:r>
      <w:r w:rsidRPr="0051709F">
        <w:rPr>
          <w:rFonts w:cstheme="minorHAnsi"/>
        </w:rPr>
        <w:t>R</w:t>
      </w:r>
      <w:r w:rsidR="00B255C3">
        <w:rPr>
          <w:rFonts w:cstheme="minorHAnsi"/>
        </w:rPr>
        <w:t xml:space="preserve">ecuperación y </w:t>
      </w:r>
      <w:r w:rsidRPr="0051709F">
        <w:rPr>
          <w:rFonts w:cstheme="minorHAnsi"/>
        </w:rPr>
        <w:t>R</w:t>
      </w:r>
      <w:r w:rsidR="00B255C3">
        <w:rPr>
          <w:rFonts w:cstheme="minorHAnsi"/>
        </w:rPr>
        <w:t>esiliencia</w:t>
      </w:r>
      <w:r w:rsidRPr="0051709F">
        <w:rPr>
          <w:rFonts w:cstheme="minorHAnsi"/>
        </w:rPr>
        <w:t xml:space="preserve"> el </w:t>
      </w:r>
      <w:r w:rsidR="00B255C3">
        <w:rPr>
          <w:rFonts w:cstheme="minorHAnsi"/>
        </w:rPr>
        <w:t xml:space="preserve">pasado </w:t>
      </w:r>
      <w:r w:rsidRPr="0051709F">
        <w:rPr>
          <w:rFonts w:cstheme="minorHAnsi"/>
        </w:rPr>
        <w:t xml:space="preserve">16 de </w:t>
      </w:r>
      <w:r w:rsidR="00B255C3">
        <w:rPr>
          <w:rFonts w:cstheme="minorHAnsi"/>
        </w:rPr>
        <w:t>j</w:t>
      </w:r>
      <w:r w:rsidRPr="0051709F">
        <w:rPr>
          <w:rFonts w:cstheme="minorHAnsi"/>
        </w:rPr>
        <w:t xml:space="preserve">unio de 2021. </w:t>
      </w:r>
      <w:r w:rsidR="00B255C3">
        <w:rPr>
          <w:rFonts w:cstheme="minorHAnsi"/>
        </w:rPr>
        <w:t>Como parte de este plan, e</w:t>
      </w:r>
      <w:r w:rsidRPr="0051709F">
        <w:rPr>
          <w:rFonts w:cstheme="minorHAnsi"/>
        </w:rPr>
        <w:t xml:space="preserve">l </w:t>
      </w:r>
      <w:r w:rsidR="00B255C3">
        <w:rPr>
          <w:rFonts w:cstheme="minorHAnsi"/>
        </w:rPr>
        <w:t>c</w:t>
      </w:r>
      <w:r w:rsidRPr="0051709F">
        <w:rPr>
          <w:rFonts w:cstheme="minorHAnsi"/>
        </w:rPr>
        <w:t xml:space="preserve">omponente 26 de </w:t>
      </w:r>
      <w:r w:rsidRPr="007B667D">
        <w:rPr>
          <w:rFonts w:cstheme="minorHAnsi"/>
          <w:b/>
          <w:bCs/>
        </w:rPr>
        <w:t>Fomento del Sector Deporte</w:t>
      </w:r>
      <w:r w:rsidRPr="0051709F">
        <w:rPr>
          <w:rFonts w:cstheme="minorHAnsi"/>
        </w:rPr>
        <w:t xml:space="preserve"> contempla 3 reformas y 3 inversiones. Una de estas reformas </w:t>
      </w:r>
      <w:r w:rsidR="00B255C3">
        <w:rPr>
          <w:rFonts w:cstheme="minorHAnsi"/>
        </w:rPr>
        <w:t xml:space="preserve">se refiere a la aprobación de </w:t>
      </w:r>
      <w:r w:rsidRPr="0051709F">
        <w:rPr>
          <w:rFonts w:cstheme="minorHAnsi"/>
        </w:rPr>
        <w:t>la Estrategia Nacional del Fomento del Deporte contra el Sedentarismo y la Inactividad Física.</w:t>
      </w:r>
    </w:p>
    <w:p w14:paraId="112D4FBE" w14:textId="77777777" w:rsidR="00CB63B2" w:rsidRPr="0051709F" w:rsidRDefault="00CB63B2" w:rsidP="00EE5290">
      <w:pPr>
        <w:jc w:val="both"/>
        <w:rPr>
          <w:rFonts w:cstheme="minorHAnsi"/>
        </w:rPr>
      </w:pPr>
    </w:p>
    <w:p w14:paraId="6DBFF043" w14:textId="4E42E0E3" w:rsidR="00CB63B2" w:rsidRPr="0051709F" w:rsidRDefault="00CB63B2" w:rsidP="00DF3DF5">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Descripción Componente 26.R3 Fomento del Sector Deporte</w:t>
      </w:r>
    </w:p>
    <w:p w14:paraId="4A5E5136" w14:textId="77777777" w:rsidR="0068392B" w:rsidRPr="0051709F" w:rsidRDefault="0068392B" w:rsidP="00EE5290">
      <w:pPr>
        <w:jc w:val="both"/>
        <w:rPr>
          <w:rFonts w:cstheme="minorHAnsi"/>
        </w:rPr>
      </w:pPr>
    </w:p>
    <w:tbl>
      <w:tblPr>
        <w:tblStyle w:val="Tablaconcuadrcula"/>
        <w:tblW w:w="8784"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263"/>
        <w:gridCol w:w="2808"/>
        <w:gridCol w:w="3713"/>
      </w:tblGrid>
      <w:tr w:rsidR="0068392B" w:rsidRPr="0051709F" w14:paraId="3EBB4EC4" w14:textId="77777777" w:rsidTr="00BF7D2E">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5496" w:themeFill="accent1" w:themeFillShade="BF"/>
          </w:tcPr>
          <w:p w14:paraId="6ACBE994" w14:textId="77777777" w:rsidR="0068392B" w:rsidRPr="0051709F" w:rsidRDefault="0068392B" w:rsidP="00BF7D2E">
            <w:pPr>
              <w:rPr>
                <w:rStyle w:val="Textoennegrita"/>
                <w:rFonts w:cstheme="minorHAnsi"/>
                <w:sz w:val="24"/>
                <w:szCs w:val="24"/>
              </w:rPr>
            </w:pPr>
            <w:r w:rsidRPr="0051709F">
              <w:rPr>
                <w:rStyle w:val="Textoennegrita"/>
                <w:rFonts w:cstheme="minorHAnsi"/>
                <w:sz w:val="24"/>
                <w:szCs w:val="24"/>
              </w:rPr>
              <w:t>C26.R3</w:t>
            </w:r>
          </w:p>
        </w:tc>
        <w:tc>
          <w:tcPr>
            <w:tcW w:w="28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5496" w:themeFill="accent1" w:themeFillShade="BF"/>
          </w:tcPr>
          <w:p w14:paraId="2BCCBEE4" w14:textId="77777777" w:rsidR="0068392B" w:rsidRPr="0051709F" w:rsidRDefault="0068392B" w:rsidP="00BF7D2E">
            <w:pPr>
              <w:rPr>
                <w:rStyle w:val="Textoennegrita"/>
                <w:rFonts w:cstheme="minorHAnsi"/>
                <w:sz w:val="24"/>
                <w:szCs w:val="24"/>
              </w:rPr>
            </w:pPr>
            <w:r w:rsidRPr="0051709F">
              <w:rPr>
                <w:rStyle w:val="Textoennegrita"/>
                <w:rFonts w:cstheme="minorHAnsi"/>
                <w:sz w:val="24"/>
                <w:szCs w:val="24"/>
              </w:rPr>
              <w:t>Estrategia nacional del fomento del deporte contra el sedentarismo y la inactividad física</w:t>
            </w:r>
          </w:p>
        </w:tc>
        <w:tc>
          <w:tcPr>
            <w:tcW w:w="37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5496" w:themeFill="accent1" w:themeFillShade="BF"/>
          </w:tcPr>
          <w:p w14:paraId="68C3E87F" w14:textId="77777777" w:rsidR="0068392B" w:rsidRPr="0051709F" w:rsidRDefault="0068392B" w:rsidP="00BF7D2E">
            <w:pPr>
              <w:rPr>
                <w:rStyle w:val="Textoennegrita"/>
                <w:rFonts w:cstheme="minorHAnsi"/>
                <w:sz w:val="24"/>
                <w:szCs w:val="24"/>
              </w:rPr>
            </w:pPr>
            <w:r w:rsidRPr="0051709F">
              <w:rPr>
                <w:rStyle w:val="Textoennegrita"/>
                <w:rFonts w:cstheme="minorHAnsi"/>
                <w:sz w:val="24"/>
                <w:szCs w:val="24"/>
              </w:rPr>
              <w:t>Ministerio de Cultura y Deporte / Consejo Superior de Deportes</w:t>
            </w:r>
          </w:p>
        </w:tc>
      </w:tr>
    </w:tbl>
    <w:p w14:paraId="5B627268" w14:textId="77777777" w:rsidR="0068392B" w:rsidRPr="0051709F" w:rsidRDefault="0068392B" w:rsidP="00EE5290">
      <w:pPr>
        <w:jc w:val="both"/>
        <w:rPr>
          <w:rFonts w:cstheme="minorHAnsi"/>
        </w:rPr>
      </w:pPr>
    </w:p>
    <w:p w14:paraId="1F3982B9" w14:textId="1F5A6B0D" w:rsidR="0068392B" w:rsidRPr="0051709F" w:rsidRDefault="0068392B" w:rsidP="0068392B">
      <w:pPr>
        <w:jc w:val="both"/>
        <w:rPr>
          <w:rFonts w:cstheme="minorHAnsi"/>
          <w:b/>
          <w:bCs/>
        </w:rPr>
      </w:pPr>
      <w:r w:rsidRPr="0051709F">
        <w:rPr>
          <w:rFonts w:cstheme="minorHAnsi"/>
          <w:b/>
          <w:bCs/>
        </w:rPr>
        <w:t xml:space="preserve">a) Descripción de la reforma </w:t>
      </w:r>
    </w:p>
    <w:p w14:paraId="4008CCF0" w14:textId="77777777" w:rsidR="0068392B" w:rsidRPr="0051709F" w:rsidRDefault="0068392B" w:rsidP="0068392B">
      <w:pPr>
        <w:jc w:val="both"/>
        <w:rPr>
          <w:rFonts w:cstheme="minorHAnsi"/>
        </w:rPr>
      </w:pPr>
    </w:p>
    <w:p w14:paraId="3ACF02C5" w14:textId="2EE84205" w:rsidR="0068392B" w:rsidRPr="0051709F" w:rsidRDefault="0068392B" w:rsidP="0068392B">
      <w:pPr>
        <w:jc w:val="both"/>
        <w:rPr>
          <w:rFonts w:cstheme="minorHAnsi"/>
        </w:rPr>
      </w:pPr>
      <w:r w:rsidRPr="0051709F">
        <w:rPr>
          <w:rFonts w:cstheme="minorHAnsi"/>
        </w:rPr>
        <w:t>Esta reforma tiene como objetivo principal definir una estrategia nacional del fomento del deporte contra el sedentarismo y la inactividad física.</w:t>
      </w:r>
    </w:p>
    <w:p w14:paraId="63044A76" w14:textId="77777777" w:rsidR="00A4731F" w:rsidRPr="0051709F" w:rsidRDefault="00A4731F" w:rsidP="0068392B">
      <w:pPr>
        <w:jc w:val="both"/>
        <w:rPr>
          <w:rFonts w:cstheme="minorHAnsi"/>
        </w:rPr>
      </w:pPr>
    </w:p>
    <w:p w14:paraId="6256DE69" w14:textId="1118335E"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 xml:space="preserve">La misión de la </w:t>
      </w:r>
      <w:r w:rsidRPr="0051709F">
        <w:rPr>
          <w:rFonts w:cstheme="minorHAnsi"/>
        </w:rPr>
        <w:t>Estrategia Nacional del Fomento del Deporte contra el Sedentarismo y la Inactividad Física</w:t>
      </w:r>
      <w:r w:rsidR="00B255C3">
        <w:rPr>
          <w:rFonts w:cstheme="minorHAnsi"/>
        </w:rPr>
        <w:t>,</w:t>
      </w:r>
      <w:r w:rsidRPr="0051709F">
        <w:rPr>
          <w:rFonts w:eastAsiaTheme="minorEastAsia" w:cstheme="minorHAnsi"/>
          <w:color w:val="000000" w:themeColor="text1"/>
        </w:rPr>
        <w:t xml:space="preserve"> será disponer de una herramienta de análisis permanente de la realidad de la práctica de la actividad física y deportiva para el conjunto de la población española, que permita poner en marcha diversas medidas y acciones concretas.</w:t>
      </w:r>
    </w:p>
    <w:p w14:paraId="13490F1F" w14:textId="77777777" w:rsidR="00A4731F" w:rsidRPr="0051709F" w:rsidRDefault="00A4731F" w:rsidP="0068392B">
      <w:pPr>
        <w:jc w:val="both"/>
        <w:rPr>
          <w:rFonts w:eastAsiaTheme="minorEastAsia" w:cstheme="minorHAnsi"/>
          <w:color w:val="000000" w:themeColor="text1"/>
        </w:rPr>
      </w:pPr>
    </w:p>
    <w:p w14:paraId="41FF77E7" w14:textId="77777777"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Cabe destacar los siguientes elementos relevantes en la citada misión:</w:t>
      </w:r>
    </w:p>
    <w:p w14:paraId="00A7A9C5" w14:textId="68775258" w:rsidR="00AA7C4C" w:rsidRPr="0051709F" w:rsidRDefault="00AA7C4C" w:rsidP="00AA7C4C">
      <w:pPr>
        <w:pStyle w:val="Prrafodelista"/>
        <w:numPr>
          <w:ilvl w:val="0"/>
          <w:numId w:val="1"/>
        </w:numPr>
        <w:spacing w:before="120"/>
        <w:jc w:val="both"/>
        <w:rPr>
          <w:rFonts w:asciiTheme="minorHAnsi" w:eastAsiaTheme="minorEastAsia"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sz w:val="24"/>
          <w:szCs w:val="24"/>
          <w:lang w:val="es-ES"/>
        </w:rPr>
        <w:t xml:space="preserve">Herramienta de análisis permanente: </w:t>
      </w:r>
      <w:r w:rsidR="00B255C3">
        <w:rPr>
          <w:rFonts w:asciiTheme="minorHAnsi" w:eastAsiaTheme="minorEastAsia" w:hAnsiTheme="minorHAnsi" w:cstheme="minorHAnsi"/>
          <w:color w:val="000000" w:themeColor="text1"/>
          <w:sz w:val="24"/>
          <w:szCs w:val="24"/>
          <w:lang w:val="es-ES"/>
        </w:rPr>
        <w:t>t</w:t>
      </w:r>
      <w:r w:rsidRPr="0051709F">
        <w:rPr>
          <w:rFonts w:asciiTheme="minorHAnsi" w:eastAsiaTheme="minorEastAsia" w:hAnsiTheme="minorHAnsi" w:cstheme="minorHAnsi"/>
          <w:color w:val="000000" w:themeColor="text1"/>
          <w:sz w:val="24"/>
          <w:szCs w:val="24"/>
          <w:lang w:val="es-ES"/>
        </w:rPr>
        <w:t xml:space="preserve">oda estrategia a largo plazo requiere de un seguimiento para evaluar la implantación de sus propuestas, así como para analizar la cambiante realidad en el sector de la práctica físico-deportiva. Este análisis permanente garantizará la adecuación de las actuaciones propuestas en el tiempo y forma que se establezcan. </w:t>
      </w:r>
    </w:p>
    <w:p w14:paraId="3B289DAB" w14:textId="449EF8D3" w:rsidR="00AA7C4C" w:rsidRPr="0051709F" w:rsidRDefault="00AA7C4C" w:rsidP="00AA7C4C">
      <w:pPr>
        <w:pStyle w:val="Prrafodelista"/>
        <w:numPr>
          <w:ilvl w:val="0"/>
          <w:numId w:val="1"/>
        </w:numPr>
        <w:spacing w:before="120"/>
        <w:jc w:val="both"/>
        <w:rPr>
          <w:rFonts w:asciiTheme="minorHAnsi" w:eastAsiaTheme="minorEastAsia"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sz w:val="24"/>
          <w:szCs w:val="24"/>
          <w:lang w:val="es-ES"/>
        </w:rPr>
        <w:t xml:space="preserve">Implantación de las acciones propuestas: </w:t>
      </w:r>
      <w:r w:rsidR="00B255C3">
        <w:rPr>
          <w:rFonts w:asciiTheme="minorHAnsi" w:eastAsiaTheme="minorEastAsia" w:hAnsiTheme="minorHAnsi" w:cstheme="minorHAnsi"/>
          <w:color w:val="000000" w:themeColor="text1"/>
          <w:sz w:val="24"/>
          <w:szCs w:val="24"/>
          <w:lang w:val="es-ES"/>
        </w:rPr>
        <w:t>l</w:t>
      </w:r>
      <w:r w:rsidRPr="0051709F">
        <w:rPr>
          <w:rFonts w:asciiTheme="minorHAnsi" w:eastAsiaTheme="minorEastAsia" w:hAnsiTheme="minorHAnsi" w:cstheme="minorHAnsi"/>
          <w:color w:val="000000" w:themeColor="text1"/>
          <w:sz w:val="24"/>
          <w:szCs w:val="24"/>
          <w:lang w:val="es-ES"/>
        </w:rPr>
        <w:t>a estrategia debe ser una herramienta generadora de cambio. Para ello, los análisis y sus correspondientes diagnósticos deben desembocar en acciones tangibles que ayuden a la transformación de la realidad actual.</w:t>
      </w:r>
    </w:p>
    <w:p w14:paraId="20357E51" w14:textId="0B7D7A83" w:rsidR="00AA7C4C" w:rsidRPr="0051709F" w:rsidRDefault="00B255C3" w:rsidP="00AA7C4C">
      <w:pPr>
        <w:pStyle w:val="Prrafodelista"/>
        <w:numPr>
          <w:ilvl w:val="0"/>
          <w:numId w:val="1"/>
        </w:numPr>
        <w:jc w:val="both"/>
        <w:rPr>
          <w:rFonts w:asciiTheme="minorHAnsi" w:hAnsiTheme="minorHAnsi" w:cstheme="minorHAnsi"/>
          <w:color w:val="000000" w:themeColor="text1"/>
          <w:sz w:val="24"/>
          <w:szCs w:val="24"/>
          <w:lang w:val="es-ES_tradnl"/>
        </w:rPr>
      </w:pPr>
      <w:r>
        <w:rPr>
          <w:rFonts w:asciiTheme="minorHAnsi" w:eastAsiaTheme="minorEastAsia" w:hAnsiTheme="minorHAnsi" w:cstheme="minorHAnsi"/>
          <w:color w:val="000000" w:themeColor="text1"/>
          <w:sz w:val="24"/>
          <w:szCs w:val="24"/>
          <w:lang w:val="es-ES"/>
        </w:rPr>
        <w:t>Impulso desde la Administración General del Estado,</w:t>
      </w:r>
      <w:r w:rsidR="00AA7C4C" w:rsidRPr="0051709F">
        <w:rPr>
          <w:rFonts w:asciiTheme="minorHAnsi" w:eastAsiaTheme="minorEastAsia" w:hAnsiTheme="minorHAnsi" w:cstheme="minorHAnsi"/>
          <w:color w:val="000000" w:themeColor="text1"/>
          <w:sz w:val="24"/>
          <w:szCs w:val="24"/>
          <w:lang w:val="es-ES"/>
        </w:rPr>
        <w:t xml:space="preserve"> ejerciendo </w:t>
      </w:r>
      <w:r>
        <w:rPr>
          <w:rFonts w:asciiTheme="minorHAnsi" w:eastAsiaTheme="minorEastAsia" w:hAnsiTheme="minorHAnsi" w:cstheme="minorHAnsi"/>
          <w:color w:val="000000" w:themeColor="text1"/>
          <w:sz w:val="24"/>
          <w:szCs w:val="24"/>
          <w:lang w:val="es-ES"/>
        </w:rPr>
        <w:t>un necesario</w:t>
      </w:r>
      <w:r w:rsidRPr="0051709F">
        <w:rPr>
          <w:rFonts w:asciiTheme="minorHAnsi" w:eastAsiaTheme="minorEastAsia" w:hAnsiTheme="minorHAnsi" w:cstheme="minorHAnsi"/>
          <w:color w:val="000000" w:themeColor="text1"/>
          <w:sz w:val="24"/>
          <w:szCs w:val="24"/>
          <w:lang w:val="es-ES"/>
        </w:rPr>
        <w:t xml:space="preserve"> </w:t>
      </w:r>
      <w:r w:rsidR="00AA7C4C" w:rsidRPr="0051709F">
        <w:rPr>
          <w:rFonts w:asciiTheme="minorHAnsi" w:eastAsiaTheme="minorEastAsia" w:hAnsiTheme="minorHAnsi" w:cstheme="minorHAnsi"/>
          <w:color w:val="000000" w:themeColor="text1"/>
          <w:sz w:val="24"/>
          <w:szCs w:val="24"/>
          <w:lang w:val="es-ES"/>
        </w:rPr>
        <w:t xml:space="preserve">rol de </w:t>
      </w:r>
      <w:r w:rsidRPr="0051709F">
        <w:rPr>
          <w:rFonts w:asciiTheme="minorHAnsi" w:eastAsiaTheme="minorEastAsia" w:hAnsiTheme="minorHAnsi" w:cstheme="minorHAnsi"/>
          <w:color w:val="000000" w:themeColor="text1"/>
          <w:sz w:val="24"/>
          <w:szCs w:val="24"/>
          <w:lang w:val="es-ES"/>
        </w:rPr>
        <w:t>promoci</w:t>
      </w:r>
      <w:r>
        <w:rPr>
          <w:rFonts w:asciiTheme="minorHAnsi" w:eastAsiaTheme="minorEastAsia" w:hAnsiTheme="minorHAnsi" w:cstheme="minorHAnsi"/>
          <w:color w:val="000000" w:themeColor="text1"/>
          <w:sz w:val="24"/>
          <w:szCs w:val="24"/>
          <w:lang w:val="es-ES"/>
        </w:rPr>
        <w:t>ón</w:t>
      </w:r>
      <w:r w:rsidR="00AA7C4C" w:rsidRPr="0051709F">
        <w:rPr>
          <w:rFonts w:asciiTheme="minorHAnsi" w:eastAsiaTheme="minorEastAsia" w:hAnsiTheme="minorHAnsi" w:cstheme="minorHAnsi"/>
          <w:color w:val="000000" w:themeColor="text1"/>
          <w:sz w:val="24"/>
          <w:szCs w:val="24"/>
          <w:lang w:val="es-ES"/>
        </w:rPr>
        <w:t>, dinamiza</w:t>
      </w:r>
      <w:r>
        <w:rPr>
          <w:rFonts w:asciiTheme="minorHAnsi" w:eastAsiaTheme="minorEastAsia" w:hAnsiTheme="minorHAnsi" w:cstheme="minorHAnsi"/>
          <w:color w:val="000000" w:themeColor="text1"/>
          <w:sz w:val="24"/>
          <w:szCs w:val="24"/>
          <w:lang w:val="es-ES"/>
        </w:rPr>
        <w:t>ción</w:t>
      </w:r>
      <w:r w:rsidR="00AA7C4C" w:rsidRPr="0051709F">
        <w:rPr>
          <w:rFonts w:asciiTheme="minorHAnsi" w:eastAsiaTheme="minorEastAsia" w:hAnsiTheme="minorHAnsi" w:cstheme="minorHAnsi"/>
          <w:color w:val="000000" w:themeColor="text1"/>
          <w:sz w:val="24"/>
          <w:szCs w:val="24"/>
          <w:lang w:val="es-ES"/>
        </w:rPr>
        <w:t xml:space="preserve"> y </w:t>
      </w:r>
      <w:r>
        <w:rPr>
          <w:rFonts w:asciiTheme="minorHAnsi" w:eastAsiaTheme="minorEastAsia" w:hAnsiTheme="minorHAnsi" w:cstheme="minorHAnsi"/>
          <w:color w:val="000000" w:themeColor="text1"/>
          <w:sz w:val="24"/>
          <w:szCs w:val="24"/>
          <w:lang w:val="es-ES"/>
        </w:rPr>
        <w:t>coordinación</w:t>
      </w:r>
      <w:r w:rsidRPr="0051709F">
        <w:rPr>
          <w:rFonts w:asciiTheme="minorHAnsi" w:eastAsiaTheme="minorEastAsia" w:hAnsiTheme="minorHAnsi" w:cstheme="minorHAnsi"/>
          <w:color w:val="000000" w:themeColor="text1"/>
          <w:sz w:val="24"/>
          <w:szCs w:val="24"/>
          <w:lang w:val="es-ES"/>
        </w:rPr>
        <w:t xml:space="preserve"> </w:t>
      </w:r>
      <w:r w:rsidR="00AA7C4C" w:rsidRPr="0051709F">
        <w:rPr>
          <w:rFonts w:asciiTheme="minorHAnsi" w:eastAsiaTheme="minorEastAsia" w:hAnsiTheme="minorHAnsi" w:cstheme="minorHAnsi"/>
          <w:color w:val="000000" w:themeColor="text1"/>
          <w:sz w:val="24"/>
          <w:szCs w:val="24"/>
          <w:lang w:val="es-ES"/>
        </w:rPr>
        <w:t xml:space="preserve">de las actuaciones de la estrategia nacional, en el marco de un trabajo conjunto y corresponsabilidad con </w:t>
      </w:r>
      <w:r w:rsidR="00FE229D">
        <w:rPr>
          <w:rFonts w:asciiTheme="minorHAnsi" w:eastAsiaTheme="minorEastAsia" w:hAnsiTheme="minorHAnsi" w:cstheme="minorHAnsi"/>
          <w:color w:val="000000" w:themeColor="text1"/>
          <w:sz w:val="24"/>
          <w:szCs w:val="24"/>
          <w:lang w:val="es-ES"/>
        </w:rPr>
        <w:t>las administraciones autonómica y local</w:t>
      </w:r>
      <w:r w:rsidR="00AA7C4C" w:rsidRPr="0051709F">
        <w:rPr>
          <w:rFonts w:asciiTheme="minorHAnsi" w:eastAsiaTheme="minorEastAsia" w:hAnsiTheme="minorHAnsi" w:cstheme="minorHAnsi"/>
          <w:color w:val="000000" w:themeColor="text1"/>
          <w:sz w:val="24"/>
          <w:szCs w:val="24"/>
          <w:lang w:val="es-ES"/>
        </w:rPr>
        <w:t>. Muchas de las acciones requerirán también de la participación de los agentes sociales, para que actúen como canal comunicador y potenciador de las propuestas.</w:t>
      </w:r>
    </w:p>
    <w:p w14:paraId="3F3BBC86" w14:textId="77777777" w:rsidR="00AA7C4C" w:rsidRPr="0051709F" w:rsidRDefault="00AA7C4C" w:rsidP="00AA7C4C">
      <w:pPr>
        <w:jc w:val="both"/>
        <w:rPr>
          <w:rFonts w:cstheme="minorHAnsi"/>
          <w:color w:val="000000" w:themeColor="text1"/>
          <w:lang w:val="es-ES_tradnl"/>
        </w:rPr>
      </w:pPr>
    </w:p>
    <w:p w14:paraId="71BC2503" w14:textId="3A16A924" w:rsidR="00AA7C4C" w:rsidRPr="0051709F" w:rsidRDefault="00FE229D" w:rsidP="00AA7C4C">
      <w:pPr>
        <w:jc w:val="both"/>
        <w:rPr>
          <w:rFonts w:cstheme="minorHAnsi"/>
          <w:color w:val="000000" w:themeColor="text1"/>
        </w:rPr>
      </w:pPr>
      <w:r>
        <w:rPr>
          <w:rFonts w:cstheme="minorHAnsi"/>
          <w:color w:val="000000" w:themeColor="text1"/>
        </w:rPr>
        <w:t xml:space="preserve">Así, </w:t>
      </w:r>
      <w:r w:rsidR="00AA7C4C" w:rsidRPr="0051709F">
        <w:rPr>
          <w:rFonts w:cstheme="minorHAnsi"/>
          <w:color w:val="000000" w:themeColor="text1"/>
        </w:rPr>
        <w:t xml:space="preserve">el objetivo principal de esta </w:t>
      </w:r>
      <w:r w:rsidRPr="0051709F">
        <w:rPr>
          <w:rFonts w:cstheme="minorHAnsi"/>
          <w:color w:val="000000" w:themeColor="text1"/>
        </w:rPr>
        <w:t>reforma</w:t>
      </w:r>
      <w:r w:rsidR="00AA7C4C" w:rsidRPr="0051709F">
        <w:rPr>
          <w:rFonts w:cstheme="minorHAnsi"/>
          <w:color w:val="000000" w:themeColor="text1"/>
        </w:rPr>
        <w:t xml:space="preserve"> es el de impulsar la práctica deportiva como elemento de actividad física ligada a una vida saludable. </w:t>
      </w:r>
    </w:p>
    <w:p w14:paraId="59E4D71B" w14:textId="77777777" w:rsidR="00AA7C4C" w:rsidRPr="0051709F" w:rsidRDefault="00AA7C4C" w:rsidP="00AA7C4C">
      <w:pPr>
        <w:jc w:val="both"/>
        <w:rPr>
          <w:rFonts w:cstheme="minorHAnsi"/>
          <w:color w:val="000000" w:themeColor="text1"/>
        </w:rPr>
      </w:pPr>
    </w:p>
    <w:p w14:paraId="7D0B309D" w14:textId="77777777" w:rsidR="0068392B" w:rsidRPr="0051709F" w:rsidRDefault="0068392B" w:rsidP="0068392B">
      <w:pPr>
        <w:jc w:val="both"/>
        <w:rPr>
          <w:rFonts w:cstheme="minorHAnsi"/>
          <w:color w:val="000000" w:themeColor="text1"/>
        </w:rPr>
      </w:pPr>
    </w:p>
    <w:p w14:paraId="22AC3BC6" w14:textId="2AD157B5" w:rsidR="0068392B" w:rsidRPr="0051709F" w:rsidRDefault="0068392B" w:rsidP="0068392B">
      <w:pPr>
        <w:jc w:val="both"/>
        <w:rPr>
          <w:rFonts w:cstheme="minorHAnsi"/>
          <w:b/>
          <w:bCs/>
          <w:color w:val="000000" w:themeColor="text1"/>
          <w:lang w:val="es-ES_tradnl"/>
        </w:rPr>
      </w:pPr>
      <w:r w:rsidRPr="0051709F">
        <w:rPr>
          <w:rFonts w:cstheme="minorHAnsi"/>
          <w:b/>
          <w:bCs/>
        </w:rPr>
        <w:t>b) Evidencia, análisis y datos que motiven la necesidad de la reforma</w:t>
      </w:r>
    </w:p>
    <w:p w14:paraId="1C6AF172" w14:textId="77777777" w:rsidR="0068392B" w:rsidRPr="0051709F" w:rsidRDefault="0068392B" w:rsidP="00EE5290">
      <w:pPr>
        <w:rPr>
          <w:rFonts w:cstheme="minorHAnsi"/>
          <w:b/>
          <w:bCs/>
          <w:color w:val="000000" w:themeColor="text1"/>
          <w:lang w:val="es-ES_tradnl"/>
        </w:rPr>
      </w:pPr>
    </w:p>
    <w:p w14:paraId="71F2A552" w14:textId="743751B6"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 xml:space="preserve">Pese a los efectos negativos que ha provocado el confinamiento de la población durante el estado de alarma ocasionado por la pandemia </w:t>
      </w:r>
      <w:r w:rsidR="00581992">
        <w:rPr>
          <w:rFonts w:eastAsiaTheme="minorEastAsia" w:cstheme="minorHAnsi"/>
          <w:color w:val="000000" w:themeColor="text1"/>
        </w:rPr>
        <w:t xml:space="preserve">de la </w:t>
      </w:r>
      <w:r w:rsidRPr="0051709F">
        <w:rPr>
          <w:rFonts w:eastAsiaTheme="minorEastAsia" w:cstheme="minorHAnsi"/>
          <w:color w:val="000000" w:themeColor="text1"/>
        </w:rPr>
        <w:t>Covid-19, la ciudadanía ha comprobado y manifestado la necesidad de incorporar la actividad física a su vida diaria.</w:t>
      </w:r>
    </w:p>
    <w:p w14:paraId="04BD2BC9" w14:textId="77777777" w:rsidR="00AA7C4C" w:rsidRPr="0051709F" w:rsidRDefault="00AA7C4C" w:rsidP="00AA7C4C">
      <w:pPr>
        <w:jc w:val="both"/>
        <w:rPr>
          <w:rFonts w:eastAsiaTheme="minorEastAsia" w:cstheme="minorHAnsi"/>
          <w:color w:val="000000" w:themeColor="text1"/>
        </w:rPr>
      </w:pPr>
    </w:p>
    <w:p w14:paraId="68456E32" w14:textId="206FBB43"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Los organismos internacionales relacionados con la salud reclaman políticas nacionales para luchar contra el sedentarismo y sus consecuencias sobre la salud de los ciudadanos.</w:t>
      </w:r>
    </w:p>
    <w:p w14:paraId="4AA16C80" w14:textId="77777777" w:rsidR="00AA7C4C" w:rsidRPr="0051709F" w:rsidRDefault="00AA7C4C" w:rsidP="00AA7C4C">
      <w:pPr>
        <w:jc w:val="both"/>
        <w:rPr>
          <w:rFonts w:eastAsiaTheme="minorEastAsia" w:cstheme="minorHAnsi"/>
          <w:color w:val="000000" w:themeColor="text1"/>
        </w:rPr>
      </w:pPr>
    </w:p>
    <w:p w14:paraId="2DCC3967" w14:textId="129F8068"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 xml:space="preserve">La finalización del “Plan Integral para la Actividad física y el Deporte - Plan A+D”, diseñado por el CSD para la década 2010-2020, </w:t>
      </w:r>
      <w:r w:rsidR="00581992">
        <w:rPr>
          <w:rFonts w:eastAsiaTheme="minorEastAsia" w:cstheme="minorHAnsi"/>
          <w:color w:val="000000" w:themeColor="text1"/>
        </w:rPr>
        <w:t xml:space="preserve">aunque todavía </w:t>
      </w:r>
      <w:r w:rsidRPr="0051709F">
        <w:rPr>
          <w:rFonts w:eastAsiaTheme="minorEastAsia" w:cstheme="minorHAnsi"/>
          <w:color w:val="000000" w:themeColor="text1"/>
        </w:rPr>
        <w:t xml:space="preserve">pendiente de su evaluación, ha tenido mucha importancia en el ámbito de la promoción de la actividad física y el deporte </w:t>
      </w:r>
      <w:r w:rsidR="00581992">
        <w:rPr>
          <w:rFonts w:eastAsiaTheme="minorEastAsia" w:cstheme="minorHAnsi"/>
          <w:color w:val="000000" w:themeColor="text1"/>
        </w:rPr>
        <w:t>en el conjunto de</w:t>
      </w:r>
      <w:r w:rsidRPr="0051709F">
        <w:rPr>
          <w:rFonts w:eastAsiaTheme="minorEastAsia" w:cstheme="minorHAnsi"/>
          <w:color w:val="000000" w:themeColor="text1"/>
        </w:rPr>
        <w:t xml:space="preserve"> la sociedad española.</w:t>
      </w:r>
    </w:p>
    <w:p w14:paraId="0EC2E22A" w14:textId="77777777" w:rsidR="00AA7C4C" w:rsidRPr="0051709F" w:rsidRDefault="00AA7C4C" w:rsidP="00AA7C4C">
      <w:pPr>
        <w:jc w:val="both"/>
        <w:rPr>
          <w:rFonts w:eastAsiaTheme="minorEastAsia" w:cstheme="minorHAnsi"/>
          <w:color w:val="000000" w:themeColor="text1"/>
        </w:rPr>
      </w:pPr>
    </w:p>
    <w:p w14:paraId="656B0C25" w14:textId="10891E51"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 xml:space="preserve">Estas tres circunstancias suponen una situación ideal para que el Gobierno proyecte un nuevo conjunto de medidas a futuro conformando una Estrategia Nacional del Fomento del Deporte contra el Sedentarismo y la Inactividad Física para la década 2021-2030, sobre la base de lo realizado hasta ahora, en cumplimiento de las </w:t>
      </w:r>
      <w:r w:rsidR="00581992">
        <w:rPr>
          <w:rFonts w:eastAsiaTheme="minorEastAsia" w:cstheme="minorHAnsi"/>
          <w:color w:val="000000" w:themeColor="text1"/>
        </w:rPr>
        <w:t>d</w:t>
      </w:r>
      <w:r w:rsidRPr="0051709F">
        <w:rPr>
          <w:rFonts w:eastAsiaTheme="minorEastAsia" w:cstheme="minorHAnsi"/>
          <w:color w:val="000000" w:themeColor="text1"/>
        </w:rPr>
        <w:t xml:space="preserve">irectrices </w:t>
      </w:r>
      <w:r w:rsidR="00581992">
        <w:rPr>
          <w:rFonts w:eastAsiaTheme="minorEastAsia" w:cstheme="minorHAnsi"/>
          <w:color w:val="000000" w:themeColor="text1"/>
        </w:rPr>
        <w:t>i</w:t>
      </w:r>
      <w:r w:rsidRPr="0051709F">
        <w:rPr>
          <w:rFonts w:eastAsiaTheme="minorEastAsia" w:cstheme="minorHAnsi"/>
          <w:color w:val="000000" w:themeColor="text1"/>
        </w:rPr>
        <w:t>nternacionales sobre actividad física y lucha contra hábitos sedentarios, y</w:t>
      </w:r>
      <w:r w:rsidRPr="0051709F">
        <w:rPr>
          <w:rFonts w:cstheme="minorHAnsi"/>
        </w:rPr>
        <w:t xml:space="preserve"> </w:t>
      </w:r>
      <w:r w:rsidRPr="0051709F">
        <w:rPr>
          <w:rFonts w:eastAsiaTheme="minorEastAsia" w:cstheme="minorHAnsi"/>
          <w:color w:val="000000" w:themeColor="text1"/>
        </w:rPr>
        <w:t>contribuyendo también a la consecución de los Objetivos de Desarrollo Sostenible de la Agenda 2030.</w:t>
      </w:r>
    </w:p>
    <w:p w14:paraId="56BDCBB2" w14:textId="77777777" w:rsidR="00AA7C4C" w:rsidRPr="0051709F" w:rsidRDefault="00AA7C4C" w:rsidP="00AA7C4C">
      <w:pPr>
        <w:jc w:val="both"/>
        <w:rPr>
          <w:rFonts w:eastAsiaTheme="minorEastAsia" w:cstheme="minorHAnsi"/>
          <w:color w:val="000000" w:themeColor="text1"/>
        </w:rPr>
      </w:pPr>
    </w:p>
    <w:p w14:paraId="4A3C46DA" w14:textId="775CC165"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A todo ello se suma la inclusión del Deporte como una de las 10 políticas tractoras del Plan de Recuperación, Transformación y Resiliencia de la Economía española.</w:t>
      </w:r>
    </w:p>
    <w:p w14:paraId="6B9E1FC8" w14:textId="77777777" w:rsidR="0068392B" w:rsidRPr="0051709F" w:rsidRDefault="0068392B" w:rsidP="0016541C">
      <w:pPr>
        <w:jc w:val="both"/>
        <w:rPr>
          <w:rFonts w:eastAsiaTheme="minorEastAsia" w:cstheme="minorHAnsi"/>
          <w:color w:val="000000" w:themeColor="text1"/>
        </w:rPr>
      </w:pPr>
    </w:p>
    <w:p w14:paraId="36A6440D" w14:textId="5032F90A" w:rsidR="0068392B" w:rsidRPr="0051709F" w:rsidRDefault="0068392B" w:rsidP="0068392B">
      <w:pPr>
        <w:rPr>
          <w:rFonts w:cstheme="minorHAnsi"/>
          <w:b/>
          <w:bCs/>
          <w:color w:val="000000" w:themeColor="text1"/>
          <w:lang w:val="es-ES_tradnl"/>
        </w:rPr>
      </w:pPr>
      <w:r w:rsidRPr="0051709F">
        <w:rPr>
          <w:rFonts w:cstheme="minorHAnsi"/>
          <w:b/>
          <w:bCs/>
        </w:rPr>
        <w:t>c) Colectivo objetivo de la reforma</w:t>
      </w:r>
    </w:p>
    <w:p w14:paraId="7E9953BE" w14:textId="77777777" w:rsidR="0068392B" w:rsidRPr="0051709F" w:rsidRDefault="0068392B" w:rsidP="00EE5290">
      <w:pPr>
        <w:rPr>
          <w:rFonts w:cstheme="minorHAnsi"/>
          <w:b/>
          <w:bCs/>
          <w:color w:val="000000" w:themeColor="text1"/>
          <w:lang w:val="es-ES_tradnl"/>
        </w:rPr>
      </w:pPr>
    </w:p>
    <w:p w14:paraId="005C1942" w14:textId="267FC94D" w:rsidR="0068392B" w:rsidRPr="0051709F" w:rsidRDefault="0068392B" w:rsidP="00EE5290">
      <w:pPr>
        <w:rPr>
          <w:rFonts w:cstheme="minorHAnsi"/>
        </w:rPr>
      </w:pPr>
      <w:r w:rsidRPr="0051709F">
        <w:rPr>
          <w:rFonts w:cstheme="minorHAnsi"/>
        </w:rPr>
        <w:t>El conjunto de la población española.</w:t>
      </w:r>
    </w:p>
    <w:p w14:paraId="542437DE" w14:textId="77777777" w:rsidR="0068392B" w:rsidRPr="0051709F" w:rsidRDefault="0068392B" w:rsidP="00EE5290">
      <w:pPr>
        <w:rPr>
          <w:rFonts w:cstheme="minorHAnsi"/>
        </w:rPr>
      </w:pPr>
    </w:p>
    <w:p w14:paraId="2819D0B3" w14:textId="3C7433D5" w:rsidR="0068392B" w:rsidRPr="0051709F" w:rsidRDefault="0068392B" w:rsidP="00EE5290">
      <w:pPr>
        <w:rPr>
          <w:rFonts w:cstheme="minorHAnsi"/>
          <w:b/>
          <w:bCs/>
        </w:rPr>
      </w:pPr>
      <w:r w:rsidRPr="0051709F">
        <w:rPr>
          <w:rFonts w:cstheme="minorHAnsi"/>
          <w:b/>
          <w:bCs/>
        </w:rPr>
        <w:t>d) Forma de implementación de la reforma</w:t>
      </w:r>
    </w:p>
    <w:p w14:paraId="278799CD" w14:textId="77777777" w:rsidR="0068392B" w:rsidRPr="0051709F" w:rsidRDefault="0068392B" w:rsidP="00EE5290">
      <w:pPr>
        <w:rPr>
          <w:rFonts w:cstheme="minorHAnsi"/>
        </w:rPr>
      </w:pPr>
    </w:p>
    <w:p w14:paraId="0AC6AE8F" w14:textId="05AAC636" w:rsidR="00AA7C4C" w:rsidRPr="0051709F" w:rsidRDefault="00AA7C4C" w:rsidP="00AA7C4C">
      <w:pPr>
        <w:pStyle w:val="Default"/>
        <w:jc w:val="both"/>
        <w:rPr>
          <w:rFonts w:asciiTheme="minorHAnsi" w:eastAsia="Arial" w:hAnsiTheme="minorHAnsi" w:cstheme="minorHAnsi"/>
          <w:bCs/>
          <w:iCs/>
          <w:color w:val="auto"/>
          <w:lang w:val="es-ES_tradnl"/>
        </w:rPr>
      </w:pPr>
      <w:r w:rsidRPr="0051709F">
        <w:rPr>
          <w:rFonts w:asciiTheme="minorHAnsi" w:eastAsia="Arial" w:hAnsiTheme="minorHAnsi" w:cstheme="minorHAnsi"/>
          <w:bCs/>
          <w:iCs/>
          <w:color w:val="auto"/>
          <w:lang w:val="es-ES_tradnl"/>
        </w:rPr>
        <w:t>La forma de construir esta Estrategia Nacional del Fomento del Deporte contra el Sedentarismo y la Inactividad Física es involucrar a todas las administraciones</w:t>
      </w:r>
      <w:r w:rsidR="00581992">
        <w:rPr>
          <w:rFonts w:asciiTheme="minorHAnsi" w:eastAsia="Arial" w:hAnsiTheme="minorHAnsi" w:cstheme="minorHAnsi"/>
          <w:bCs/>
          <w:iCs/>
          <w:color w:val="auto"/>
          <w:lang w:val="es-ES_tradnl"/>
        </w:rPr>
        <w:t>:</w:t>
      </w:r>
      <w:r w:rsidRPr="0051709F">
        <w:rPr>
          <w:rFonts w:asciiTheme="minorHAnsi" w:eastAsia="Arial" w:hAnsiTheme="minorHAnsi" w:cstheme="minorHAnsi"/>
          <w:bCs/>
          <w:iCs/>
          <w:color w:val="auto"/>
          <w:lang w:val="es-ES_tradnl"/>
        </w:rPr>
        <w:t xml:space="preserve"> estatal, autonómicas y entidades locales, así como a todos los agentes intervinientes en el sistema deportivo nacional.</w:t>
      </w:r>
    </w:p>
    <w:p w14:paraId="0323563B" w14:textId="77777777" w:rsidR="00AA7C4C" w:rsidRPr="0051709F" w:rsidRDefault="00AA7C4C" w:rsidP="00AA7C4C">
      <w:pPr>
        <w:pStyle w:val="Default"/>
        <w:jc w:val="both"/>
        <w:rPr>
          <w:rFonts w:asciiTheme="minorHAnsi" w:eastAsia="Arial" w:hAnsiTheme="minorHAnsi" w:cstheme="minorHAnsi"/>
          <w:bCs/>
          <w:iCs/>
          <w:color w:val="auto"/>
          <w:lang w:val="es-ES_tradnl"/>
        </w:rPr>
      </w:pPr>
    </w:p>
    <w:p w14:paraId="7DAFC456" w14:textId="782B62EF" w:rsidR="00AA7C4C" w:rsidRPr="0051709F" w:rsidRDefault="00AA7C4C" w:rsidP="00AA7C4C">
      <w:pPr>
        <w:jc w:val="both"/>
        <w:rPr>
          <w:rFonts w:cstheme="minorHAnsi"/>
          <w:b/>
          <w:bCs/>
          <w:color w:val="000000" w:themeColor="text1"/>
          <w:lang w:val="es-ES_tradnl"/>
        </w:rPr>
      </w:pPr>
      <w:r w:rsidRPr="0051709F">
        <w:rPr>
          <w:rFonts w:cstheme="minorHAnsi"/>
          <w:color w:val="000000" w:themeColor="text1"/>
        </w:rPr>
        <w:t>Como punto de partida, se propone partir de una evaluación del anterior Plan A+D y proceder a un reelaboración y adaptación a las nuevas necesidades surgidas con motivo de la pandemia de</w:t>
      </w:r>
      <w:r w:rsidR="00581992">
        <w:rPr>
          <w:rFonts w:cstheme="minorHAnsi"/>
          <w:color w:val="000000" w:themeColor="text1"/>
        </w:rPr>
        <w:t xml:space="preserve"> </w:t>
      </w:r>
      <w:r w:rsidRPr="0051709F">
        <w:rPr>
          <w:rFonts w:cstheme="minorHAnsi"/>
          <w:color w:val="000000" w:themeColor="text1"/>
        </w:rPr>
        <w:t>l</w:t>
      </w:r>
      <w:r w:rsidR="00581992">
        <w:rPr>
          <w:rFonts w:cstheme="minorHAnsi"/>
          <w:color w:val="000000" w:themeColor="text1"/>
        </w:rPr>
        <w:t>a</w:t>
      </w:r>
      <w:r w:rsidRPr="0051709F">
        <w:rPr>
          <w:rFonts w:cstheme="minorHAnsi"/>
          <w:color w:val="000000" w:themeColor="text1"/>
        </w:rPr>
        <w:t xml:space="preserve"> Covid-19.</w:t>
      </w:r>
    </w:p>
    <w:p w14:paraId="26F6808C" w14:textId="77777777" w:rsidR="0068392B" w:rsidRPr="0051709F" w:rsidRDefault="0068392B" w:rsidP="00EE5290">
      <w:pPr>
        <w:rPr>
          <w:rFonts w:cstheme="minorHAnsi"/>
          <w:b/>
          <w:bCs/>
          <w:color w:val="000000" w:themeColor="text1"/>
          <w:lang w:val="es-ES_tradnl"/>
        </w:rPr>
      </w:pPr>
    </w:p>
    <w:p w14:paraId="3C0377A5" w14:textId="001FF863" w:rsidR="00D8138E" w:rsidRPr="0051709F" w:rsidRDefault="00D8138E" w:rsidP="00EE5290">
      <w:pPr>
        <w:rPr>
          <w:rFonts w:cstheme="minorHAnsi"/>
          <w:b/>
          <w:bCs/>
        </w:rPr>
      </w:pPr>
      <w:r w:rsidRPr="0051709F">
        <w:rPr>
          <w:rFonts w:cstheme="minorHAnsi"/>
          <w:b/>
          <w:bCs/>
        </w:rPr>
        <w:t>e) Administración ejecutora</w:t>
      </w:r>
    </w:p>
    <w:p w14:paraId="6D044F3E" w14:textId="77777777" w:rsidR="00D8138E" w:rsidRPr="0051709F" w:rsidRDefault="00D8138E" w:rsidP="00EE5290">
      <w:pPr>
        <w:rPr>
          <w:rFonts w:cstheme="minorHAnsi"/>
        </w:rPr>
      </w:pPr>
    </w:p>
    <w:p w14:paraId="77578CBC" w14:textId="313B3FA0" w:rsidR="00D8138E" w:rsidRPr="0051709F" w:rsidRDefault="00D8138E" w:rsidP="00D8138E">
      <w:pPr>
        <w:jc w:val="both"/>
        <w:rPr>
          <w:rFonts w:eastAsia="Arial" w:cstheme="minorHAnsi"/>
          <w:bCs/>
          <w:iCs/>
          <w:lang w:val="es-ES_tradnl"/>
        </w:rPr>
      </w:pPr>
      <w:r w:rsidRPr="0051709F">
        <w:rPr>
          <w:rFonts w:eastAsia="Arial" w:cstheme="minorHAnsi"/>
          <w:bCs/>
          <w:iCs/>
          <w:lang w:val="es-ES_tradnl"/>
        </w:rPr>
        <w:t>Ministerio de Cultura y Deporte, Consejo Superior de Deportes y Agencia Española de Protección de la Salud en el Deporte.</w:t>
      </w:r>
    </w:p>
    <w:p w14:paraId="521793FE" w14:textId="77777777" w:rsidR="00D8138E" w:rsidRDefault="00D8138E" w:rsidP="00EE5290">
      <w:pPr>
        <w:rPr>
          <w:rFonts w:eastAsia="Arial" w:cstheme="minorHAnsi"/>
          <w:bCs/>
          <w:iCs/>
          <w:lang w:val="es-ES_tradnl"/>
        </w:rPr>
      </w:pPr>
    </w:p>
    <w:p w14:paraId="367F53B6" w14:textId="77777777" w:rsidR="005145E0" w:rsidRDefault="005145E0" w:rsidP="00EE5290">
      <w:pPr>
        <w:rPr>
          <w:rFonts w:eastAsia="Arial" w:cstheme="minorHAnsi"/>
          <w:bCs/>
          <w:iCs/>
          <w:lang w:val="es-ES_tradnl"/>
        </w:rPr>
      </w:pPr>
    </w:p>
    <w:p w14:paraId="20DDE1DF" w14:textId="77777777" w:rsidR="005145E0" w:rsidRDefault="005145E0" w:rsidP="00EE5290">
      <w:pPr>
        <w:rPr>
          <w:rFonts w:eastAsia="Arial" w:cstheme="minorHAnsi"/>
          <w:bCs/>
          <w:iCs/>
          <w:lang w:val="es-ES_tradnl"/>
        </w:rPr>
      </w:pPr>
    </w:p>
    <w:p w14:paraId="54A362A9" w14:textId="77777777" w:rsidR="005145E0" w:rsidRPr="0051709F" w:rsidRDefault="005145E0" w:rsidP="00EE5290">
      <w:pPr>
        <w:rPr>
          <w:rFonts w:eastAsia="Arial" w:cstheme="minorHAnsi"/>
          <w:bCs/>
          <w:iCs/>
          <w:lang w:val="es-ES_tradnl"/>
        </w:rPr>
      </w:pPr>
    </w:p>
    <w:p w14:paraId="14ABD355" w14:textId="4C4CF574" w:rsidR="00D8138E" w:rsidRPr="0051709F" w:rsidRDefault="00D8138E" w:rsidP="00EE5290">
      <w:pPr>
        <w:rPr>
          <w:rFonts w:cstheme="minorHAnsi"/>
          <w:b/>
          <w:bCs/>
        </w:rPr>
      </w:pPr>
      <w:r w:rsidRPr="0051709F">
        <w:rPr>
          <w:rFonts w:cstheme="minorHAnsi"/>
          <w:b/>
          <w:bCs/>
        </w:rPr>
        <w:t xml:space="preserve">f) </w:t>
      </w:r>
      <w:r w:rsidR="00581992">
        <w:rPr>
          <w:rFonts w:cstheme="minorHAnsi"/>
          <w:b/>
          <w:bCs/>
        </w:rPr>
        <w:t>Participación</w:t>
      </w:r>
      <w:r w:rsidR="00581992" w:rsidRPr="0051709F">
        <w:rPr>
          <w:rFonts w:cstheme="minorHAnsi"/>
          <w:b/>
          <w:bCs/>
        </w:rPr>
        <w:t xml:space="preserve"> </w:t>
      </w:r>
      <w:r w:rsidRPr="0051709F">
        <w:rPr>
          <w:rFonts w:cstheme="minorHAnsi"/>
          <w:b/>
          <w:bCs/>
        </w:rPr>
        <w:t xml:space="preserve">de </w:t>
      </w:r>
      <w:r w:rsidR="00581992">
        <w:rPr>
          <w:rFonts w:cstheme="minorHAnsi"/>
          <w:b/>
          <w:bCs/>
        </w:rPr>
        <w:t xml:space="preserve">los distintos </w:t>
      </w:r>
      <w:r w:rsidRPr="0051709F">
        <w:rPr>
          <w:rFonts w:cstheme="minorHAnsi"/>
          <w:b/>
          <w:bCs/>
        </w:rPr>
        <w:t>grupos de interés</w:t>
      </w:r>
    </w:p>
    <w:p w14:paraId="24D9792F" w14:textId="77777777" w:rsidR="00D8138E" w:rsidRPr="0051709F" w:rsidRDefault="00D8138E" w:rsidP="00EE5290">
      <w:pPr>
        <w:rPr>
          <w:rFonts w:cstheme="minorHAnsi"/>
        </w:rPr>
      </w:pPr>
    </w:p>
    <w:p w14:paraId="245A37E5" w14:textId="6FBD0CE9" w:rsidR="00AA7C4C" w:rsidRPr="0051709F" w:rsidRDefault="00AA7C4C" w:rsidP="00AA7C4C">
      <w:pPr>
        <w:jc w:val="both"/>
        <w:rPr>
          <w:rFonts w:eastAsiaTheme="minorEastAsia" w:cstheme="minorHAnsi"/>
          <w:color w:val="000000" w:themeColor="text1"/>
        </w:rPr>
      </w:pPr>
      <w:r w:rsidRPr="0051709F">
        <w:rPr>
          <w:rFonts w:eastAsiaTheme="minorEastAsia" w:cstheme="minorHAnsi"/>
          <w:color w:val="000000" w:themeColor="text1"/>
        </w:rPr>
        <w:t>Un</w:t>
      </w:r>
      <w:r w:rsidR="00581992">
        <w:rPr>
          <w:rFonts w:eastAsiaTheme="minorEastAsia" w:cstheme="minorHAnsi"/>
          <w:color w:val="000000" w:themeColor="text1"/>
        </w:rPr>
        <w:t>o de los principales</w:t>
      </w:r>
      <w:r w:rsidRPr="0051709F">
        <w:rPr>
          <w:rFonts w:eastAsiaTheme="minorEastAsia" w:cstheme="minorHAnsi"/>
          <w:color w:val="000000" w:themeColor="text1"/>
        </w:rPr>
        <w:t xml:space="preserve"> reto</w:t>
      </w:r>
      <w:r w:rsidR="00581992">
        <w:rPr>
          <w:rFonts w:eastAsiaTheme="minorEastAsia" w:cstheme="minorHAnsi"/>
          <w:color w:val="000000" w:themeColor="text1"/>
        </w:rPr>
        <w:t>s en la elaboración y puesta en marcha de esta Estrategia</w:t>
      </w:r>
      <w:r w:rsidRPr="0051709F">
        <w:rPr>
          <w:rFonts w:eastAsiaTheme="minorEastAsia" w:cstheme="minorHAnsi"/>
          <w:color w:val="000000" w:themeColor="text1"/>
        </w:rPr>
        <w:t xml:space="preserve"> es conseguir la colaboración entre la Administración </w:t>
      </w:r>
      <w:r w:rsidR="00581992">
        <w:rPr>
          <w:rFonts w:eastAsiaTheme="minorEastAsia" w:cstheme="minorHAnsi"/>
          <w:color w:val="000000" w:themeColor="text1"/>
        </w:rPr>
        <w:t xml:space="preserve">General </w:t>
      </w:r>
      <w:r w:rsidRPr="0051709F">
        <w:rPr>
          <w:rFonts w:eastAsiaTheme="minorEastAsia" w:cstheme="minorHAnsi"/>
          <w:color w:val="000000" w:themeColor="text1"/>
        </w:rPr>
        <w:t xml:space="preserve">del Estado, las Comunidades Autónomas, las entidades locales y otras entidades </w:t>
      </w:r>
      <w:r w:rsidR="00581992" w:rsidRPr="0051709F">
        <w:rPr>
          <w:rFonts w:eastAsiaTheme="minorEastAsia" w:cstheme="minorHAnsi"/>
          <w:color w:val="000000" w:themeColor="text1"/>
        </w:rPr>
        <w:t>sociales</w:t>
      </w:r>
      <w:r w:rsidR="00581992">
        <w:rPr>
          <w:rFonts w:eastAsiaTheme="minorEastAsia" w:cstheme="minorHAnsi"/>
          <w:color w:val="000000" w:themeColor="text1"/>
        </w:rPr>
        <w:t>,</w:t>
      </w:r>
      <w:r w:rsidR="00581992" w:rsidRPr="0051709F">
        <w:rPr>
          <w:rFonts w:eastAsiaTheme="minorEastAsia" w:cstheme="minorHAnsi"/>
          <w:color w:val="000000" w:themeColor="text1"/>
        </w:rPr>
        <w:t xml:space="preserve"> sin</w:t>
      </w:r>
      <w:r w:rsidRPr="0051709F">
        <w:rPr>
          <w:rFonts w:eastAsiaTheme="minorEastAsia" w:cstheme="minorHAnsi"/>
          <w:color w:val="000000" w:themeColor="text1"/>
        </w:rPr>
        <w:t xml:space="preserve"> ánimo de lucro y empresariales</w:t>
      </w:r>
      <w:r w:rsidR="00581992">
        <w:rPr>
          <w:rFonts w:eastAsiaTheme="minorEastAsia" w:cstheme="minorHAnsi"/>
          <w:color w:val="000000" w:themeColor="text1"/>
        </w:rPr>
        <w:t>,</w:t>
      </w:r>
      <w:r w:rsidRPr="0051709F">
        <w:rPr>
          <w:rFonts w:eastAsiaTheme="minorEastAsia" w:cstheme="minorHAnsi"/>
          <w:color w:val="000000" w:themeColor="text1"/>
        </w:rPr>
        <w:t xml:space="preserve"> que intervienen como agentes </w:t>
      </w:r>
      <w:r w:rsidR="00581992">
        <w:rPr>
          <w:rFonts w:eastAsiaTheme="minorEastAsia" w:cstheme="minorHAnsi"/>
          <w:color w:val="000000" w:themeColor="text1"/>
        </w:rPr>
        <w:t xml:space="preserve">en </w:t>
      </w:r>
      <w:r w:rsidRPr="0051709F">
        <w:rPr>
          <w:rFonts w:eastAsiaTheme="minorEastAsia" w:cstheme="minorHAnsi"/>
          <w:color w:val="000000" w:themeColor="text1"/>
        </w:rPr>
        <w:t>el sistema deportivo nacional.</w:t>
      </w:r>
    </w:p>
    <w:p w14:paraId="341F1373" w14:textId="77777777" w:rsidR="00AA7C4C" w:rsidRPr="0051709F" w:rsidRDefault="00AA7C4C" w:rsidP="00AA7C4C">
      <w:pPr>
        <w:jc w:val="both"/>
        <w:rPr>
          <w:rFonts w:eastAsiaTheme="minorEastAsia" w:cstheme="minorHAnsi"/>
          <w:color w:val="000000" w:themeColor="text1"/>
        </w:rPr>
      </w:pPr>
    </w:p>
    <w:p w14:paraId="4CC90475" w14:textId="42A54A25" w:rsidR="00642AD0" w:rsidRPr="0051709F" w:rsidRDefault="00642AD0" w:rsidP="00D8138E">
      <w:pPr>
        <w:jc w:val="both"/>
        <w:rPr>
          <w:rFonts w:cstheme="minorHAnsi"/>
          <w:b/>
          <w:bCs/>
        </w:rPr>
      </w:pPr>
      <w:r w:rsidRPr="0051709F">
        <w:rPr>
          <w:rFonts w:cstheme="minorHAnsi"/>
          <w:b/>
          <w:bCs/>
        </w:rPr>
        <w:t xml:space="preserve">g) Principales impedimentos para las reformas y estrategias </w:t>
      </w:r>
      <w:r w:rsidR="000A666D">
        <w:rPr>
          <w:rFonts w:cstheme="minorHAnsi"/>
          <w:b/>
          <w:bCs/>
        </w:rPr>
        <w:t>para superarlos</w:t>
      </w:r>
    </w:p>
    <w:p w14:paraId="0FBFEBFD" w14:textId="77777777" w:rsidR="00642AD0" w:rsidRPr="0051709F" w:rsidRDefault="00642AD0" w:rsidP="00D8138E">
      <w:pPr>
        <w:jc w:val="both"/>
        <w:rPr>
          <w:rFonts w:cstheme="minorHAnsi"/>
        </w:rPr>
      </w:pPr>
    </w:p>
    <w:p w14:paraId="3FA52E2A" w14:textId="77777777" w:rsidR="00642AD0" w:rsidRPr="0051709F" w:rsidRDefault="00642AD0" w:rsidP="00642AD0">
      <w:pPr>
        <w:jc w:val="both"/>
        <w:rPr>
          <w:rFonts w:cstheme="minorHAnsi"/>
          <w:bCs/>
          <w:iCs/>
        </w:rPr>
      </w:pPr>
      <w:r w:rsidRPr="0051709F">
        <w:rPr>
          <w:rFonts w:cstheme="minorHAnsi"/>
          <w:bCs/>
          <w:iCs/>
        </w:rPr>
        <w:t>El Consejo Superior de Deportes dentro del Componente 26 integra una serie de medidas e inversiones dirigidas a impulsar la práctica deportiva como elemento de actividad física ligada a una vida saludable.</w:t>
      </w:r>
    </w:p>
    <w:p w14:paraId="4775E903" w14:textId="77777777" w:rsidR="00642AD0" w:rsidRPr="0051709F" w:rsidRDefault="00642AD0" w:rsidP="00642AD0">
      <w:pPr>
        <w:jc w:val="both"/>
        <w:rPr>
          <w:rFonts w:cstheme="minorHAnsi"/>
          <w:bCs/>
          <w:iCs/>
        </w:rPr>
      </w:pPr>
    </w:p>
    <w:p w14:paraId="3EE8E2AA" w14:textId="45EF8EB1" w:rsidR="00642AD0" w:rsidRPr="0051709F" w:rsidRDefault="00642AD0" w:rsidP="00642AD0">
      <w:pPr>
        <w:jc w:val="both"/>
        <w:rPr>
          <w:rFonts w:cstheme="minorHAnsi"/>
          <w:bCs/>
          <w:iCs/>
        </w:rPr>
      </w:pPr>
      <w:r w:rsidRPr="0051709F">
        <w:rPr>
          <w:rFonts w:cstheme="minorHAnsi"/>
          <w:bCs/>
          <w:iCs/>
        </w:rPr>
        <w:t xml:space="preserve">El principal impedimento para </w:t>
      </w:r>
      <w:r w:rsidR="000A666D">
        <w:rPr>
          <w:rFonts w:cstheme="minorHAnsi"/>
          <w:bCs/>
          <w:iCs/>
        </w:rPr>
        <w:t xml:space="preserve">hacer efectiva </w:t>
      </w:r>
      <w:r w:rsidRPr="0051709F">
        <w:rPr>
          <w:rFonts w:cstheme="minorHAnsi"/>
          <w:bCs/>
          <w:iCs/>
        </w:rPr>
        <w:t xml:space="preserve">esta reforma </w:t>
      </w:r>
      <w:r w:rsidR="00165F8D">
        <w:rPr>
          <w:rFonts w:cstheme="minorHAnsi"/>
          <w:bCs/>
          <w:iCs/>
        </w:rPr>
        <w:t>sería</w:t>
      </w:r>
      <w:r w:rsidRPr="0051709F">
        <w:rPr>
          <w:rFonts w:cstheme="minorHAnsi"/>
          <w:bCs/>
          <w:iCs/>
        </w:rPr>
        <w:t xml:space="preserve"> la falta de colaboración entre la</w:t>
      </w:r>
      <w:r w:rsidR="007B667D">
        <w:rPr>
          <w:rFonts w:cstheme="minorHAnsi"/>
          <w:bCs/>
          <w:iCs/>
        </w:rPr>
        <w:t>s</w:t>
      </w:r>
      <w:r w:rsidRPr="0051709F">
        <w:rPr>
          <w:rFonts w:cstheme="minorHAnsi"/>
          <w:bCs/>
          <w:iCs/>
        </w:rPr>
        <w:t xml:space="preserve"> </w:t>
      </w:r>
      <w:r w:rsidR="000A666D">
        <w:rPr>
          <w:rFonts w:cstheme="minorHAnsi"/>
          <w:bCs/>
          <w:iCs/>
        </w:rPr>
        <w:t>administraciones y de éstas con</w:t>
      </w:r>
      <w:r w:rsidRPr="0051709F">
        <w:rPr>
          <w:rFonts w:cstheme="minorHAnsi"/>
          <w:bCs/>
          <w:iCs/>
        </w:rPr>
        <w:t xml:space="preserve"> otras entidades sociales que intervienen como agentes del sistema deportivo nacional</w:t>
      </w:r>
      <w:r w:rsidR="000A666D">
        <w:rPr>
          <w:rFonts w:cstheme="minorHAnsi"/>
          <w:bCs/>
          <w:iCs/>
        </w:rPr>
        <w:t>.</w:t>
      </w:r>
      <w:r w:rsidRPr="0051709F">
        <w:rPr>
          <w:rFonts w:cstheme="minorHAnsi"/>
          <w:bCs/>
          <w:iCs/>
        </w:rPr>
        <w:t xml:space="preserve"> </w:t>
      </w:r>
      <w:r w:rsidR="000A666D">
        <w:rPr>
          <w:rFonts w:cstheme="minorHAnsi"/>
          <w:bCs/>
          <w:iCs/>
        </w:rPr>
        <w:t xml:space="preserve">No obstante, son muchos </w:t>
      </w:r>
      <w:r w:rsidRPr="0051709F">
        <w:rPr>
          <w:rFonts w:cstheme="minorHAnsi"/>
          <w:bCs/>
          <w:iCs/>
        </w:rPr>
        <w:t>los organismos internacionales relacionados con la salud</w:t>
      </w:r>
      <w:r w:rsidR="000A666D">
        <w:rPr>
          <w:rFonts w:cstheme="minorHAnsi"/>
          <w:bCs/>
          <w:iCs/>
        </w:rPr>
        <w:t xml:space="preserve"> que</w:t>
      </w:r>
      <w:r w:rsidRPr="0051709F">
        <w:rPr>
          <w:rFonts w:cstheme="minorHAnsi"/>
          <w:bCs/>
          <w:iCs/>
        </w:rPr>
        <w:t xml:space="preserve"> reclaman políticas nacionales para luchar contra el sedentarismo y sus consecuencias </w:t>
      </w:r>
      <w:r w:rsidR="000A666D">
        <w:rPr>
          <w:rFonts w:cstheme="minorHAnsi"/>
          <w:bCs/>
          <w:iCs/>
        </w:rPr>
        <w:t xml:space="preserve">negativas </w:t>
      </w:r>
      <w:r w:rsidRPr="0051709F">
        <w:rPr>
          <w:rFonts w:cstheme="minorHAnsi"/>
          <w:bCs/>
          <w:iCs/>
        </w:rPr>
        <w:t>sobre la salud de</w:t>
      </w:r>
      <w:r w:rsidR="000A666D">
        <w:rPr>
          <w:rFonts w:cstheme="minorHAnsi"/>
          <w:bCs/>
          <w:iCs/>
        </w:rPr>
        <w:t>l conjunto de la ciudadanía</w:t>
      </w:r>
      <w:r w:rsidRPr="0051709F">
        <w:rPr>
          <w:rFonts w:cstheme="minorHAnsi"/>
          <w:bCs/>
          <w:iCs/>
        </w:rPr>
        <w:t>.</w:t>
      </w:r>
    </w:p>
    <w:p w14:paraId="743D07D9" w14:textId="77777777" w:rsidR="00642AD0" w:rsidRPr="0051709F" w:rsidRDefault="00642AD0" w:rsidP="00642AD0">
      <w:pPr>
        <w:jc w:val="both"/>
        <w:rPr>
          <w:rFonts w:cstheme="minorHAnsi"/>
          <w:bCs/>
          <w:iCs/>
        </w:rPr>
      </w:pPr>
    </w:p>
    <w:p w14:paraId="624BDB86" w14:textId="48D4E9FC" w:rsidR="00642AD0" w:rsidRPr="0051709F" w:rsidRDefault="00642AD0" w:rsidP="00642AD0">
      <w:pPr>
        <w:jc w:val="both"/>
        <w:rPr>
          <w:rFonts w:cstheme="minorHAnsi"/>
          <w:bCs/>
          <w:iCs/>
        </w:rPr>
      </w:pPr>
      <w:r w:rsidRPr="0051709F">
        <w:rPr>
          <w:rFonts w:cstheme="minorHAnsi"/>
          <w:bCs/>
          <w:iCs/>
        </w:rPr>
        <w:t xml:space="preserve">La estrategia </w:t>
      </w:r>
      <w:r w:rsidR="00886AB1">
        <w:rPr>
          <w:rFonts w:cstheme="minorHAnsi"/>
          <w:bCs/>
          <w:iCs/>
        </w:rPr>
        <w:t xml:space="preserve">clave para superar esa amenaza asociada con la falta de colaboración </w:t>
      </w:r>
      <w:r w:rsidRPr="0051709F">
        <w:rPr>
          <w:rFonts w:cstheme="minorHAnsi"/>
          <w:bCs/>
          <w:iCs/>
        </w:rPr>
        <w:t xml:space="preserve">es confirmar que las medidas que se van a plasmar en esta estrategia </w:t>
      </w:r>
      <w:r w:rsidRPr="00165F8D">
        <w:rPr>
          <w:rFonts w:cstheme="minorHAnsi"/>
          <w:bCs/>
          <w:iCs/>
          <w:u w:val="single"/>
        </w:rPr>
        <w:t xml:space="preserve">promueven </w:t>
      </w:r>
      <w:r w:rsidR="00886AB1" w:rsidRPr="00165F8D">
        <w:rPr>
          <w:rFonts w:cstheme="minorHAnsi"/>
          <w:bCs/>
          <w:iCs/>
          <w:u w:val="single"/>
        </w:rPr>
        <w:t>objetivos clave y compartidos por todos los agentes implicados</w:t>
      </w:r>
      <w:r w:rsidR="00886AB1">
        <w:rPr>
          <w:rFonts w:cstheme="minorHAnsi"/>
          <w:bCs/>
          <w:iCs/>
        </w:rPr>
        <w:t xml:space="preserve">. Objetivos como </w:t>
      </w:r>
      <w:r w:rsidRPr="0051709F">
        <w:rPr>
          <w:rFonts w:cstheme="minorHAnsi"/>
          <w:bCs/>
          <w:iCs/>
        </w:rPr>
        <w:t>la</w:t>
      </w:r>
      <w:r w:rsidR="00886AB1">
        <w:rPr>
          <w:rFonts w:cstheme="minorHAnsi"/>
          <w:bCs/>
          <w:iCs/>
        </w:rPr>
        <w:t xml:space="preserve"> promoción de</w:t>
      </w:r>
      <w:r w:rsidRPr="0051709F">
        <w:rPr>
          <w:rFonts w:cstheme="minorHAnsi"/>
          <w:bCs/>
          <w:iCs/>
        </w:rPr>
        <w:t xml:space="preserve"> actividad física y el deporte en la población </w:t>
      </w:r>
      <w:r w:rsidR="0017460E" w:rsidRPr="0051709F">
        <w:rPr>
          <w:rFonts w:cstheme="minorHAnsi"/>
          <w:bCs/>
          <w:iCs/>
        </w:rPr>
        <w:t>j</w:t>
      </w:r>
      <w:r w:rsidR="0017460E">
        <w:rPr>
          <w:rFonts w:cstheme="minorHAnsi"/>
          <w:bCs/>
          <w:iCs/>
        </w:rPr>
        <w:t>oven</w:t>
      </w:r>
      <w:r w:rsidRPr="0051709F">
        <w:rPr>
          <w:rFonts w:cstheme="minorHAnsi"/>
          <w:bCs/>
          <w:iCs/>
        </w:rPr>
        <w:t xml:space="preserve"> más vulnerable, en</w:t>
      </w:r>
      <w:r w:rsidR="00886AB1">
        <w:rPr>
          <w:rFonts w:cstheme="minorHAnsi"/>
          <w:bCs/>
          <w:iCs/>
        </w:rPr>
        <w:t>tre</w:t>
      </w:r>
      <w:r w:rsidRPr="0051709F">
        <w:rPr>
          <w:rFonts w:cstheme="minorHAnsi"/>
          <w:bCs/>
          <w:iCs/>
        </w:rPr>
        <w:t xml:space="preserve"> los adultos para la reducción de la tasa de obesidad, para la reducción de los factores de riesgo por enfermedades no transmisibles y los trastornos mentales, y la mejora de la calidad de vida e independencia de las personas mayores por lograr posponer </w:t>
      </w:r>
      <w:r w:rsidR="00886AB1">
        <w:rPr>
          <w:rFonts w:cstheme="minorHAnsi"/>
          <w:bCs/>
          <w:iCs/>
        </w:rPr>
        <w:t>su</w:t>
      </w:r>
      <w:r w:rsidRPr="0051709F">
        <w:rPr>
          <w:rFonts w:cstheme="minorHAnsi"/>
          <w:bCs/>
          <w:iCs/>
        </w:rPr>
        <w:t xml:space="preserve"> fragilidad física.</w:t>
      </w:r>
    </w:p>
    <w:p w14:paraId="67143292" w14:textId="77777777" w:rsidR="00642AD0" w:rsidRPr="0051709F" w:rsidRDefault="00642AD0" w:rsidP="00642AD0">
      <w:pPr>
        <w:jc w:val="both"/>
        <w:rPr>
          <w:rFonts w:cstheme="minorHAnsi"/>
          <w:bCs/>
          <w:iCs/>
        </w:rPr>
      </w:pPr>
    </w:p>
    <w:p w14:paraId="48F30672" w14:textId="2B21489B" w:rsidR="00642AD0" w:rsidRPr="0051709F" w:rsidRDefault="00642AD0" w:rsidP="00642AD0">
      <w:pPr>
        <w:jc w:val="both"/>
        <w:rPr>
          <w:rFonts w:cstheme="minorHAnsi"/>
          <w:b/>
          <w:bCs/>
        </w:rPr>
      </w:pPr>
      <w:r w:rsidRPr="0051709F">
        <w:rPr>
          <w:rFonts w:cstheme="minorHAnsi"/>
          <w:b/>
          <w:bCs/>
        </w:rPr>
        <w:t xml:space="preserve">h) Calendario de implementación de la </w:t>
      </w:r>
      <w:r w:rsidR="00886AB1">
        <w:rPr>
          <w:rFonts w:cstheme="minorHAnsi"/>
          <w:b/>
          <w:bCs/>
        </w:rPr>
        <w:t>Estrategia</w:t>
      </w:r>
    </w:p>
    <w:p w14:paraId="3247895B" w14:textId="77777777" w:rsidR="00642AD0" w:rsidRPr="0051709F" w:rsidRDefault="00642AD0" w:rsidP="00642AD0">
      <w:pPr>
        <w:jc w:val="both"/>
        <w:rPr>
          <w:rFonts w:cstheme="minorHAnsi"/>
        </w:rPr>
      </w:pPr>
    </w:p>
    <w:p w14:paraId="5F10B991" w14:textId="78A61887" w:rsidR="00642AD0" w:rsidRPr="0051709F" w:rsidRDefault="00642AD0" w:rsidP="00642AD0">
      <w:pPr>
        <w:jc w:val="both"/>
        <w:rPr>
          <w:rFonts w:cstheme="minorHAnsi"/>
        </w:rPr>
      </w:pPr>
      <w:r w:rsidRPr="0051709F">
        <w:rPr>
          <w:rFonts w:cstheme="minorHAnsi"/>
        </w:rPr>
        <w:t>2023-2025</w:t>
      </w:r>
      <w:r w:rsidR="00886AB1">
        <w:rPr>
          <w:rFonts w:cstheme="minorHAnsi"/>
        </w:rPr>
        <w:t>.</w:t>
      </w:r>
    </w:p>
    <w:p w14:paraId="4627ADE3" w14:textId="77777777" w:rsidR="00642AD0" w:rsidRPr="0051709F" w:rsidRDefault="00642AD0" w:rsidP="00642AD0">
      <w:pPr>
        <w:jc w:val="both"/>
        <w:rPr>
          <w:rFonts w:cstheme="minorHAnsi"/>
        </w:rPr>
      </w:pPr>
    </w:p>
    <w:p w14:paraId="2F81E0F2" w14:textId="523CEA0D" w:rsidR="00713F88" w:rsidRPr="0051709F" w:rsidRDefault="00D77032" w:rsidP="00642AD0">
      <w:pPr>
        <w:jc w:val="both"/>
        <w:rPr>
          <w:rFonts w:cstheme="minorHAnsi"/>
          <w:b/>
          <w:bCs/>
        </w:rPr>
      </w:pPr>
      <w:r w:rsidRPr="0051709F">
        <w:rPr>
          <w:rFonts w:cstheme="minorHAnsi"/>
          <w:b/>
          <w:bCs/>
        </w:rPr>
        <w:t>i) Ayudas de Estado</w:t>
      </w:r>
    </w:p>
    <w:p w14:paraId="7389EDD8" w14:textId="77777777" w:rsidR="00D77032" w:rsidRPr="0051709F" w:rsidRDefault="00D77032" w:rsidP="00642AD0">
      <w:pPr>
        <w:jc w:val="both"/>
        <w:rPr>
          <w:rFonts w:cstheme="minorHAnsi"/>
        </w:rPr>
      </w:pPr>
    </w:p>
    <w:p w14:paraId="4472058D" w14:textId="02FA2AFB" w:rsidR="00CB63B2" w:rsidRPr="0051709F" w:rsidRDefault="00093D85" w:rsidP="00642AD0">
      <w:pPr>
        <w:jc w:val="both"/>
        <w:rPr>
          <w:rFonts w:cstheme="minorHAnsi"/>
          <w:b/>
          <w:bCs/>
          <w:color w:val="000000" w:themeColor="text1"/>
          <w:lang w:val="es-ES_tradnl"/>
        </w:rPr>
      </w:pPr>
      <w:r w:rsidRPr="0051709F">
        <w:rPr>
          <w:rFonts w:cstheme="minorHAnsi"/>
          <w:bCs/>
          <w:iCs/>
        </w:rPr>
        <w:t>Las medidas incluidas dentro de la reforma C26.R3 Estrategia Nacional del Fomento del Deporte contra el Sedentarismo y la Inactividad Física no constituyen ayuda de Estado.</w:t>
      </w:r>
    </w:p>
    <w:p w14:paraId="62090018" w14:textId="77777777" w:rsidR="005145E0" w:rsidRDefault="005145E0" w:rsidP="00DF3DF5">
      <w:pPr>
        <w:pStyle w:val="Ttulo2"/>
        <w:numPr>
          <w:ilvl w:val="0"/>
          <w:numId w:val="0"/>
        </w:numPr>
        <w:jc w:val="both"/>
        <w:rPr>
          <w:rFonts w:asciiTheme="minorHAnsi" w:hAnsiTheme="minorHAnsi" w:cstheme="minorHAnsi"/>
          <w:sz w:val="24"/>
          <w:szCs w:val="24"/>
          <w:lang w:val="es-ES"/>
        </w:rPr>
      </w:pPr>
    </w:p>
    <w:p w14:paraId="63D56DDB" w14:textId="41C8C259" w:rsidR="00DF3DF5" w:rsidRPr="0051709F" w:rsidRDefault="00DF3DF5" w:rsidP="00093D85">
      <w:pPr>
        <w:autoSpaceDE w:val="0"/>
        <w:autoSpaceDN w:val="0"/>
        <w:adjustRightInd w:val="0"/>
        <w:snapToGrid w:val="0"/>
        <w:jc w:val="both"/>
        <w:rPr>
          <w:rFonts w:eastAsia="Times New Roman" w:cstheme="minorHAnsi"/>
          <w:color w:val="000000"/>
        </w:rPr>
      </w:pPr>
      <w:r w:rsidRPr="0051709F">
        <w:rPr>
          <w:rFonts w:eastAsia="Times New Roman" w:cstheme="minorHAnsi"/>
          <w:color w:val="000000"/>
        </w:rPr>
        <w:br w:type="page"/>
      </w:r>
    </w:p>
    <w:p w14:paraId="5651DB8B" w14:textId="77777777" w:rsidR="00557C4A" w:rsidRDefault="00557C4A" w:rsidP="00DF3DF5">
      <w:pPr>
        <w:pStyle w:val="Ttulo1"/>
        <w:rPr>
          <w:rFonts w:asciiTheme="minorHAnsi" w:hAnsiTheme="minorHAnsi" w:cstheme="minorHAnsi"/>
          <w:sz w:val="28"/>
          <w:szCs w:val="28"/>
        </w:rPr>
      </w:pPr>
    </w:p>
    <w:p w14:paraId="1148D078" w14:textId="77777777" w:rsidR="00557C4A" w:rsidRDefault="00557C4A" w:rsidP="00DF3DF5">
      <w:pPr>
        <w:pStyle w:val="Ttulo1"/>
        <w:rPr>
          <w:rFonts w:asciiTheme="minorHAnsi" w:hAnsiTheme="minorHAnsi" w:cstheme="minorHAnsi"/>
          <w:sz w:val="28"/>
          <w:szCs w:val="28"/>
        </w:rPr>
      </w:pPr>
    </w:p>
    <w:p w14:paraId="05DC335F" w14:textId="77777777" w:rsidR="00557C4A" w:rsidRDefault="00557C4A" w:rsidP="00DF3DF5">
      <w:pPr>
        <w:pStyle w:val="Ttulo1"/>
        <w:rPr>
          <w:rFonts w:asciiTheme="minorHAnsi" w:hAnsiTheme="minorHAnsi" w:cstheme="minorHAnsi"/>
          <w:sz w:val="28"/>
          <w:szCs w:val="28"/>
        </w:rPr>
      </w:pPr>
    </w:p>
    <w:p w14:paraId="2C7F13E5" w14:textId="77777777" w:rsidR="00557C4A" w:rsidRDefault="00557C4A" w:rsidP="00DF3DF5">
      <w:pPr>
        <w:pStyle w:val="Ttulo1"/>
        <w:rPr>
          <w:rFonts w:asciiTheme="minorHAnsi" w:hAnsiTheme="minorHAnsi" w:cstheme="minorHAnsi"/>
          <w:sz w:val="28"/>
          <w:szCs w:val="28"/>
        </w:rPr>
      </w:pPr>
    </w:p>
    <w:p w14:paraId="6526BF34" w14:textId="77777777" w:rsidR="00557C4A" w:rsidRDefault="00557C4A" w:rsidP="00DF3DF5">
      <w:pPr>
        <w:pStyle w:val="Ttulo1"/>
        <w:rPr>
          <w:rFonts w:asciiTheme="minorHAnsi" w:hAnsiTheme="minorHAnsi" w:cstheme="minorHAnsi"/>
          <w:sz w:val="28"/>
          <w:szCs w:val="28"/>
        </w:rPr>
      </w:pPr>
    </w:p>
    <w:p w14:paraId="0B9D0985" w14:textId="77777777" w:rsidR="00557C4A" w:rsidRDefault="00557C4A" w:rsidP="00DF3DF5">
      <w:pPr>
        <w:pStyle w:val="Ttulo1"/>
        <w:rPr>
          <w:rFonts w:asciiTheme="minorHAnsi" w:hAnsiTheme="minorHAnsi" w:cstheme="minorHAnsi"/>
          <w:sz w:val="28"/>
          <w:szCs w:val="28"/>
        </w:rPr>
      </w:pPr>
    </w:p>
    <w:p w14:paraId="13B74198" w14:textId="77777777" w:rsidR="00557C4A" w:rsidRDefault="00557C4A" w:rsidP="00DF3DF5">
      <w:pPr>
        <w:pStyle w:val="Ttulo1"/>
        <w:rPr>
          <w:rFonts w:asciiTheme="minorHAnsi" w:hAnsiTheme="minorHAnsi" w:cstheme="minorHAnsi"/>
          <w:sz w:val="28"/>
          <w:szCs w:val="28"/>
        </w:rPr>
      </w:pPr>
    </w:p>
    <w:p w14:paraId="7F0324F9" w14:textId="77777777" w:rsidR="00557C4A" w:rsidRDefault="00557C4A" w:rsidP="00DF3DF5">
      <w:pPr>
        <w:pStyle w:val="Ttulo1"/>
        <w:rPr>
          <w:rFonts w:asciiTheme="minorHAnsi" w:hAnsiTheme="minorHAnsi" w:cstheme="minorHAnsi"/>
          <w:sz w:val="28"/>
          <w:szCs w:val="28"/>
        </w:rPr>
      </w:pPr>
    </w:p>
    <w:p w14:paraId="595E8FE7" w14:textId="77777777" w:rsidR="00557C4A" w:rsidRDefault="00557C4A" w:rsidP="00DF3DF5">
      <w:pPr>
        <w:pStyle w:val="Ttulo1"/>
        <w:rPr>
          <w:rFonts w:asciiTheme="minorHAnsi" w:hAnsiTheme="minorHAnsi" w:cstheme="minorHAnsi"/>
          <w:sz w:val="28"/>
          <w:szCs w:val="28"/>
        </w:rPr>
      </w:pPr>
    </w:p>
    <w:p w14:paraId="3353811B" w14:textId="77777777" w:rsidR="00557C4A" w:rsidRDefault="00557C4A" w:rsidP="00DF3DF5">
      <w:pPr>
        <w:pStyle w:val="Ttulo1"/>
        <w:rPr>
          <w:rFonts w:asciiTheme="minorHAnsi" w:hAnsiTheme="minorHAnsi" w:cstheme="minorHAnsi"/>
          <w:sz w:val="28"/>
          <w:szCs w:val="28"/>
        </w:rPr>
      </w:pPr>
    </w:p>
    <w:p w14:paraId="22EC194D" w14:textId="77777777" w:rsidR="00557C4A" w:rsidRDefault="00557C4A" w:rsidP="00DF3DF5">
      <w:pPr>
        <w:pStyle w:val="Ttulo1"/>
        <w:rPr>
          <w:rFonts w:asciiTheme="minorHAnsi" w:hAnsiTheme="minorHAnsi" w:cstheme="minorHAnsi"/>
          <w:sz w:val="28"/>
          <w:szCs w:val="28"/>
        </w:rPr>
      </w:pPr>
    </w:p>
    <w:p w14:paraId="6D1C73F4" w14:textId="77777777" w:rsidR="00557C4A" w:rsidRDefault="00557C4A" w:rsidP="00DF3DF5">
      <w:pPr>
        <w:pStyle w:val="Ttulo1"/>
        <w:rPr>
          <w:rFonts w:asciiTheme="minorHAnsi" w:hAnsiTheme="minorHAnsi" w:cstheme="minorHAnsi"/>
          <w:sz w:val="28"/>
          <w:szCs w:val="28"/>
        </w:rPr>
      </w:pPr>
    </w:p>
    <w:p w14:paraId="3500D3D1" w14:textId="77777777" w:rsidR="00557C4A" w:rsidRDefault="00557C4A" w:rsidP="00557C4A"/>
    <w:p w14:paraId="2F213995" w14:textId="77777777" w:rsidR="00557C4A" w:rsidRDefault="00557C4A" w:rsidP="00557C4A"/>
    <w:p w14:paraId="3E539B75" w14:textId="77777777" w:rsidR="00557C4A" w:rsidRDefault="00557C4A" w:rsidP="00557C4A"/>
    <w:p w14:paraId="441FA186" w14:textId="77777777" w:rsidR="00557C4A" w:rsidRPr="00557C4A" w:rsidRDefault="00557C4A" w:rsidP="00557C4A"/>
    <w:p w14:paraId="514D2552" w14:textId="77777777" w:rsidR="00557C4A" w:rsidRDefault="00557C4A" w:rsidP="00557C4A"/>
    <w:p w14:paraId="1441ABD1" w14:textId="77777777" w:rsidR="00557C4A" w:rsidRDefault="00557C4A" w:rsidP="00557C4A"/>
    <w:p w14:paraId="5DAABAA8" w14:textId="77777777" w:rsidR="00557C4A" w:rsidRPr="00557C4A" w:rsidRDefault="00557C4A" w:rsidP="00557C4A">
      <w:pPr>
        <w:pStyle w:val="Ttulo1"/>
        <w:jc w:val="right"/>
        <w:rPr>
          <w:rFonts w:asciiTheme="minorHAnsi" w:hAnsiTheme="minorHAnsi" w:cstheme="minorHAnsi"/>
        </w:rPr>
      </w:pPr>
      <w:r w:rsidRPr="00557C4A">
        <w:rPr>
          <w:rFonts w:asciiTheme="minorHAnsi" w:hAnsiTheme="minorHAnsi" w:cstheme="minorHAnsi"/>
        </w:rPr>
        <w:t xml:space="preserve">#2. Antecedentes </w:t>
      </w:r>
    </w:p>
    <w:p w14:paraId="7CEAFAF6" w14:textId="77777777" w:rsidR="00557C4A" w:rsidRDefault="00557C4A" w:rsidP="00557C4A"/>
    <w:p w14:paraId="4D3AB4B7" w14:textId="77777777" w:rsidR="00557C4A" w:rsidRDefault="00557C4A" w:rsidP="00557C4A"/>
    <w:p w14:paraId="394D9B22" w14:textId="77777777" w:rsidR="00557C4A" w:rsidRDefault="00557C4A" w:rsidP="00557C4A"/>
    <w:p w14:paraId="093342DB" w14:textId="77777777" w:rsidR="00557C4A" w:rsidRDefault="00557C4A" w:rsidP="00557C4A"/>
    <w:p w14:paraId="0B374EFB" w14:textId="77777777" w:rsidR="00557C4A" w:rsidRDefault="00557C4A" w:rsidP="00557C4A"/>
    <w:p w14:paraId="486F3D27" w14:textId="77777777" w:rsidR="00557C4A" w:rsidRDefault="00557C4A" w:rsidP="00557C4A"/>
    <w:p w14:paraId="3BC01516" w14:textId="77777777" w:rsidR="00557C4A" w:rsidRDefault="00557C4A" w:rsidP="00557C4A"/>
    <w:p w14:paraId="38AEB880" w14:textId="77777777" w:rsidR="00557C4A" w:rsidRDefault="00557C4A" w:rsidP="00557C4A"/>
    <w:p w14:paraId="7EDEF0AB" w14:textId="77777777" w:rsidR="00557C4A" w:rsidRDefault="00557C4A" w:rsidP="00557C4A"/>
    <w:p w14:paraId="792445FF" w14:textId="77777777" w:rsidR="00557C4A" w:rsidRDefault="00557C4A" w:rsidP="00557C4A"/>
    <w:p w14:paraId="77DD61EA" w14:textId="77777777" w:rsidR="00557C4A" w:rsidRDefault="00557C4A" w:rsidP="00557C4A"/>
    <w:p w14:paraId="07FB5C56" w14:textId="77777777" w:rsidR="00557C4A" w:rsidRDefault="00557C4A" w:rsidP="00557C4A"/>
    <w:p w14:paraId="3C55461F" w14:textId="77777777" w:rsidR="00557C4A" w:rsidRDefault="00557C4A" w:rsidP="00557C4A"/>
    <w:p w14:paraId="146F6C92" w14:textId="77777777" w:rsidR="00557C4A" w:rsidRDefault="00557C4A" w:rsidP="00557C4A"/>
    <w:p w14:paraId="7E72407F" w14:textId="77777777" w:rsidR="00557C4A" w:rsidRDefault="00557C4A" w:rsidP="00557C4A"/>
    <w:p w14:paraId="16E40EBC" w14:textId="77777777" w:rsidR="00557C4A" w:rsidRDefault="00557C4A" w:rsidP="00557C4A"/>
    <w:p w14:paraId="571783B7" w14:textId="77777777" w:rsidR="00557C4A" w:rsidRPr="00557C4A" w:rsidRDefault="00557C4A" w:rsidP="00557C4A"/>
    <w:p w14:paraId="0658750A" w14:textId="56935478" w:rsidR="006B6011" w:rsidRPr="005145E0" w:rsidRDefault="006B6011" w:rsidP="00DF3DF5">
      <w:pPr>
        <w:pStyle w:val="Ttulo1"/>
        <w:rPr>
          <w:rFonts w:asciiTheme="minorHAnsi" w:hAnsiTheme="minorHAnsi" w:cstheme="minorHAnsi"/>
          <w:sz w:val="28"/>
          <w:szCs w:val="28"/>
        </w:rPr>
      </w:pPr>
      <w:r w:rsidRPr="005145E0">
        <w:rPr>
          <w:rFonts w:asciiTheme="minorHAnsi" w:hAnsiTheme="minorHAnsi" w:cstheme="minorHAnsi"/>
          <w:sz w:val="28"/>
          <w:szCs w:val="28"/>
        </w:rPr>
        <w:t>#</w:t>
      </w:r>
      <w:r w:rsidR="00DB38F6" w:rsidRPr="005145E0">
        <w:rPr>
          <w:rFonts w:asciiTheme="minorHAnsi" w:hAnsiTheme="minorHAnsi" w:cstheme="minorHAnsi"/>
          <w:sz w:val="28"/>
          <w:szCs w:val="28"/>
        </w:rPr>
        <w:t>2</w:t>
      </w:r>
      <w:r w:rsidRPr="005145E0">
        <w:rPr>
          <w:rFonts w:asciiTheme="minorHAnsi" w:hAnsiTheme="minorHAnsi" w:cstheme="minorHAnsi"/>
          <w:sz w:val="28"/>
          <w:szCs w:val="28"/>
        </w:rPr>
        <w:t xml:space="preserve">. Antecedentes </w:t>
      </w:r>
    </w:p>
    <w:p w14:paraId="2024A1E6" w14:textId="77777777" w:rsidR="006B6011" w:rsidRPr="0051709F" w:rsidRDefault="006B6011" w:rsidP="006B6011">
      <w:pPr>
        <w:jc w:val="both"/>
        <w:rPr>
          <w:rFonts w:cstheme="minorHAnsi"/>
          <w:color w:val="000000" w:themeColor="text1"/>
        </w:rPr>
      </w:pPr>
    </w:p>
    <w:p w14:paraId="505B0A39" w14:textId="3E71FAAF" w:rsidR="001B1885" w:rsidRPr="0051709F" w:rsidRDefault="00E92D0E" w:rsidP="001B1885">
      <w:pPr>
        <w:jc w:val="both"/>
        <w:rPr>
          <w:rFonts w:cstheme="minorHAnsi"/>
          <w:color w:val="000000" w:themeColor="text1"/>
        </w:rPr>
      </w:pPr>
      <w:r>
        <w:rPr>
          <w:rFonts w:cstheme="minorHAnsi"/>
          <w:color w:val="000000" w:themeColor="text1"/>
        </w:rPr>
        <w:t xml:space="preserve">La actividad física </w:t>
      </w:r>
      <w:r w:rsidR="001B1885" w:rsidRPr="0051709F">
        <w:rPr>
          <w:rFonts w:cstheme="minorHAnsi"/>
          <w:color w:val="000000" w:themeColor="text1"/>
        </w:rPr>
        <w:t xml:space="preserve">regular, en consonancia con las directrices vigentes de la </w:t>
      </w:r>
      <w:r w:rsidRPr="0051709F">
        <w:rPr>
          <w:rFonts w:cstheme="minorHAnsi"/>
          <w:color w:val="000000" w:themeColor="text1"/>
        </w:rPr>
        <w:t xml:space="preserve">Organización Mundial de la Salud </w:t>
      </w:r>
      <w:r w:rsidR="001B1885" w:rsidRPr="0051709F">
        <w:rPr>
          <w:rFonts w:cstheme="minorHAnsi"/>
          <w:color w:val="000000" w:themeColor="text1"/>
        </w:rPr>
        <w:t xml:space="preserve">(Bull et al., 2020; </w:t>
      </w:r>
      <w:proofErr w:type="spellStart"/>
      <w:r>
        <w:rPr>
          <w:rFonts w:cstheme="minorHAnsi"/>
          <w:color w:val="000000" w:themeColor="text1"/>
        </w:rPr>
        <w:t>World</w:t>
      </w:r>
      <w:proofErr w:type="spellEnd"/>
      <w:r>
        <w:rPr>
          <w:rFonts w:cstheme="minorHAnsi"/>
          <w:color w:val="000000" w:themeColor="text1"/>
        </w:rPr>
        <w:t xml:space="preserve"> </w:t>
      </w:r>
      <w:proofErr w:type="spellStart"/>
      <w:r>
        <w:rPr>
          <w:rFonts w:cstheme="minorHAnsi"/>
          <w:color w:val="000000" w:themeColor="text1"/>
        </w:rPr>
        <w:t>Health</w:t>
      </w:r>
      <w:proofErr w:type="spellEnd"/>
      <w:r>
        <w:rPr>
          <w:rFonts w:cstheme="minorHAnsi"/>
          <w:color w:val="000000" w:themeColor="text1"/>
        </w:rPr>
        <w:t xml:space="preserve"> </w:t>
      </w:r>
      <w:proofErr w:type="spellStart"/>
      <w:r>
        <w:rPr>
          <w:rFonts w:cstheme="minorHAnsi"/>
          <w:color w:val="000000" w:themeColor="text1"/>
        </w:rPr>
        <w:t>Organization</w:t>
      </w:r>
      <w:proofErr w:type="spellEnd"/>
      <w:r w:rsidR="001B1885" w:rsidRPr="0051709F">
        <w:rPr>
          <w:rFonts w:cstheme="minorHAnsi"/>
          <w:color w:val="000000" w:themeColor="text1"/>
        </w:rPr>
        <w:t>, 2020), ayuda a prevenir y tratar las</w:t>
      </w:r>
      <w:r w:rsidR="00980DBF">
        <w:rPr>
          <w:rFonts w:cstheme="minorHAnsi"/>
          <w:color w:val="000000" w:themeColor="text1"/>
        </w:rPr>
        <w:t xml:space="preserve"> enfermedades no transmisibles</w:t>
      </w:r>
      <w:r w:rsidR="001B1885" w:rsidRPr="0051709F">
        <w:rPr>
          <w:rFonts w:cstheme="minorHAnsi"/>
          <w:color w:val="000000" w:themeColor="text1"/>
        </w:rPr>
        <w:t>, como las cardiopatías, los accidentes cerebrovasculares, la diabetes y algunos tipos de cáncer. Puede prevenir la hipertensión, el sobrepeso y la obesidad y mejora la salud mental, la calidad de vida y el bienestar. Las sociedades que son más activas generan beneficios adicionales, entre ellos: menor uso de combustibles fósiles, aire más limpio y carreteras más seguras y menos congestionadas (</w:t>
      </w:r>
      <w:proofErr w:type="spellStart"/>
      <w:r w:rsidR="0076678A">
        <w:rPr>
          <w:rFonts w:cstheme="minorHAnsi"/>
          <w:color w:val="000000" w:themeColor="text1"/>
        </w:rPr>
        <w:t>World</w:t>
      </w:r>
      <w:proofErr w:type="spellEnd"/>
      <w:r w:rsidR="0076678A">
        <w:rPr>
          <w:rFonts w:cstheme="minorHAnsi"/>
          <w:color w:val="000000" w:themeColor="text1"/>
        </w:rPr>
        <w:t xml:space="preserve"> </w:t>
      </w:r>
      <w:proofErr w:type="spellStart"/>
      <w:r w:rsidR="0076678A">
        <w:rPr>
          <w:rFonts w:cstheme="minorHAnsi"/>
          <w:color w:val="000000" w:themeColor="text1"/>
        </w:rPr>
        <w:t>Health</w:t>
      </w:r>
      <w:proofErr w:type="spellEnd"/>
      <w:r w:rsidR="0076678A">
        <w:rPr>
          <w:rFonts w:cstheme="minorHAnsi"/>
          <w:color w:val="000000" w:themeColor="text1"/>
        </w:rPr>
        <w:t xml:space="preserve"> </w:t>
      </w:r>
      <w:proofErr w:type="spellStart"/>
      <w:r w:rsidR="0076678A">
        <w:rPr>
          <w:rFonts w:cstheme="minorHAnsi"/>
          <w:color w:val="000000" w:themeColor="text1"/>
        </w:rPr>
        <w:t>Organization</w:t>
      </w:r>
      <w:proofErr w:type="spellEnd"/>
      <w:r w:rsidR="001B1885" w:rsidRPr="0051709F">
        <w:rPr>
          <w:rFonts w:cstheme="minorHAnsi"/>
          <w:color w:val="000000" w:themeColor="text1"/>
        </w:rPr>
        <w:t xml:space="preserve">, 2018). Estos resultados están interconectados con el logro de los objetivos compartidos, las prioridades políticas y las ambiciones </w:t>
      </w:r>
      <w:r w:rsidR="00B619A0">
        <w:rPr>
          <w:rFonts w:cstheme="minorHAnsi"/>
          <w:color w:val="000000" w:themeColor="text1"/>
        </w:rPr>
        <w:t>reflejadas en</w:t>
      </w:r>
      <w:r w:rsidR="001B1885" w:rsidRPr="0051709F">
        <w:rPr>
          <w:rFonts w:cstheme="minorHAnsi"/>
          <w:color w:val="000000" w:themeColor="text1"/>
        </w:rPr>
        <w:t xml:space="preserve"> la Agenda 2030 de Desarrollo Sostenible. </w:t>
      </w:r>
    </w:p>
    <w:p w14:paraId="4FA4172E" w14:textId="77777777" w:rsidR="001B1885" w:rsidRPr="0051709F" w:rsidRDefault="001B1885" w:rsidP="001B1885">
      <w:pPr>
        <w:jc w:val="both"/>
        <w:rPr>
          <w:rFonts w:cstheme="minorHAnsi"/>
          <w:color w:val="000000" w:themeColor="text1"/>
        </w:rPr>
      </w:pPr>
    </w:p>
    <w:p w14:paraId="651A1DD2" w14:textId="35AAEFC1" w:rsidR="001B1885" w:rsidRPr="0051709F" w:rsidRDefault="001B1885" w:rsidP="001B1885">
      <w:pPr>
        <w:jc w:val="both"/>
        <w:rPr>
          <w:rFonts w:cstheme="minorHAnsi"/>
          <w:color w:val="000000" w:themeColor="text1"/>
        </w:rPr>
      </w:pPr>
      <w:r w:rsidRPr="0051709F">
        <w:rPr>
          <w:rFonts w:cstheme="minorHAnsi"/>
          <w:color w:val="000000" w:themeColor="text1"/>
        </w:rPr>
        <w:t xml:space="preserve">Por otro lado, no cumplir las directrices de </w:t>
      </w:r>
      <w:r w:rsidR="00B619A0">
        <w:rPr>
          <w:rFonts w:cstheme="minorHAnsi"/>
          <w:color w:val="000000" w:themeColor="text1"/>
        </w:rPr>
        <w:t>Actividad Física (</w:t>
      </w:r>
      <w:r w:rsidRPr="0051709F">
        <w:rPr>
          <w:rFonts w:cstheme="minorHAnsi"/>
          <w:color w:val="000000" w:themeColor="text1"/>
        </w:rPr>
        <w:t>AF</w:t>
      </w:r>
      <w:r w:rsidR="00B619A0">
        <w:rPr>
          <w:rFonts w:cstheme="minorHAnsi"/>
          <w:color w:val="000000" w:themeColor="text1"/>
        </w:rPr>
        <w:t xml:space="preserve"> en adelante)</w:t>
      </w:r>
      <w:r w:rsidRPr="0051709F">
        <w:rPr>
          <w:rFonts w:cstheme="minorHAnsi"/>
          <w:color w:val="000000" w:themeColor="text1"/>
        </w:rPr>
        <w:t xml:space="preserve"> es un factor de riesgo mundial de enfermedad y mortalidad. Es más, el aumento del tiempo sedentario (es decir, el tiempo sentado), independientemente de la AF que se desarrolle en el tiempo libre, también se ha identificado como un predictor significativo de resultados adversos para la salud (Patterson et al., 2018; Young et al., 2016). Se estima que cada hora adicional de tiempo sentado aumenta los costos anuales de atención médica en adultos en</w:t>
      </w:r>
      <w:r w:rsidR="00B619A0">
        <w:rPr>
          <w:rFonts w:cstheme="minorHAnsi"/>
          <w:color w:val="000000" w:themeColor="text1"/>
        </w:rPr>
        <w:t xml:space="preserve"> una media de</w:t>
      </w:r>
      <w:r w:rsidRPr="0051709F">
        <w:rPr>
          <w:rFonts w:cstheme="minorHAnsi"/>
          <w:color w:val="000000" w:themeColor="text1"/>
        </w:rPr>
        <w:t xml:space="preserve"> 126</w:t>
      </w:r>
      <w:r w:rsidR="00B619A0">
        <w:rPr>
          <w:rFonts w:cstheme="minorHAnsi"/>
          <w:color w:val="000000" w:themeColor="text1"/>
        </w:rPr>
        <w:t xml:space="preserve"> US</w:t>
      </w:r>
      <w:r w:rsidRPr="0051709F">
        <w:rPr>
          <w:rFonts w:cstheme="minorHAnsi"/>
          <w:color w:val="000000" w:themeColor="text1"/>
        </w:rPr>
        <w:t>$ (Rosenberg et al, 2015). No es de extrañar que el Plan de Acción Mundial (</w:t>
      </w:r>
      <w:proofErr w:type="spellStart"/>
      <w:r w:rsidR="0076678A">
        <w:rPr>
          <w:rFonts w:cstheme="minorHAnsi"/>
          <w:color w:val="000000" w:themeColor="text1"/>
        </w:rPr>
        <w:t>World</w:t>
      </w:r>
      <w:proofErr w:type="spellEnd"/>
      <w:r w:rsidR="0076678A">
        <w:rPr>
          <w:rFonts w:cstheme="minorHAnsi"/>
          <w:color w:val="000000" w:themeColor="text1"/>
        </w:rPr>
        <w:t xml:space="preserve"> </w:t>
      </w:r>
      <w:proofErr w:type="spellStart"/>
      <w:r w:rsidR="0076678A">
        <w:rPr>
          <w:rFonts w:cstheme="minorHAnsi"/>
          <w:color w:val="000000" w:themeColor="text1"/>
        </w:rPr>
        <w:t>Health</w:t>
      </w:r>
      <w:proofErr w:type="spellEnd"/>
      <w:r w:rsidR="0076678A">
        <w:rPr>
          <w:rFonts w:cstheme="minorHAnsi"/>
          <w:color w:val="000000" w:themeColor="text1"/>
        </w:rPr>
        <w:t xml:space="preserve"> </w:t>
      </w:r>
      <w:proofErr w:type="spellStart"/>
      <w:r w:rsidR="0076678A">
        <w:rPr>
          <w:rFonts w:cstheme="minorHAnsi"/>
          <w:color w:val="000000" w:themeColor="text1"/>
        </w:rPr>
        <w:t>Organization</w:t>
      </w:r>
      <w:proofErr w:type="spellEnd"/>
      <w:r w:rsidRPr="0051709F">
        <w:rPr>
          <w:rFonts w:cstheme="minorHAnsi"/>
          <w:color w:val="000000" w:themeColor="text1"/>
        </w:rPr>
        <w:t xml:space="preserve">, 2013) situara la inactividad física como uno de los factores de riesgo críticos de las enfermedades no transmisibles y estableciera el objetivo de que todos los países redujeran la prevalencia </w:t>
      </w:r>
      <w:r w:rsidR="00B619A0">
        <w:rPr>
          <w:rFonts w:cstheme="minorHAnsi"/>
          <w:color w:val="000000" w:themeColor="text1"/>
        </w:rPr>
        <w:t xml:space="preserve">de estas enfermedades </w:t>
      </w:r>
      <w:r w:rsidRPr="0051709F">
        <w:rPr>
          <w:rFonts w:cstheme="minorHAnsi"/>
          <w:color w:val="000000" w:themeColor="text1"/>
        </w:rPr>
        <w:t>(en relación con su valor de referencia) en un 10% para 2025.</w:t>
      </w:r>
    </w:p>
    <w:p w14:paraId="35F6E086" w14:textId="77777777" w:rsidR="001B1885" w:rsidRPr="0051709F" w:rsidRDefault="001B1885" w:rsidP="001B1885">
      <w:pPr>
        <w:jc w:val="both"/>
        <w:rPr>
          <w:rFonts w:cstheme="minorHAnsi"/>
          <w:color w:val="000000" w:themeColor="text1"/>
        </w:rPr>
      </w:pPr>
    </w:p>
    <w:p w14:paraId="5B104959" w14:textId="23550BED" w:rsidR="001B1885" w:rsidRPr="0051709F" w:rsidRDefault="001B1885" w:rsidP="001B1885">
      <w:pPr>
        <w:jc w:val="both"/>
        <w:rPr>
          <w:rFonts w:cstheme="minorHAnsi"/>
          <w:color w:val="000000" w:themeColor="text1"/>
        </w:rPr>
      </w:pPr>
      <w:r w:rsidRPr="0051709F">
        <w:rPr>
          <w:rFonts w:cstheme="minorHAnsi"/>
          <w:color w:val="000000" w:themeColor="text1"/>
        </w:rPr>
        <w:t xml:space="preserve">Como se destacaba en un editorial de Van </w:t>
      </w:r>
      <w:proofErr w:type="spellStart"/>
      <w:r w:rsidRPr="0051709F">
        <w:rPr>
          <w:rFonts w:cstheme="minorHAnsi"/>
          <w:color w:val="000000" w:themeColor="text1"/>
        </w:rPr>
        <w:t>der</w:t>
      </w:r>
      <w:proofErr w:type="spellEnd"/>
      <w:r w:rsidRPr="0051709F">
        <w:rPr>
          <w:rFonts w:cstheme="minorHAnsi"/>
          <w:color w:val="000000" w:themeColor="text1"/>
        </w:rPr>
        <w:t xml:space="preserve"> </w:t>
      </w:r>
      <w:proofErr w:type="spellStart"/>
      <w:r w:rsidRPr="0051709F">
        <w:rPr>
          <w:rFonts w:cstheme="minorHAnsi"/>
          <w:color w:val="000000" w:themeColor="text1"/>
        </w:rPr>
        <w:t>Ploeg</w:t>
      </w:r>
      <w:proofErr w:type="spellEnd"/>
      <w:r w:rsidRPr="0051709F">
        <w:rPr>
          <w:rFonts w:cstheme="minorHAnsi"/>
          <w:color w:val="000000" w:themeColor="text1"/>
        </w:rPr>
        <w:t xml:space="preserve"> y Bull (2020), las directrices mundiales de la </w:t>
      </w:r>
      <w:r w:rsidR="0076678A" w:rsidRPr="0051709F">
        <w:rPr>
          <w:rFonts w:cstheme="minorHAnsi"/>
          <w:color w:val="000000" w:themeColor="text1"/>
        </w:rPr>
        <w:t xml:space="preserve">Organización Mundial de la Salud </w:t>
      </w:r>
      <w:r w:rsidRPr="0051709F">
        <w:rPr>
          <w:rFonts w:cstheme="minorHAnsi"/>
          <w:color w:val="000000" w:themeColor="text1"/>
        </w:rPr>
        <w:t>para 2020</w:t>
      </w:r>
      <w:r w:rsidR="00B619A0">
        <w:rPr>
          <w:rFonts w:cstheme="minorHAnsi"/>
          <w:color w:val="000000" w:themeColor="text1"/>
        </w:rPr>
        <w:t>,</w:t>
      </w:r>
      <w:r w:rsidRPr="0051709F">
        <w:rPr>
          <w:rFonts w:cstheme="minorHAnsi"/>
          <w:color w:val="000000" w:themeColor="text1"/>
        </w:rPr>
        <w:t xml:space="preserve"> reafirmaban el mensaje del profesor Jeremy Morris de hace más de 25 años (Morris, 1994), de que la inversión en actividad física sigue siendo </w:t>
      </w:r>
      <w:r w:rsidR="00B619A0">
        <w:rPr>
          <w:rFonts w:cstheme="minorHAnsi"/>
          <w:color w:val="000000" w:themeColor="text1"/>
        </w:rPr>
        <w:t>l</w:t>
      </w:r>
      <w:r w:rsidRPr="0051709F">
        <w:rPr>
          <w:rFonts w:cstheme="minorHAnsi"/>
          <w:color w:val="000000" w:themeColor="text1"/>
        </w:rPr>
        <w:t xml:space="preserve">a </w:t>
      </w:r>
      <w:r w:rsidR="00B619A0">
        <w:rPr>
          <w:rFonts w:cstheme="minorHAnsi"/>
          <w:color w:val="000000" w:themeColor="text1"/>
        </w:rPr>
        <w:t>“</w:t>
      </w:r>
      <w:r w:rsidRPr="0051709F">
        <w:rPr>
          <w:rFonts w:cstheme="minorHAnsi"/>
          <w:color w:val="000000" w:themeColor="text1"/>
        </w:rPr>
        <w:t>mejor compra para la salud pública</w:t>
      </w:r>
      <w:r w:rsidR="00B619A0">
        <w:rPr>
          <w:rFonts w:cstheme="minorHAnsi"/>
          <w:color w:val="000000" w:themeColor="text1"/>
        </w:rPr>
        <w:t>”</w:t>
      </w:r>
      <w:r w:rsidRPr="0051709F">
        <w:rPr>
          <w:rFonts w:cstheme="minorHAnsi"/>
          <w:color w:val="000000" w:themeColor="text1"/>
        </w:rPr>
        <w:t xml:space="preserve"> (</w:t>
      </w:r>
      <w:r w:rsidRPr="0051709F">
        <w:rPr>
          <w:rFonts w:cstheme="minorHAnsi"/>
          <w:i/>
          <w:iCs/>
          <w:color w:val="000000" w:themeColor="text1"/>
        </w:rPr>
        <w:t>“</w:t>
      </w:r>
      <w:proofErr w:type="spellStart"/>
      <w:r w:rsidRPr="0051709F">
        <w:rPr>
          <w:rFonts w:cstheme="minorHAnsi"/>
          <w:i/>
          <w:iCs/>
          <w:color w:val="000000" w:themeColor="text1"/>
        </w:rPr>
        <w:t>best-buy</w:t>
      </w:r>
      <w:proofErr w:type="spellEnd"/>
      <w:r w:rsidRPr="0051709F">
        <w:rPr>
          <w:rFonts w:cstheme="minorHAnsi"/>
          <w:i/>
          <w:iCs/>
          <w:color w:val="000000" w:themeColor="text1"/>
        </w:rPr>
        <w:t xml:space="preserve">” </w:t>
      </w:r>
      <w:r w:rsidRPr="0051709F">
        <w:rPr>
          <w:rFonts w:cstheme="minorHAnsi"/>
          <w:color w:val="000000" w:themeColor="text1"/>
        </w:rPr>
        <w:t xml:space="preserve">en el término en inglés). Las directrices sobre AF de la </w:t>
      </w:r>
      <w:r w:rsidR="0076678A" w:rsidRPr="0051709F">
        <w:rPr>
          <w:rFonts w:cstheme="minorHAnsi"/>
          <w:color w:val="000000" w:themeColor="text1"/>
        </w:rPr>
        <w:t xml:space="preserve">Organización Mundial de la Salud </w:t>
      </w:r>
      <w:r w:rsidRPr="0051709F">
        <w:rPr>
          <w:rFonts w:cstheme="minorHAnsi"/>
          <w:color w:val="000000" w:themeColor="text1"/>
        </w:rPr>
        <w:t xml:space="preserve">reafirman la importancia del movimiento en la vida cotidiana, corroborando la lista de beneficios que se derivan de las sociedades activas (van </w:t>
      </w:r>
      <w:proofErr w:type="spellStart"/>
      <w:r w:rsidRPr="0051709F">
        <w:rPr>
          <w:rFonts w:cstheme="minorHAnsi"/>
          <w:color w:val="000000" w:themeColor="text1"/>
        </w:rPr>
        <w:t>der</w:t>
      </w:r>
      <w:proofErr w:type="spellEnd"/>
      <w:r w:rsidRPr="0051709F">
        <w:rPr>
          <w:rFonts w:cstheme="minorHAnsi"/>
          <w:color w:val="000000" w:themeColor="text1"/>
        </w:rPr>
        <w:t xml:space="preserve"> </w:t>
      </w:r>
      <w:proofErr w:type="spellStart"/>
      <w:r w:rsidRPr="0051709F">
        <w:rPr>
          <w:rFonts w:cstheme="minorHAnsi"/>
          <w:color w:val="000000" w:themeColor="text1"/>
        </w:rPr>
        <w:t>Ploeg</w:t>
      </w:r>
      <w:proofErr w:type="spellEnd"/>
      <w:r w:rsidRPr="0051709F">
        <w:rPr>
          <w:rFonts w:cstheme="minorHAnsi"/>
          <w:color w:val="000000" w:themeColor="text1"/>
        </w:rPr>
        <w:t xml:space="preserve"> y Bull, 2020). Por ejemplo, las estimaciones sugieren que entre 3,9 millones (</w:t>
      </w:r>
      <w:proofErr w:type="spellStart"/>
      <w:r w:rsidRPr="0051709F">
        <w:rPr>
          <w:rFonts w:cstheme="minorHAnsi"/>
          <w:color w:val="000000" w:themeColor="text1"/>
        </w:rPr>
        <w:t>Strain</w:t>
      </w:r>
      <w:proofErr w:type="spellEnd"/>
      <w:r w:rsidRPr="0051709F">
        <w:rPr>
          <w:rFonts w:cstheme="minorHAnsi"/>
          <w:color w:val="000000" w:themeColor="text1"/>
        </w:rPr>
        <w:t xml:space="preserve"> et al., 2020) y 5,3 millones (Lee at al., 2012) de muertes pueden evitarse anualmente mediante un estilo de vida físicamente activo. Una AF insuficiente disminuye la carga mecánica, la tasa metabólica y el gasto energético, lo que da lugar a una disminución de la aptitud cardiorrespiratoria y a un excedente energético. Esto conduce a manifestaciones de enfermedades, con la carga económica asociada para la sociedad del mañana (</w:t>
      </w:r>
      <w:proofErr w:type="spellStart"/>
      <w:r w:rsidRPr="0051709F">
        <w:rPr>
          <w:rFonts w:cstheme="minorHAnsi"/>
          <w:color w:val="000000" w:themeColor="text1"/>
        </w:rPr>
        <w:t>Malm</w:t>
      </w:r>
      <w:proofErr w:type="spellEnd"/>
      <w:r w:rsidRPr="0051709F">
        <w:rPr>
          <w:rFonts w:cstheme="minorHAnsi"/>
          <w:color w:val="000000" w:themeColor="text1"/>
        </w:rPr>
        <w:t xml:space="preserve"> et al., 2019).</w:t>
      </w:r>
    </w:p>
    <w:p w14:paraId="1ADABEEA" w14:textId="77777777" w:rsidR="001B1885" w:rsidRPr="0051709F" w:rsidRDefault="001B1885" w:rsidP="001B1885">
      <w:pPr>
        <w:jc w:val="both"/>
        <w:rPr>
          <w:rFonts w:cstheme="minorHAnsi"/>
          <w:color w:val="000000" w:themeColor="text1"/>
        </w:rPr>
      </w:pPr>
    </w:p>
    <w:p w14:paraId="54DAD9D8" w14:textId="142B2441" w:rsidR="001B1885" w:rsidRPr="0051709F" w:rsidRDefault="001B1885" w:rsidP="001B1885">
      <w:pPr>
        <w:jc w:val="both"/>
        <w:rPr>
          <w:rFonts w:cstheme="minorHAnsi"/>
          <w:color w:val="000000" w:themeColor="text1"/>
        </w:rPr>
      </w:pPr>
      <w:r w:rsidRPr="0051709F">
        <w:rPr>
          <w:rFonts w:cstheme="minorHAnsi"/>
          <w:color w:val="000000" w:themeColor="text1"/>
        </w:rPr>
        <w:t>De hecho, esta responsabilidad que la inactividad física tiene para la aparición y desarrollo de muchas enfermedades no transmisibles y una mortalidad prematura</w:t>
      </w:r>
      <w:r w:rsidR="00B619A0">
        <w:rPr>
          <w:rFonts w:cstheme="minorHAnsi"/>
          <w:color w:val="000000" w:themeColor="text1"/>
        </w:rPr>
        <w:t>,</w:t>
      </w:r>
      <w:r w:rsidRPr="0051709F">
        <w:rPr>
          <w:rFonts w:cstheme="minorHAnsi"/>
          <w:color w:val="000000" w:themeColor="text1"/>
        </w:rPr>
        <w:t xml:space="preserve"> llevó a la Or</w:t>
      </w:r>
      <w:r w:rsidR="0076678A">
        <w:rPr>
          <w:rFonts w:cstheme="minorHAnsi"/>
          <w:color w:val="000000" w:themeColor="text1"/>
        </w:rPr>
        <w:t>ganización Mundial de la Salud</w:t>
      </w:r>
      <w:r w:rsidRPr="0051709F">
        <w:rPr>
          <w:rFonts w:cstheme="minorHAnsi"/>
          <w:color w:val="000000" w:themeColor="text1"/>
        </w:rPr>
        <w:t xml:space="preserve"> al reconocimiento de su importancia con la publicación de distintas resoluciones para la prevención y control de la inactividad física en las últimas dos décadas, como son</w:t>
      </w:r>
      <w:r w:rsidR="00B619A0">
        <w:rPr>
          <w:rFonts w:cstheme="minorHAnsi"/>
          <w:color w:val="000000" w:themeColor="text1"/>
        </w:rPr>
        <w:t>:</w:t>
      </w:r>
      <w:r w:rsidRPr="0051709F">
        <w:rPr>
          <w:rFonts w:cstheme="minorHAnsi"/>
          <w:color w:val="000000" w:themeColor="text1"/>
        </w:rPr>
        <w:t xml:space="preserve"> WHA51.17 (2000) y EB109/14 (2001), y que </w:t>
      </w:r>
      <w:r w:rsidRPr="0051709F">
        <w:rPr>
          <w:rFonts w:cstheme="minorHAnsi"/>
          <w:color w:val="000000" w:themeColor="text1"/>
        </w:rPr>
        <w:lastRenderedPageBreak/>
        <w:t>llevaron al mismo tiempo a la publicación de la resolución WHA55.23, en la que se urgía a los Estados miembros</w:t>
      </w:r>
      <w:r w:rsidR="00B619A0">
        <w:rPr>
          <w:rFonts w:cstheme="minorHAnsi"/>
          <w:color w:val="000000" w:themeColor="text1"/>
        </w:rPr>
        <w:t xml:space="preserve"> de la organización</w:t>
      </w:r>
      <w:r w:rsidRPr="0051709F">
        <w:rPr>
          <w:rFonts w:cstheme="minorHAnsi"/>
          <w:color w:val="000000" w:themeColor="text1"/>
        </w:rPr>
        <w:t xml:space="preserve"> a ayudar a desarrollar una estrategia global para prevenir y controlar las enfermedades no transmisibles basándose en la mejor evidencia y buenas prácticas (WHO, 2002). Esta resolución llevó, dos años más tarde, a la publicación de la Estrategia Mundial sobre Dieta, Actividad Física y Salud (WHO, 2004). De este modo, la </w:t>
      </w:r>
      <w:r w:rsidR="0076678A" w:rsidRPr="0051709F">
        <w:rPr>
          <w:rFonts w:cstheme="minorHAnsi"/>
          <w:color w:val="000000" w:themeColor="text1"/>
        </w:rPr>
        <w:t xml:space="preserve">Organización Mundial de la Salud </w:t>
      </w:r>
      <w:r w:rsidRPr="0051709F">
        <w:rPr>
          <w:rFonts w:cstheme="minorHAnsi"/>
          <w:color w:val="000000" w:themeColor="text1"/>
        </w:rPr>
        <w:t xml:space="preserve">recomendó a sus países miembros desarrollar guías nacionales de promoción de actividad física. </w:t>
      </w:r>
    </w:p>
    <w:p w14:paraId="6AE40E34" w14:textId="77777777" w:rsidR="001B1885" w:rsidRPr="0051709F" w:rsidRDefault="001B1885" w:rsidP="001B1885">
      <w:pPr>
        <w:jc w:val="both"/>
        <w:rPr>
          <w:rFonts w:cstheme="minorHAnsi"/>
          <w:color w:val="000000" w:themeColor="text1"/>
        </w:rPr>
      </w:pPr>
    </w:p>
    <w:p w14:paraId="4A01DFD2" w14:textId="71289E7E" w:rsidR="001B1885" w:rsidRPr="0051709F" w:rsidRDefault="001B1885" w:rsidP="001B1885">
      <w:pPr>
        <w:jc w:val="both"/>
        <w:rPr>
          <w:rFonts w:cstheme="minorHAnsi"/>
          <w:color w:val="000000" w:themeColor="text1"/>
        </w:rPr>
      </w:pPr>
      <w:r w:rsidRPr="0051709F">
        <w:rPr>
          <w:rFonts w:cstheme="minorHAnsi"/>
          <w:color w:val="000000" w:themeColor="text1"/>
        </w:rPr>
        <w:t xml:space="preserve">Como se destaca en un reciente informe de la </w:t>
      </w:r>
      <w:r w:rsidR="006D4843" w:rsidRPr="006D4843">
        <w:rPr>
          <w:rFonts w:cstheme="minorHAnsi"/>
          <w:color w:val="000000" w:themeColor="text1"/>
        </w:rPr>
        <w:t>Organización para la Cooperación y el Desarrollo Económicos</w:t>
      </w:r>
      <w:r w:rsidR="006D4843">
        <w:rPr>
          <w:rFonts w:cstheme="minorHAnsi"/>
          <w:color w:val="000000" w:themeColor="text1"/>
        </w:rPr>
        <w:t xml:space="preserve"> (OCDE)</w:t>
      </w:r>
      <w:r w:rsidR="006D4843" w:rsidRPr="006D4843">
        <w:rPr>
          <w:rFonts w:cstheme="minorHAnsi"/>
          <w:color w:val="000000" w:themeColor="text1"/>
        </w:rPr>
        <w:t xml:space="preserve"> </w:t>
      </w:r>
      <w:r w:rsidRPr="0051709F">
        <w:rPr>
          <w:rFonts w:cstheme="minorHAnsi"/>
          <w:color w:val="000000" w:themeColor="text1"/>
        </w:rPr>
        <w:t xml:space="preserve">y la </w:t>
      </w:r>
      <w:r w:rsidR="0076678A" w:rsidRPr="0051709F">
        <w:rPr>
          <w:rFonts w:cstheme="minorHAnsi"/>
          <w:color w:val="000000" w:themeColor="text1"/>
        </w:rPr>
        <w:t xml:space="preserve">Organización Mundial de la Salud </w:t>
      </w:r>
      <w:r w:rsidRPr="0051709F">
        <w:rPr>
          <w:rFonts w:cstheme="minorHAnsi"/>
          <w:color w:val="000000" w:themeColor="text1"/>
        </w:rPr>
        <w:t>sobre Europa (2023), la mayoría de los documentos sobre políticas de actividad física publicados antes de 2010 se referían a comportamientos relacionados con la salud en general o a la combinación de nutrición y actividad física (</w:t>
      </w:r>
      <w:proofErr w:type="spellStart"/>
      <w:r w:rsidRPr="0051709F">
        <w:rPr>
          <w:rFonts w:cstheme="minorHAnsi"/>
          <w:color w:val="000000" w:themeColor="text1"/>
        </w:rPr>
        <w:t>Gelius</w:t>
      </w:r>
      <w:proofErr w:type="spellEnd"/>
      <w:r w:rsidRPr="0051709F">
        <w:rPr>
          <w:rFonts w:cstheme="minorHAnsi"/>
          <w:color w:val="000000" w:themeColor="text1"/>
        </w:rPr>
        <w:t xml:space="preserve"> et al., 2021). Debido a las pruebas cada vez más concluyentes de que la actividad física es un importante factor determinante de la salud, cada vez se hacen más esfuerzos para elaborar políticas destinadas específicamente a aumentar la actividad física de la población, tanto a escala nacional como internacional (OCDE-</w:t>
      </w:r>
      <w:r w:rsidR="0076678A">
        <w:rPr>
          <w:rFonts w:cstheme="minorHAnsi"/>
          <w:color w:val="000000" w:themeColor="text1"/>
        </w:rPr>
        <w:t>WHO</w:t>
      </w:r>
      <w:r w:rsidRPr="0051709F">
        <w:rPr>
          <w:rFonts w:cstheme="minorHAnsi"/>
          <w:color w:val="000000" w:themeColor="text1"/>
        </w:rPr>
        <w:t xml:space="preserve"> Europa, 2023).</w:t>
      </w:r>
    </w:p>
    <w:p w14:paraId="44F449BD" w14:textId="77777777" w:rsidR="001B1885" w:rsidRPr="0051709F" w:rsidRDefault="001B1885" w:rsidP="001B1885">
      <w:pPr>
        <w:jc w:val="both"/>
        <w:rPr>
          <w:rFonts w:cstheme="minorHAnsi"/>
          <w:color w:val="000000" w:themeColor="text1"/>
        </w:rPr>
      </w:pPr>
    </w:p>
    <w:p w14:paraId="6ABDB851" w14:textId="329AC41F" w:rsidR="001B1885" w:rsidRPr="0051709F" w:rsidRDefault="001B1885" w:rsidP="001B1885">
      <w:pPr>
        <w:jc w:val="both"/>
        <w:rPr>
          <w:rFonts w:cstheme="minorHAnsi"/>
          <w:color w:val="000000" w:themeColor="text1"/>
        </w:rPr>
      </w:pPr>
      <w:r w:rsidRPr="0051709F">
        <w:rPr>
          <w:rFonts w:cstheme="minorHAnsi"/>
          <w:color w:val="000000" w:themeColor="text1"/>
        </w:rPr>
        <w:t xml:space="preserve">El resumen ejecutivo del informe de la </w:t>
      </w:r>
      <w:r w:rsidR="0076678A" w:rsidRPr="0076678A">
        <w:rPr>
          <w:rFonts w:cstheme="minorHAnsi"/>
          <w:color w:val="000000" w:themeColor="text1"/>
        </w:rPr>
        <w:t>Organización para la Cooperación y el Desarrollo Económico</w:t>
      </w:r>
      <w:r w:rsidR="006D4843">
        <w:rPr>
          <w:rFonts w:cstheme="minorHAnsi"/>
          <w:color w:val="000000" w:themeColor="text1"/>
        </w:rPr>
        <w:t xml:space="preserve"> </w:t>
      </w:r>
      <w:r w:rsidR="0076678A">
        <w:rPr>
          <w:rFonts w:cstheme="minorHAnsi"/>
          <w:color w:val="000000" w:themeColor="text1"/>
        </w:rPr>
        <w:t xml:space="preserve">y la </w:t>
      </w:r>
      <w:r w:rsidRPr="0051709F">
        <w:rPr>
          <w:rFonts w:cstheme="minorHAnsi"/>
          <w:color w:val="000000" w:themeColor="text1"/>
        </w:rPr>
        <w:t>O</w:t>
      </w:r>
      <w:r w:rsidR="0076678A">
        <w:rPr>
          <w:rFonts w:cstheme="minorHAnsi"/>
          <w:color w:val="000000" w:themeColor="text1"/>
        </w:rPr>
        <w:t xml:space="preserve">rganización </w:t>
      </w:r>
      <w:r w:rsidRPr="0051709F">
        <w:rPr>
          <w:rFonts w:cstheme="minorHAnsi"/>
          <w:color w:val="000000" w:themeColor="text1"/>
        </w:rPr>
        <w:t>M</w:t>
      </w:r>
      <w:r w:rsidR="0076678A">
        <w:rPr>
          <w:rFonts w:cstheme="minorHAnsi"/>
          <w:color w:val="000000" w:themeColor="text1"/>
        </w:rPr>
        <w:t xml:space="preserve">undial de la </w:t>
      </w:r>
      <w:r w:rsidRPr="0051709F">
        <w:rPr>
          <w:rFonts w:cstheme="minorHAnsi"/>
          <w:color w:val="000000" w:themeColor="text1"/>
        </w:rPr>
        <w:t>S</w:t>
      </w:r>
      <w:r w:rsidR="0076678A">
        <w:rPr>
          <w:rFonts w:cstheme="minorHAnsi"/>
          <w:color w:val="000000" w:themeColor="text1"/>
        </w:rPr>
        <w:t>alud</w:t>
      </w:r>
      <w:r w:rsidRPr="0051709F">
        <w:rPr>
          <w:rFonts w:cstheme="minorHAnsi"/>
          <w:color w:val="000000" w:themeColor="text1"/>
        </w:rPr>
        <w:t xml:space="preserve"> </w:t>
      </w:r>
      <w:r w:rsidR="00B619A0">
        <w:rPr>
          <w:rFonts w:cstheme="minorHAnsi"/>
          <w:color w:val="000000" w:themeColor="text1"/>
        </w:rPr>
        <w:t xml:space="preserve">sobre </w:t>
      </w:r>
      <w:r w:rsidRPr="0051709F">
        <w:rPr>
          <w:rFonts w:cstheme="minorHAnsi"/>
          <w:color w:val="000000" w:themeColor="text1"/>
        </w:rPr>
        <w:t>Europa</w:t>
      </w:r>
      <w:r w:rsidR="00B619A0">
        <w:rPr>
          <w:rFonts w:cstheme="minorHAnsi"/>
          <w:color w:val="000000" w:themeColor="text1"/>
        </w:rPr>
        <w:t>,</w:t>
      </w:r>
      <w:r w:rsidRPr="0051709F">
        <w:rPr>
          <w:rFonts w:cstheme="minorHAnsi"/>
          <w:color w:val="000000" w:themeColor="text1"/>
        </w:rPr>
        <w:t xml:space="preserve"> incluye los siguientes mensajes clave que son especialmente relevantes para poner en contexto el alcance de </w:t>
      </w:r>
      <w:r w:rsidR="00B619A0">
        <w:rPr>
          <w:rFonts w:cstheme="minorHAnsi"/>
          <w:color w:val="000000" w:themeColor="text1"/>
        </w:rPr>
        <w:t>esta Estrategia</w:t>
      </w:r>
      <w:r w:rsidRPr="0051709F">
        <w:rPr>
          <w:rFonts w:cstheme="minorHAnsi"/>
          <w:color w:val="000000" w:themeColor="text1"/>
        </w:rPr>
        <w:t xml:space="preserve"> y el impacto esperado en la sociedad: </w:t>
      </w:r>
    </w:p>
    <w:p w14:paraId="06449448" w14:textId="77777777" w:rsidR="006B6011" w:rsidRPr="0051709F" w:rsidRDefault="006B6011" w:rsidP="006B6011">
      <w:pPr>
        <w:jc w:val="both"/>
        <w:rPr>
          <w:rFonts w:cstheme="minorHAnsi"/>
          <w:color w:val="000000" w:themeColor="text1"/>
        </w:rPr>
      </w:pPr>
    </w:p>
    <w:p w14:paraId="0FF932B9" w14:textId="38E8ABE4" w:rsidR="006B6011" w:rsidRPr="0051709F" w:rsidRDefault="006B6011" w:rsidP="00D14ACA">
      <w:pPr>
        <w:pStyle w:val="Prrafodelista"/>
        <w:numPr>
          <w:ilvl w:val="0"/>
          <w:numId w:val="5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Aumentar los niveles de actividad física puede reportar considerables beneficios sanitarios y económicos, como un aumento de la esperanza de vida, un menor número de casos de </w:t>
      </w:r>
      <w:r w:rsidR="00980DBF">
        <w:rPr>
          <w:rFonts w:asciiTheme="minorHAnsi" w:hAnsiTheme="minorHAnsi" w:cstheme="minorHAnsi"/>
          <w:color w:val="000000" w:themeColor="text1"/>
          <w:sz w:val="24"/>
          <w:szCs w:val="24"/>
          <w:lang w:val="es-ES"/>
        </w:rPr>
        <w:t>enfermedades no transmisibles</w:t>
      </w:r>
      <w:r w:rsidRPr="0051709F">
        <w:rPr>
          <w:rFonts w:asciiTheme="minorHAnsi" w:hAnsiTheme="minorHAnsi" w:cstheme="minorHAnsi"/>
          <w:color w:val="000000" w:themeColor="text1"/>
          <w:sz w:val="24"/>
          <w:szCs w:val="24"/>
          <w:lang w:val="es-ES"/>
        </w:rPr>
        <w:t xml:space="preserve"> y un menor gasto sanitario.</w:t>
      </w:r>
    </w:p>
    <w:p w14:paraId="661BAF42" w14:textId="77777777" w:rsidR="006B6011" w:rsidRPr="0051709F" w:rsidRDefault="006B6011" w:rsidP="00D14ACA">
      <w:pPr>
        <w:pStyle w:val="Prrafodelista"/>
        <w:numPr>
          <w:ilvl w:val="0"/>
          <w:numId w:val="5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A pesar de que muchos países han intensificado sus esfuerzos para promover la actividad física, sigue habiendo lagunas en la respuesta política. Por ejemplo, sólo 14 y 17 de los 27 Estados miembros de la UE cuentan con planes para fomentar los desplazamientos activos al colegio o al trabajo, respectivamente.</w:t>
      </w:r>
    </w:p>
    <w:p w14:paraId="4F1F5ED4" w14:textId="18F87B42" w:rsidR="006B6011" w:rsidRPr="0051709F" w:rsidRDefault="006B6011" w:rsidP="00D14ACA">
      <w:pPr>
        <w:pStyle w:val="Prrafodelista"/>
        <w:numPr>
          <w:ilvl w:val="0"/>
          <w:numId w:val="5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Existe una amplia gama de opciones políticas para aumentar la actividad física de la población, que mejoran </w:t>
      </w:r>
      <w:r w:rsidR="00E21050">
        <w:rPr>
          <w:rFonts w:asciiTheme="minorHAnsi" w:hAnsiTheme="minorHAnsi" w:cstheme="minorHAnsi"/>
          <w:color w:val="000000" w:themeColor="text1"/>
          <w:sz w:val="24"/>
          <w:szCs w:val="24"/>
          <w:lang w:val="es-ES"/>
        </w:rPr>
        <w:t>su</w:t>
      </w:r>
      <w:r w:rsidR="00E21050" w:rsidRPr="0051709F">
        <w:rPr>
          <w:rFonts w:asciiTheme="minorHAnsi" w:hAnsiTheme="minorHAnsi" w:cstheme="minorHAnsi"/>
          <w:color w:val="000000" w:themeColor="text1"/>
          <w:sz w:val="24"/>
          <w:szCs w:val="24"/>
          <w:lang w:val="es-ES"/>
        </w:rPr>
        <w:t xml:space="preserve"> </w:t>
      </w:r>
      <w:r w:rsidRPr="0051709F">
        <w:rPr>
          <w:rFonts w:asciiTheme="minorHAnsi" w:hAnsiTheme="minorHAnsi" w:cstheme="minorHAnsi"/>
          <w:color w:val="000000" w:themeColor="text1"/>
          <w:sz w:val="24"/>
          <w:szCs w:val="24"/>
          <w:lang w:val="es-ES"/>
        </w:rPr>
        <w:t>salud y reducen el gasto sanitario</w:t>
      </w:r>
      <w:r w:rsidR="00E21050">
        <w:rPr>
          <w:rFonts w:asciiTheme="minorHAnsi" w:hAnsiTheme="minorHAnsi" w:cstheme="minorHAnsi"/>
          <w:color w:val="000000" w:themeColor="text1"/>
          <w:sz w:val="24"/>
          <w:szCs w:val="24"/>
          <w:lang w:val="es-ES"/>
        </w:rPr>
        <w:t>.</w:t>
      </w:r>
      <w:r w:rsidRPr="0051709F">
        <w:rPr>
          <w:rFonts w:asciiTheme="minorHAnsi" w:hAnsiTheme="minorHAnsi" w:cstheme="minorHAnsi"/>
          <w:color w:val="000000" w:themeColor="text1"/>
          <w:sz w:val="24"/>
          <w:szCs w:val="24"/>
          <w:lang w:val="es-ES"/>
        </w:rPr>
        <w:t xml:space="preserve"> </w:t>
      </w:r>
      <w:r w:rsidR="00E21050">
        <w:rPr>
          <w:rFonts w:asciiTheme="minorHAnsi" w:hAnsiTheme="minorHAnsi" w:cstheme="minorHAnsi"/>
          <w:color w:val="000000" w:themeColor="text1"/>
          <w:sz w:val="24"/>
          <w:szCs w:val="24"/>
          <w:lang w:val="es-ES"/>
        </w:rPr>
        <w:t>E</w:t>
      </w:r>
      <w:r w:rsidRPr="0051709F">
        <w:rPr>
          <w:rFonts w:asciiTheme="minorHAnsi" w:hAnsiTheme="minorHAnsi" w:cstheme="minorHAnsi"/>
          <w:color w:val="000000" w:themeColor="text1"/>
          <w:sz w:val="24"/>
          <w:szCs w:val="24"/>
          <w:lang w:val="es-ES"/>
        </w:rPr>
        <w:t xml:space="preserve">ntre </w:t>
      </w:r>
      <w:r w:rsidR="00E21050">
        <w:rPr>
          <w:rFonts w:asciiTheme="minorHAnsi" w:hAnsiTheme="minorHAnsi" w:cstheme="minorHAnsi"/>
          <w:color w:val="000000" w:themeColor="text1"/>
          <w:sz w:val="24"/>
          <w:szCs w:val="24"/>
          <w:lang w:val="es-ES"/>
        </w:rPr>
        <w:t>el</w:t>
      </w:r>
      <w:r w:rsidRPr="0051709F">
        <w:rPr>
          <w:rFonts w:asciiTheme="minorHAnsi" w:hAnsiTheme="minorHAnsi" w:cstheme="minorHAnsi"/>
          <w:color w:val="000000" w:themeColor="text1"/>
          <w:sz w:val="24"/>
          <w:szCs w:val="24"/>
          <w:lang w:val="es-ES"/>
        </w:rPr>
        <w:t>las</w:t>
      </w:r>
      <w:r w:rsidR="00E21050">
        <w:rPr>
          <w:rFonts w:asciiTheme="minorHAnsi" w:hAnsiTheme="minorHAnsi" w:cstheme="minorHAnsi"/>
          <w:color w:val="000000" w:themeColor="text1"/>
          <w:sz w:val="24"/>
          <w:szCs w:val="24"/>
          <w:lang w:val="es-ES"/>
        </w:rPr>
        <w:t>, se destacan</w:t>
      </w:r>
      <w:r w:rsidRPr="0051709F">
        <w:rPr>
          <w:rFonts w:asciiTheme="minorHAnsi" w:hAnsiTheme="minorHAnsi" w:cstheme="minorHAnsi"/>
          <w:color w:val="000000" w:themeColor="text1"/>
          <w:sz w:val="24"/>
          <w:szCs w:val="24"/>
          <w:lang w:val="es-ES"/>
        </w:rPr>
        <w:t>:</w:t>
      </w:r>
    </w:p>
    <w:p w14:paraId="3504B157" w14:textId="77777777" w:rsidR="001B1885" w:rsidRPr="0051709F" w:rsidRDefault="001B1885" w:rsidP="002D470D">
      <w:pPr>
        <w:pStyle w:val="Prrafodelista"/>
        <w:numPr>
          <w:ilvl w:val="1"/>
          <w:numId w:val="16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Programas específicos para cada entorno, en escuelas, lugares de trabajo y el sistema sanitario.</w:t>
      </w:r>
    </w:p>
    <w:p w14:paraId="10141A92" w14:textId="77777777" w:rsidR="001B1885" w:rsidRPr="0051709F" w:rsidRDefault="001B1885" w:rsidP="002D470D">
      <w:pPr>
        <w:pStyle w:val="Prrafodelista"/>
        <w:numPr>
          <w:ilvl w:val="1"/>
          <w:numId w:val="16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Políticas para aumentar el acceso a las instalaciones deportivas.</w:t>
      </w:r>
    </w:p>
    <w:p w14:paraId="6E4BFCD9" w14:textId="1FA4A1D1" w:rsidR="001B1885" w:rsidRPr="0051709F" w:rsidRDefault="001B1885" w:rsidP="002D470D">
      <w:pPr>
        <w:pStyle w:val="Prrafodelista"/>
        <w:numPr>
          <w:ilvl w:val="1"/>
          <w:numId w:val="16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Políticas de diseño urbano, medioambient</w:t>
      </w:r>
      <w:r w:rsidR="00E21050">
        <w:rPr>
          <w:rFonts w:asciiTheme="minorHAnsi" w:hAnsiTheme="minorHAnsi" w:cstheme="minorHAnsi"/>
          <w:color w:val="000000" w:themeColor="text1"/>
          <w:sz w:val="24"/>
          <w:szCs w:val="24"/>
          <w:lang w:val="es-ES"/>
        </w:rPr>
        <w:t>al</w:t>
      </w:r>
      <w:r w:rsidRPr="0051709F">
        <w:rPr>
          <w:rFonts w:asciiTheme="minorHAnsi" w:hAnsiTheme="minorHAnsi" w:cstheme="minorHAnsi"/>
          <w:color w:val="000000" w:themeColor="text1"/>
          <w:sz w:val="24"/>
          <w:szCs w:val="24"/>
          <w:lang w:val="es-ES"/>
        </w:rPr>
        <w:t xml:space="preserve"> y </w:t>
      </w:r>
      <w:r w:rsidR="00E21050">
        <w:rPr>
          <w:rFonts w:asciiTheme="minorHAnsi" w:hAnsiTheme="minorHAnsi" w:cstheme="minorHAnsi"/>
          <w:color w:val="000000" w:themeColor="text1"/>
          <w:sz w:val="24"/>
          <w:szCs w:val="24"/>
          <w:lang w:val="es-ES"/>
        </w:rPr>
        <w:t xml:space="preserve">de </w:t>
      </w:r>
      <w:r w:rsidRPr="0051709F">
        <w:rPr>
          <w:rFonts w:asciiTheme="minorHAnsi" w:hAnsiTheme="minorHAnsi" w:cstheme="minorHAnsi"/>
          <w:color w:val="000000" w:themeColor="text1"/>
          <w:sz w:val="24"/>
          <w:szCs w:val="24"/>
          <w:lang w:val="es-ES"/>
        </w:rPr>
        <w:t>transporte.</w:t>
      </w:r>
    </w:p>
    <w:p w14:paraId="4486BDD4" w14:textId="73894D28" w:rsidR="006B6011" w:rsidRPr="0051709F" w:rsidRDefault="00E21050" w:rsidP="002D470D">
      <w:pPr>
        <w:pStyle w:val="Prrafodelista"/>
        <w:numPr>
          <w:ilvl w:val="1"/>
          <w:numId w:val="164"/>
        </w:numPr>
        <w:jc w:val="both"/>
        <w:rPr>
          <w:rFonts w:asciiTheme="minorHAnsi" w:hAnsiTheme="minorHAnsi" w:cstheme="minorHAnsi"/>
          <w:color w:val="000000" w:themeColor="text1"/>
          <w:sz w:val="24"/>
          <w:szCs w:val="24"/>
          <w:lang w:val="es-ES"/>
        </w:rPr>
      </w:pPr>
      <w:r>
        <w:rPr>
          <w:rFonts w:asciiTheme="minorHAnsi" w:hAnsiTheme="minorHAnsi" w:cstheme="minorHAnsi"/>
          <w:color w:val="000000" w:themeColor="text1"/>
          <w:sz w:val="24"/>
          <w:szCs w:val="24"/>
          <w:lang w:val="es-ES"/>
        </w:rPr>
        <w:t xml:space="preserve">Y </w:t>
      </w:r>
      <w:r w:rsidR="001B1885" w:rsidRPr="0051709F">
        <w:rPr>
          <w:rFonts w:asciiTheme="minorHAnsi" w:hAnsiTheme="minorHAnsi" w:cstheme="minorHAnsi"/>
          <w:color w:val="000000" w:themeColor="text1"/>
          <w:sz w:val="24"/>
          <w:szCs w:val="24"/>
          <w:lang w:val="es-ES"/>
        </w:rPr>
        <w:t>Políticas de comunicación e información.</w:t>
      </w:r>
    </w:p>
    <w:p w14:paraId="002D4726" w14:textId="77777777" w:rsidR="006B6011" w:rsidRPr="0051709F" w:rsidRDefault="006B6011" w:rsidP="00D14ACA">
      <w:pPr>
        <w:pStyle w:val="Prrafodelista"/>
        <w:numPr>
          <w:ilvl w:val="0"/>
          <w:numId w:val="5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Dado que la actividad física es un comportamiento complejo, se necesita un paquete integral de políticas que se dirijan a todos sus impulsores al mismo tiempo, con financiación y evaluación suficientes y sostenidas.</w:t>
      </w:r>
    </w:p>
    <w:p w14:paraId="640F1F6B" w14:textId="09E081F5" w:rsidR="006B6011" w:rsidRPr="0051709F" w:rsidRDefault="006B6011" w:rsidP="00D14ACA">
      <w:pPr>
        <w:pStyle w:val="Prrafodelista"/>
        <w:numPr>
          <w:ilvl w:val="0"/>
          <w:numId w:val="54"/>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Un paquete de políticas dirigido a aumentar la actividad física, aplicado en 36 países, ahorraría alrededor de 14.000 millones de euros en costes sanitarios para 2050 y devolvería 1,7 euros por cada euro invertido (</w:t>
      </w:r>
      <w:r w:rsidR="006A52F5" w:rsidRPr="0051709F">
        <w:rPr>
          <w:rFonts w:asciiTheme="minorHAnsi" w:hAnsiTheme="minorHAnsi" w:cstheme="minorHAnsi"/>
          <w:color w:val="000000" w:themeColor="text1"/>
          <w:sz w:val="24"/>
          <w:szCs w:val="24"/>
          <w:lang w:val="es-ES"/>
        </w:rPr>
        <w:t xml:space="preserve">OECD </w:t>
      </w:r>
      <w:r w:rsidRPr="0051709F">
        <w:rPr>
          <w:rFonts w:asciiTheme="minorHAnsi" w:hAnsiTheme="minorHAnsi" w:cstheme="minorHAnsi"/>
          <w:color w:val="000000" w:themeColor="text1"/>
          <w:sz w:val="24"/>
          <w:szCs w:val="24"/>
          <w:lang w:val="es-ES"/>
        </w:rPr>
        <w:t>-</w:t>
      </w:r>
      <w:r w:rsidR="006A52F5" w:rsidRPr="0051709F">
        <w:rPr>
          <w:rFonts w:asciiTheme="minorHAnsi" w:hAnsiTheme="minorHAnsi" w:cstheme="minorHAnsi"/>
          <w:color w:val="000000" w:themeColor="text1"/>
          <w:sz w:val="24"/>
          <w:szCs w:val="24"/>
          <w:lang w:val="es-ES"/>
        </w:rPr>
        <w:t>WHO</w:t>
      </w:r>
      <w:r w:rsidRPr="0051709F">
        <w:rPr>
          <w:rFonts w:asciiTheme="minorHAnsi" w:hAnsiTheme="minorHAnsi" w:cstheme="minorHAnsi"/>
          <w:color w:val="000000" w:themeColor="text1"/>
          <w:sz w:val="24"/>
          <w:szCs w:val="24"/>
          <w:lang w:val="es-ES"/>
        </w:rPr>
        <w:t xml:space="preserve"> Europa, 2023).</w:t>
      </w:r>
    </w:p>
    <w:p w14:paraId="333548EE" w14:textId="77777777" w:rsidR="006B6011" w:rsidRPr="0051709F" w:rsidRDefault="006B6011" w:rsidP="006B6011">
      <w:pPr>
        <w:jc w:val="both"/>
        <w:rPr>
          <w:rFonts w:cstheme="minorHAnsi"/>
          <w:color w:val="000000" w:themeColor="text1"/>
        </w:rPr>
      </w:pPr>
    </w:p>
    <w:p w14:paraId="1E3B9A65" w14:textId="0F937F67" w:rsidR="006B6011" w:rsidRPr="0051709F" w:rsidRDefault="006B6011" w:rsidP="006B6011">
      <w:pPr>
        <w:jc w:val="both"/>
        <w:rPr>
          <w:rFonts w:cstheme="minorHAnsi"/>
        </w:rPr>
      </w:pPr>
      <w:r w:rsidRPr="0051709F">
        <w:rPr>
          <w:rFonts w:cstheme="minorHAnsi"/>
        </w:rPr>
        <w:t>A pesar de los beneficios sustanciales y de</w:t>
      </w:r>
      <w:r w:rsidR="00E21050">
        <w:rPr>
          <w:rFonts w:cstheme="minorHAnsi"/>
        </w:rPr>
        <w:t>l</w:t>
      </w:r>
      <w:r w:rsidRPr="0051709F">
        <w:rPr>
          <w:rFonts w:cstheme="minorHAnsi"/>
        </w:rPr>
        <w:t xml:space="preserve"> amplio alcance de la actividad física, 1 de cada 4 adultos y 4 de cada 5 adolescentes a nivel mundial son insuficientemente activos. </w:t>
      </w:r>
      <w:r w:rsidRPr="0051709F">
        <w:rPr>
          <w:rFonts w:cstheme="minorHAnsi"/>
        </w:rPr>
        <w:lastRenderedPageBreak/>
        <w:t xml:space="preserve">Además, existen desigualdades en la participación por geografía, sexo y </w:t>
      </w:r>
      <w:r w:rsidR="00E21050">
        <w:rPr>
          <w:rFonts w:cstheme="minorHAnsi"/>
        </w:rPr>
        <w:t>estrato</w:t>
      </w:r>
      <w:r w:rsidR="00E21050" w:rsidRPr="0051709F">
        <w:rPr>
          <w:rFonts w:cstheme="minorHAnsi"/>
        </w:rPr>
        <w:t xml:space="preserve"> </w:t>
      </w:r>
      <w:r w:rsidRPr="0051709F">
        <w:rPr>
          <w:rFonts w:cstheme="minorHAnsi"/>
        </w:rPr>
        <w:t xml:space="preserve">social. Si bien muchos países han desarrollado políticas para abordar la inactividad física, la prevalencia mundial se ha mantenido relativamente estática en los últimos 20 años, lo que enfatiza la necesidad de una mayor inversión y acción </w:t>
      </w:r>
      <w:r w:rsidR="00E21050">
        <w:rPr>
          <w:rFonts w:cstheme="minorHAnsi"/>
        </w:rPr>
        <w:t>en este sentido</w:t>
      </w:r>
      <w:r w:rsidRPr="0051709F">
        <w:rPr>
          <w:rFonts w:cstheme="minorHAnsi"/>
        </w:rPr>
        <w:t>.</w:t>
      </w:r>
    </w:p>
    <w:p w14:paraId="6F9ED68D" w14:textId="77777777" w:rsidR="006B6011" w:rsidRPr="0051709F" w:rsidRDefault="006B6011" w:rsidP="006B6011">
      <w:pPr>
        <w:jc w:val="both"/>
        <w:rPr>
          <w:rFonts w:cstheme="minorHAnsi"/>
          <w:color w:val="000000" w:themeColor="text1"/>
        </w:rPr>
      </w:pPr>
    </w:p>
    <w:p w14:paraId="3B99D277" w14:textId="66DA4204" w:rsidR="006B6011" w:rsidRPr="0051709F" w:rsidRDefault="006B6011" w:rsidP="006B6011">
      <w:pPr>
        <w:jc w:val="both"/>
        <w:rPr>
          <w:rFonts w:cstheme="minorHAnsi"/>
          <w:color w:val="000000" w:themeColor="text1"/>
        </w:rPr>
      </w:pPr>
      <w:r w:rsidRPr="0051709F">
        <w:rPr>
          <w:rFonts w:cstheme="minorHAnsi"/>
          <w:color w:val="000000" w:themeColor="text1"/>
        </w:rPr>
        <w:t xml:space="preserve">En 2018, la </w:t>
      </w:r>
      <w:r w:rsidR="006D4843" w:rsidRPr="006D4843">
        <w:rPr>
          <w:rFonts w:cstheme="minorHAnsi"/>
          <w:iCs/>
          <w:color w:val="000000" w:themeColor="text1"/>
        </w:rPr>
        <w:t>Organización Mundial de la Salud</w:t>
      </w:r>
      <w:r w:rsidR="006D4843" w:rsidRPr="0051709F">
        <w:rPr>
          <w:rFonts w:cstheme="minorHAnsi"/>
          <w:i/>
          <w:iCs/>
          <w:color w:val="000000" w:themeColor="text1"/>
        </w:rPr>
        <w:t xml:space="preserve"> </w:t>
      </w:r>
      <w:r w:rsidRPr="0051709F">
        <w:rPr>
          <w:rFonts w:cstheme="minorHAnsi"/>
          <w:color w:val="000000" w:themeColor="text1"/>
        </w:rPr>
        <w:t xml:space="preserve">publicó el </w:t>
      </w:r>
      <w:r w:rsidRPr="0051709F">
        <w:rPr>
          <w:rFonts w:cstheme="minorHAnsi"/>
          <w:b/>
          <w:bCs/>
          <w:i/>
          <w:iCs/>
          <w:color w:val="000000" w:themeColor="text1"/>
        </w:rPr>
        <w:t>Plan de Acción Mundial sobre la Actividad Física 2018-2030</w:t>
      </w:r>
      <w:r w:rsidR="00E21050">
        <w:rPr>
          <w:rFonts w:cstheme="minorHAnsi"/>
          <w:b/>
          <w:bCs/>
          <w:i/>
          <w:iCs/>
          <w:color w:val="000000" w:themeColor="text1"/>
        </w:rPr>
        <w:t xml:space="preserve"> </w:t>
      </w:r>
      <w:r w:rsidR="00E21050">
        <w:rPr>
          <w:rFonts w:cstheme="minorHAnsi"/>
          <w:color w:val="000000" w:themeColor="text1"/>
        </w:rPr>
        <w:t>(GAPPA por sus siglas en inglés)</w:t>
      </w:r>
      <w:r w:rsidRPr="0051709F">
        <w:rPr>
          <w:rFonts w:cstheme="minorHAnsi"/>
          <w:color w:val="000000" w:themeColor="text1"/>
        </w:rPr>
        <w:t xml:space="preserve">. Este documento estableció un objetivo mundial de reducción del 15% de la inactividad física para 2030. Este plan de acción mundial esboza una amplia gama de acciones en múltiples sectores y entornos, incluidas las escuelas, la atención médica, el transporte, la planificación urbana, la educación pública, el deporte, las comunidades y los lugares de trabajo. Sin embargo, se necesitarán esfuerzos de promoción para involucrar a cada uno de estos sectores y entornos y fomentar la aplicación de las acciones descritas en el plan. El GAPPA de la </w:t>
      </w:r>
      <w:r w:rsidR="006D4843" w:rsidRPr="006D4843">
        <w:rPr>
          <w:rFonts w:cstheme="minorHAnsi"/>
          <w:color w:val="000000" w:themeColor="text1"/>
        </w:rPr>
        <w:t xml:space="preserve">Organización Mundial de la Salud </w:t>
      </w:r>
      <w:r w:rsidRPr="0051709F">
        <w:rPr>
          <w:rFonts w:cstheme="minorHAnsi"/>
          <w:color w:val="000000" w:themeColor="text1"/>
        </w:rPr>
        <w:t>respondió a las peticiones de los países de contar con orientaciones actualizadas y un marco de medidas políticas eficaces y viables para aumentar la actividad física a todos los niveles. También respondía a las peticiones de liderazgo mundial y de una mayor coordinación regional y nacional, así como a la necesidad de una respuesta de toda la sociedad para lograr un cambio de paradigma que apoye y valore la actividad física regular de todas las personas, en función de sus capacidades y a lo largo de toda la vida.</w:t>
      </w:r>
    </w:p>
    <w:p w14:paraId="172BE0CC" w14:textId="77777777" w:rsidR="006B6011" w:rsidRPr="0051709F" w:rsidRDefault="006B6011" w:rsidP="006B6011">
      <w:pPr>
        <w:jc w:val="both"/>
        <w:rPr>
          <w:rFonts w:cstheme="minorHAnsi"/>
          <w:color w:val="000000" w:themeColor="text1"/>
        </w:rPr>
      </w:pPr>
    </w:p>
    <w:p w14:paraId="095BA31E" w14:textId="05B12994" w:rsidR="006B6011" w:rsidRPr="0051709F" w:rsidRDefault="006B6011" w:rsidP="006B6011">
      <w:pPr>
        <w:jc w:val="both"/>
        <w:rPr>
          <w:rFonts w:cstheme="minorHAnsi"/>
          <w:color w:val="000000" w:themeColor="text1"/>
        </w:rPr>
      </w:pPr>
      <w:r w:rsidRPr="0051709F">
        <w:rPr>
          <w:rFonts w:cstheme="minorHAnsi"/>
          <w:color w:val="000000" w:themeColor="text1"/>
        </w:rPr>
        <w:t>En el capítulo 2 del GAPPA</w:t>
      </w:r>
      <w:r w:rsidR="005817FC">
        <w:rPr>
          <w:rFonts w:cstheme="minorHAnsi"/>
          <w:color w:val="000000" w:themeColor="text1"/>
        </w:rPr>
        <w:t>,</w:t>
      </w:r>
      <w:r w:rsidRPr="0051709F">
        <w:rPr>
          <w:rFonts w:cstheme="minorHAnsi"/>
          <w:color w:val="000000" w:themeColor="text1"/>
        </w:rPr>
        <w:t xml:space="preserve"> se reconoce que el deporte contribuye de forma infrautilizada, aunque importante, a la actividad física de personas de todas las edades, además de aportar importantes beneficios sociales, culturales y económicos a las comunidades y </w:t>
      </w:r>
      <w:r w:rsidRPr="00963270">
        <w:rPr>
          <w:rFonts w:cstheme="minorHAnsi"/>
          <w:color w:val="000000" w:themeColor="text1"/>
        </w:rPr>
        <w:t>naciones (</w:t>
      </w:r>
      <w:r w:rsidR="00963270" w:rsidRPr="00963270">
        <w:rPr>
          <w:rFonts w:cstheme="minorHAnsi"/>
          <w:color w:val="000000" w:themeColor="text1"/>
        </w:rPr>
        <w:t>Lindsey &amp;</w:t>
      </w:r>
      <w:r w:rsidRPr="00963270">
        <w:rPr>
          <w:rFonts w:cstheme="minorHAnsi"/>
          <w:color w:val="000000" w:themeColor="text1"/>
        </w:rPr>
        <w:t xml:space="preserve"> Chapman, 2017; </w:t>
      </w:r>
      <w:r w:rsidR="00963270" w:rsidRPr="00963270">
        <w:rPr>
          <w:rFonts w:cstheme="minorHAnsi"/>
          <w:color w:val="000000" w:themeColor="text1"/>
        </w:rPr>
        <w:t>Comité Olímpico Internacional</w:t>
      </w:r>
      <w:r w:rsidRPr="00963270">
        <w:rPr>
          <w:rFonts w:cstheme="minorHAnsi"/>
          <w:color w:val="000000" w:themeColor="text1"/>
        </w:rPr>
        <w:t>, 2020). Mientras que el deporte puede ser un catalizador y una inspiración para la participación en la actividad física (Khan et al., 2012), el sector del deporte es también un importante empleador y un motor clave del turismo y la</w:t>
      </w:r>
      <w:r w:rsidR="005817FC">
        <w:rPr>
          <w:rFonts w:cstheme="minorHAnsi"/>
          <w:color w:val="000000" w:themeColor="text1"/>
        </w:rPr>
        <w:t>s</w:t>
      </w:r>
      <w:r w:rsidRPr="00963270">
        <w:rPr>
          <w:rFonts w:cstheme="minorHAnsi"/>
          <w:color w:val="000000" w:themeColor="text1"/>
        </w:rPr>
        <w:t xml:space="preserve"> infraestructura</w:t>
      </w:r>
      <w:r w:rsidR="005817FC">
        <w:rPr>
          <w:rFonts w:cstheme="minorHAnsi"/>
          <w:color w:val="000000" w:themeColor="text1"/>
        </w:rPr>
        <w:t>s</w:t>
      </w:r>
      <w:r w:rsidRPr="00963270">
        <w:rPr>
          <w:rFonts w:cstheme="minorHAnsi"/>
          <w:color w:val="000000" w:themeColor="text1"/>
        </w:rPr>
        <w:t xml:space="preserve"> a nivel mundial. El deporte y la recreación activa también pueden</w:t>
      </w:r>
      <w:r w:rsidRPr="0051709F">
        <w:rPr>
          <w:rFonts w:cstheme="minorHAnsi"/>
          <w:color w:val="000000" w:themeColor="text1"/>
        </w:rPr>
        <w:t xml:space="preserve"> contribuir en situaciones de emergencia y crisis como parte de programas humanitarios dirigidos a las necesidades sanitarias y sociales, así como al desarrollo y la integración de la</w:t>
      </w:r>
      <w:r w:rsidR="005817FC">
        <w:rPr>
          <w:rFonts w:cstheme="minorHAnsi"/>
          <w:color w:val="000000" w:themeColor="text1"/>
        </w:rPr>
        <w:t>s</w:t>
      </w:r>
      <w:r w:rsidRPr="0051709F">
        <w:rPr>
          <w:rFonts w:cstheme="minorHAnsi"/>
          <w:color w:val="000000" w:themeColor="text1"/>
        </w:rPr>
        <w:t xml:space="preserve"> comunidad</w:t>
      </w:r>
      <w:r w:rsidR="005817FC">
        <w:rPr>
          <w:rFonts w:cstheme="minorHAnsi"/>
          <w:color w:val="000000" w:themeColor="text1"/>
        </w:rPr>
        <w:t>es</w:t>
      </w:r>
      <w:r w:rsidRPr="0051709F">
        <w:rPr>
          <w:rFonts w:cstheme="minorHAnsi"/>
          <w:color w:val="000000" w:themeColor="text1"/>
        </w:rPr>
        <w:t xml:space="preserve">. </w:t>
      </w:r>
    </w:p>
    <w:p w14:paraId="1B8D616F" w14:textId="77777777" w:rsidR="006B6011" w:rsidRPr="0051709F" w:rsidRDefault="006B6011" w:rsidP="006B6011">
      <w:pPr>
        <w:jc w:val="both"/>
        <w:rPr>
          <w:rFonts w:cstheme="minorHAnsi"/>
          <w:color w:val="000000" w:themeColor="text1"/>
        </w:rPr>
      </w:pPr>
    </w:p>
    <w:p w14:paraId="19DFA742" w14:textId="0A0FB051" w:rsidR="006B6011" w:rsidRPr="0051709F" w:rsidRDefault="006B6011" w:rsidP="006B6011">
      <w:pPr>
        <w:jc w:val="both"/>
        <w:rPr>
          <w:rFonts w:cstheme="minorHAnsi"/>
          <w:color w:val="000000" w:themeColor="text1"/>
        </w:rPr>
      </w:pPr>
      <w:r w:rsidRPr="0051709F">
        <w:rPr>
          <w:rFonts w:cstheme="minorHAnsi"/>
          <w:color w:val="000000" w:themeColor="text1"/>
        </w:rPr>
        <w:t xml:space="preserve">Reforzar el acceso y la promoción </w:t>
      </w:r>
      <w:r w:rsidR="005817FC">
        <w:rPr>
          <w:rFonts w:cstheme="minorHAnsi"/>
          <w:color w:val="000000" w:themeColor="text1"/>
        </w:rPr>
        <w:t>d</w:t>
      </w:r>
      <w:r w:rsidRPr="0051709F">
        <w:rPr>
          <w:rFonts w:cstheme="minorHAnsi"/>
          <w:color w:val="000000" w:themeColor="text1"/>
        </w:rPr>
        <w:t xml:space="preserve">el deporte y el ocio activo, en todas las edades y capacidades, es un elemento importante para aumentar los niveles de actividad física de la población </w:t>
      </w:r>
      <w:r w:rsidR="00963270">
        <w:rPr>
          <w:rFonts w:cstheme="minorHAnsi"/>
          <w:color w:val="000000" w:themeColor="text1"/>
        </w:rPr>
        <w:t>Milton et al. (</w:t>
      </w:r>
      <w:r w:rsidR="00EB1F42" w:rsidRPr="0051709F">
        <w:rPr>
          <w:rFonts w:cstheme="minorHAnsi"/>
          <w:color w:val="000000" w:themeColor="text1"/>
        </w:rPr>
        <w:t>2020</w:t>
      </w:r>
      <w:r w:rsidRPr="0051709F">
        <w:rPr>
          <w:rFonts w:cstheme="minorHAnsi"/>
          <w:color w:val="000000" w:themeColor="text1"/>
        </w:rPr>
        <w:t>).</w:t>
      </w:r>
      <w:r w:rsidR="005817FC">
        <w:rPr>
          <w:rFonts w:cstheme="minorHAnsi"/>
          <w:color w:val="000000" w:themeColor="text1"/>
        </w:rPr>
        <w:t xml:space="preserve"> U</w:t>
      </w:r>
      <w:r w:rsidR="005817FC" w:rsidRPr="005817FC">
        <w:rPr>
          <w:rFonts w:cstheme="minorHAnsi"/>
          <w:color w:val="000000" w:themeColor="text1"/>
        </w:rPr>
        <w:t>n buen ejemplo son las ocho inversiones que funcionan para la actividad física de la Sociedad Internacional para la Actividad Física y la Salud</w:t>
      </w:r>
      <w:r w:rsidR="005817FC">
        <w:rPr>
          <w:rFonts w:cstheme="minorHAnsi"/>
          <w:color w:val="000000" w:themeColor="text1"/>
        </w:rPr>
        <w:t xml:space="preserve"> 2021</w:t>
      </w:r>
      <w:r w:rsidR="005817FC" w:rsidRPr="005817FC">
        <w:rPr>
          <w:rFonts w:cstheme="minorHAnsi"/>
          <w:color w:val="000000" w:themeColor="text1"/>
        </w:rPr>
        <w:t xml:space="preserve"> (ISPAH por sus siglas en inglés)</w:t>
      </w:r>
      <w:r w:rsidR="005817FC">
        <w:rPr>
          <w:rFonts w:cstheme="minorHAnsi"/>
          <w:color w:val="000000" w:themeColor="text1"/>
        </w:rPr>
        <w:t>.</w:t>
      </w:r>
    </w:p>
    <w:p w14:paraId="342050D7" w14:textId="77777777" w:rsidR="006B6011" w:rsidRPr="0051709F" w:rsidRDefault="006B6011" w:rsidP="006B6011">
      <w:pPr>
        <w:jc w:val="both"/>
        <w:rPr>
          <w:rFonts w:cstheme="minorHAnsi"/>
          <w:color w:val="000000" w:themeColor="text1"/>
        </w:rPr>
      </w:pPr>
    </w:p>
    <w:p w14:paraId="56CA14FB" w14:textId="4B739F70" w:rsidR="006B6011" w:rsidRPr="0051709F" w:rsidRDefault="006B6011" w:rsidP="006B6011">
      <w:pPr>
        <w:jc w:val="both"/>
        <w:rPr>
          <w:rFonts w:cstheme="minorHAnsi"/>
          <w:color w:val="000000" w:themeColor="text1"/>
        </w:rPr>
      </w:pPr>
      <w:r w:rsidRPr="00963270">
        <w:rPr>
          <w:rFonts w:cstheme="minorHAnsi"/>
          <w:color w:val="000000" w:themeColor="text1"/>
        </w:rPr>
        <w:t xml:space="preserve">Las </w:t>
      </w:r>
      <w:r w:rsidRPr="00963270">
        <w:rPr>
          <w:rFonts w:cstheme="minorHAnsi"/>
          <w:b/>
          <w:bCs/>
          <w:color w:val="000000" w:themeColor="text1"/>
        </w:rPr>
        <w:t xml:space="preserve">Directrices de la </w:t>
      </w:r>
      <w:r w:rsidR="006D4843">
        <w:rPr>
          <w:rFonts w:cstheme="minorHAnsi"/>
          <w:b/>
          <w:bCs/>
          <w:color w:val="000000" w:themeColor="text1"/>
        </w:rPr>
        <w:t>Organización Mundial de la Salud</w:t>
      </w:r>
      <w:r w:rsidRPr="00963270">
        <w:rPr>
          <w:rFonts w:cstheme="minorHAnsi"/>
          <w:b/>
          <w:bCs/>
          <w:color w:val="000000" w:themeColor="text1"/>
        </w:rPr>
        <w:t xml:space="preserve"> sobre la Actividad Física y el Sedentarismo</w:t>
      </w:r>
      <w:r w:rsidRPr="00963270">
        <w:rPr>
          <w:rFonts w:cstheme="minorHAnsi"/>
          <w:color w:val="000000" w:themeColor="text1"/>
        </w:rPr>
        <w:t xml:space="preserve"> (2020) y el </w:t>
      </w:r>
      <w:r w:rsidRPr="00963270">
        <w:rPr>
          <w:rFonts w:cstheme="minorHAnsi"/>
          <w:b/>
          <w:bCs/>
          <w:color w:val="000000" w:themeColor="text1"/>
        </w:rPr>
        <w:t>Plan de Acción Mundial sobre la Actividad Física 2018-2030</w:t>
      </w:r>
      <w:r w:rsidRPr="00963270">
        <w:rPr>
          <w:rFonts w:cstheme="minorHAnsi"/>
          <w:color w:val="000000" w:themeColor="text1"/>
        </w:rPr>
        <w:t xml:space="preserve"> (2018) son documentos</w:t>
      </w:r>
      <w:r w:rsidRPr="0051709F">
        <w:rPr>
          <w:rFonts w:cstheme="minorHAnsi"/>
          <w:color w:val="000000" w:themeColor="text1"/>
        </w:rPr>
        <w:t xml:space="preserve"> de referencia que resumen la evidencia y establecen la dirección mundial para aumentar los niveles de actividad física de la población. Sin embargo, </w:t>
      </w:r>
      <w:r w:rsidRPr="0051709F">
        <w:rPr>
          <w:rFonts w:cstheme="minorHAnsi"/>
          <w:i/>
          <w:iCs/>
          <w:color w:val="000000" w:themeColor="text1"/>
        </w:rPr>
        <w:t>ninguno de los dos documentos se creó específicamente como una herramienta de promoción para aumentar el compromiso con la agenda de actividad física o fomentar una mayor inversión y acción</w:t>
      </w:r>
      <w:r w:rsidRPr="0051709F">
        <w:rPr>
          <w:rFonts w:cstheme="minorHAnsi"/>
          <w:color w:val="000000" w:themeColor="text1"/>
        </w:rPr>
        <w:t>.</w:t>
      </w:r>
    </w:p>
    <w:p w14:paraId="2193C8F6" w14:textId="77777777" w:rsidR="006B6011" w:rsidRPr="0051709F" w:rsidRDefault="006B6011" w:rsidP="006B6011">
      <w:pPr>
        <w:jc w:val="both"/>
        <w:rPr>
          <w:rFonts w:cstheme="minorHAnsi"/>
          <w:color w:val="000000" w:themeColor="text1"/>
        </w:rPr>
      </w:pPr>
    </w:p>
    <w:p w14:paraId="3D914ECC" w14:textId="6C743205" w:rsidR="006B6011" w:rsidRPr="0051709F" w:rsidRDefault="006B6011" w:rsidP="006B6011">
      <w:pPr>
        <w:jc w:val="both"/>
        <w:rPr>
          <w:rFonts w:cstheme="minorHAnsi"/>
          <w:color w:val="000000" w:themeColor="text1"/>
        </w:rPr>
      </w:pPr>
      <w:r w:rsidRPr="0051709F">
        <w:rPr>
          <w:rFonts w:cstheme="minorHAnsi"/>
          <w:color w:val="000000" w:themeColor="text1"/>
        </w:rPr>
        <w:lastRenderedPageBreak/>
        <w:t xml:space="preserve">Como herramienta para </w:t>
      </w:r>
      <w:r w:rsidRPr="00963270">
        <w:rPr>
          <w:rFonts w:cstheme="minorHAnsi"/>
          <w:color w:val="000000" w:themeColor="text1"/>
        </w:rPr>
        <w:t xml:space="preserve">alinear la política internacional y nacional en los campos de la educación física, la actividad física y el deporte </w:t>
      </w:r>
      <w:r w:rsidR="00E15FD6">
        <w:rPr>
          <w:rFonts w:cstheme="minorHAnsi"/>
          <w:color w:val="000000" w:themeColor="text1"/>
        </w:rPr>
        <w:t>en relación también con</w:t>
      </w:r>
      <w:r w:rsidR="00E15FD6" w:rsidRPr="00963270">
        <w:rPr>
          <w:rFonts w:cstheme="minorHAnsi"/>
          <w:color w:val="000000" w:themeColor="text1"/>
        </w:rPr>
        <w:t xml:space="preserve"> </w:t>
      </w:r>
      <w:r w:rsidRPr="00963270">
        <w:rPr>
          <w:rFonts w:cstheme="minorHAnsi"/>
          <w:color w:val="000000" w:themeColor="text1"/>
        </w:rPr>
        <w:t xml:space="preserve">la Agenda 2030 de las Naciones Unidas, </w:t>
      </w:r>
      <w:r w:rsidR="00E15FD6">
        <w:rPr>
          <w:rFonts w:cstheme="minorHAnsi"/>
          <w:color w:val="000000" w:themeColor="text1"/>
        </w:rPr>
        <w:t xml:space="preserve">se destaca </w:t>
      </w:r>
      <w:r w:rsidRPr="00963270">
        <w:rPr>
          <w:rFonts w:cstheme="minorHAnsi"/>
          <w:color w:val="000000" w:themeColor="text1"/>
        </w:rPr>
        <w:t xml:space="preserve">el </w:t>
      </w:r>
      <w:r w:rsidRPr="00963270">
        <w:rPr>
          <w:rFonts w:cstheme="minorHAnsi"/>
          <w:b/>
          <w:bCs/>
          <w:color w:val="000000" w:themeColor="text1"/>
        </w:rPr>
        <w:t xml:space="preserve">Plan de Acción de Kazán, KAP </w:t>
      </w:r>
      <w:r w:rsidRPr="00963270">
        <w:rPr>
          <w:rFonts w:cstheme="minorHAnsi"/>
          <w:color w:val="000000" w:themeColor="text1"/>
        </w:rPr>
        <w:t>(UNESCO, 2017)</w:t>
      </w:r>
      <w:r w:rsidR="00E15FD6">
        <w:rPr>
          <w:rFonts w:cstheme="minorHAnsi"/>
          <w:color w:val="000000" w:themeColor="text1"/>
        </w:rPr>
        <w:t>. Un plan que</w:t>
      </w:r>
      <w:r w:rsidRPr="00963270">
        <w:rPr>
          <w:rFonts w:cstheme="minorHAnsi"/>
          <w:color w:val="000000" w:themeColor="text1"/>
        </w:rPr>
        <w:t xml:space="preserve"> aborda</w:t>
      </w:r>
      <w:r w:rsidRPr="0051709F">
        <w:rPr>
          <w:rFonts w:cstheme="minorHAnsi"/>
          <w:color w:val="000000" w:themeColor="text1"/>
        </w:rPr>
        <w:t xml:space="preserve"> las necesidades y los objetivos identificados en el Plan de Acción de la O</w:t>
      </w:r>
      <w:r w:rsidR="00980DBF">
        <w:rPr>
          <w:rFonts w:cstheme="minorHAnsi"/>
          <w:color w:val="000000" w:themeColor="text1"/>
        </w:rPr>
        <w:t xml:space="preserve">rganización de las </w:t>
      </w:r>
      <w:r w:rsidRPr="0051709F">
        <w:rPr>
          <w:rFonts w:cstheme="minorHAnsi"/>
          <w:color w:val="000000" w:themeColor="text1"/>
        </w:rPr>
        <w:t>N</w:t>
      </w:r>
      <w:r w:rsidR="00980DBF">
        <w:rPr>
          <w:rFonts w:cstheme="minorHAnsi"/>
          <w:color w:val="000000" w:themeColor="text1"/>
        </w:rPr>
        <w:t xml:space="preserve">aciones </w:t>
      </w:r>
      <w:r w:rsidRPr="0051709F">
        <w:rPr>
          <w:rFonts w:cstheme="minorHAnsi"/>
          <w:color w:val="000000" w:themeColor="text1"/>
        </w:rPr>
        <w:t>U</w:t>
      </w:r>
      <w:r w:rsidR="00980DBF">
        <w:rPr>
          <w:rFonts w:cstheme="minorHAnsi"/>
          <w:color w:val="000000" w:themeColor="text1"/>
        </w:rPr>
        <w:t>nidas</w:t>
      </w:r>
      <w:r w:rsidRPr="0051709F">
        <w:rPr>
          <w:rFonts w:cstheme="minorHAnsi"/>
          <w:color w:val="000000" w:themeColor="text1"/>
        </w:rPr>
        <w:t xml:space="preserve"> sobre </w:t>
      </w:r>
      <w:r w:rsidR="00980DBF">
        <w:rPr>
          <w:rFonts w:cstheme="minorHAnsi"/>
          <w:color w:val="000000" w:themeColor="text1"/>
        </w:rPr>
        <w:t xml:space="preserve">los </w:t>
      </w:r>
      <w:r w:rsidR="00980DBF" w:rsidRPr="00980DBF">
        <w:rPr>
          <w:rFonts w:cstheme="minorHAnsi"/>
          <w:color w:val="000000" w:themeColor="text1"/>
        </w:rPr>
        <w:t>Objetivos de Desarrollo Sostenible</w:t>
      </w:r>
      <w:r w:rsidRPr="0051709F">
        <w:rPr>
          <w:rFonts w:cstheme="minorHAnsi"/>
          <w:color w:val="000000" w:themeColor="text1"/>
        </w:rPr>
        <w:t xml:space="preserve">, </w:t>
      </w:r>
      <w:r w:rsidR="00E15FD6">
        <w:rPr>
          <w:rFonts w:cstheme="minorHAnsi"/>
          <w:color w:val="000000" w:themeColor="text1"/>
        </w:rPr>
        <w:t>apoyando</w:t>
      </w:r>
      <w:r w:rsidRPr="0051709F">
        <w:rPr>
          <w:rFonts w:cstheme="minorHAnsi"/>
          <w:color w:val="000000" w:themeColor="text1"/>
        </w:rPr>
        <w:t xml:space="preserve"> el reconocimiento del valor del deporte y la actividad física para nuestra sociedad</w:t>
      </w:r>
      <w:r w:rsidRPr="0051709F">
        <w:rPr>
          <w:rStyle w:val="Refdenotaalpie"/>
          <w:rFonts w:cstheme="minorHAnsi"/>
          <w:color w:val="000000" w:themeColor="text1"/>
        </w:rPr>
        <w:footnoteReference w:id="1"/>
      </w:r>
      <w:r w:rsidRPr="0051709F">
        <w:rPr>
          <w:rFonts w:cstheme="minorHAnsi"/>
          <w:color w:val="000000" w:themeColor="text1"/>
        </w:rPr>
        <w:t xml:space="preserve">. </w:t>
      </w:r>
    </w:p>
    <w:p w14:paraId="0A88C240" w14:textId="77777777" w:rsidR="006B6011" w:rsidRPr="0051709F" w:rsidRDefault="006B6011" w:rsidP="006B6011">
      <w:pPr>
        <w:jc w:val="both"/>
        <w:rPr>
          <w:rFonts w:cstheme="minorHAnsi"/>
          <w:color w:val="000000" w:themeColor="text1"/>
        </w:rPr>
      </w:pPr>
    </w:p>
    <w:p w14:paraId="3B90D86F" w14:textId="1354A714" w:rsidR="006B6011" w:rsidRPr="0051709F" w:rsidRDefault="006B6011" w:rsidP="006B6011">
      <w:pPr>
        <w:jc w:val="both"/>
        <w:rPr>
          <w:rFonts w:cstheme="minorHAnsi"/>
          <w:color w:val="000000" w:themeColor="text1"/>
        </w:rPr>
      </w:pPr>
      <w:r w:rsidRPr="0051709F">
        <w:rPr>
          <w:rFonts w:cstheme="minorHAnsi"/>
          <w:color w:val="000000" w:themeColor="text1"/>
        </w:rPr>
        <w:t xml:space="preserve">El </w:t>
      </w:r>
      <w:r w:rsidR="00E15FD6">
        <w:rPr>
          <w:rFonts w:cstheme="minorHAnsi"/>
          <w:color w:val="000000" w:themeColor="text1"/>
        </w:rPr>
        <w:t>K</w:t>
      </w:r>
      <w:r w:rsidRPr="0051709F">
        <w:rPr>
          <w:rFonts w:cstheme="minorHAnsi"/>
          <w:color w:val="000000" w:themeColor="text1"/>
        </w:rPr>
        <w:t xml:space="preserve">AP se elaboró en un proceso inclusivo </w:t>
      </w:r>
      <w:r w:rsidR="00E15FD6">
        <w:rPr>
          <w:rFonts w:cstheme="minorHAnsi"/>
          <w:color w:val="000000" w:themeColor="text1"/>
        </w:rPr>
        <w:t>en el que participaron</w:t>
      </w:r>
      <w:r w:rsidRPr="0051709F">
        <w:rPr>
          <w:rFonts w:cstheme="minorHAnsi"/>
          <w:color w:val="000000" w:themeColor="text1"/>
        </w:rPr>
        <w:t xml:space="preserve"> todas las partes interesadas relevantes de la política deportiva, más de cien expertos y profesionales de los gobiernos, la</w:t>
      </w:r>
      <w:r w:rsidR="00E15FD6">
        <w:rPr>
          <w:rFonts w:cstheme="minorHAnsi"/>
          <w:color w:val="000000" w:themeColor="text1"/>
        </w:rPr>
        <w:t xml:space="preserve"> Organización de</w:t>
      </w:r>
      <w:r w:rsidR="00E15FD6" w:rsidRPr="0051709F">
        <w:rPr>
          <w:rFonts w:cstheme="minorHAnsi"/>
          <w:color w:val="000000" w:themeColor="text1"/>
        </w:rPr>
        <w:t xml:space="preserve"> Naciones</w:t>
      </w:r>
      <w:r w:rsidRPr="0051709F">
        <w:rPr>
          <w:rFonts w:cstheme="minorHAnsi"/>
          <w:color w:val="000000" w:themeColor="text1"/>
        </w:rPr>
        <w:t xml:space="preserve"> Unidas y </w:t>
      </w:r>
      <w:r w:rsidR="00E15FD6">
        <w:rPr>
          <w:rFonts w:cstheme="minorHAnsi"/>
          <w:color w:val="000000" w:themeColor="text1"/>
        </w:rPr>
        <w:t>otras organizaciones intergubernamentales</w:t>
      </w:r>
      <w:r w:rsidRPr="0051709F">
        <w:rPr>
          <w:rFonts w:cstheme="minorHAnsi"/>
          <w:color w:val="000000" w:themeColor="text1"/>
        </w:rPr>
        <w:t xml:space="preserve">, </w:t>
      </w:r>
      <w:r w:rsidR="00E15FD6">
        <w:rPr>
          <w:rFonts w:cstheme="minorHAnsi"/>
          <w:color w:val="000000" w:themeColor="text1"/>
        </w:rPr>
        <w:t xml:space="preserve">además de </w:t>
      </w:r>
      <w:r w:rsidRPr="0051709F">
        <w:rPr>
          <w:rFonts w:cstheme="minorHAnsi"/>
          <w:color w:val="000000" w:themeColor="text1"/>
        </w:rPr>
        <w:t>organizaciones deportivas, ONG y el mundo académico. Fue adoptada por más de cien Estados Miembros que asistieron a la Sexta Conferencia Internacional de Ministros y Altos Funcionarios Encargados de la Educaci</w:t>
      </w:r>
      <w:r w:rsidR="00980DBF">
        <w:rPr>
          <w:rFonts w:cstheme="minorHAnsi"/>
          <w:color w:val="000000" w:themeColor="text1"/>
        </w:rPr>
        <w:t xml:space="preserve">ón Física y el Deporte </w:t>
      </w:r>
      <w:r w:rsidR="00980DBF" w:rsidRPr="00980DBF">
        <w:rPr>
          <w:rFonts w:cstheme="minorHAnsi"/>
          <w:color w:val="000000" w:themeColor="text1"/>
        </w:rPr>
        <w:t>(MINE</w:t>
      </w:r>
      <w:r w:rsidR="00980DBF">
        <w:rPr>
          <w:rFonts w:cstheme="minorHAnsi"/>
          <w:color w:val="000000" w:themeColor="text1"/>
        </w:rPr>
        <w:t>SP</w:t>
      </w:r>
      <w:r w:rsidR="00980DBF" w:rsidRPr="00980DBF">
        <w:rPr>
          <w:rFonts w:cstheme="minorHAnsi"/>
          <w:color w:val="000000" w:themeColor="text1"/>
        </w:rPr>
        <w:t xml:space="preserve"> </w:t>
      </w:r>
      <w:r w:rsidRPr="0051709F">
        <w:rPr>
          <w:rFonts w:cstheme="minorHAnsi"/>
          <w:color w:val="000000" w:themeColor="text1"/>
        </w:rPr>
        <w:t>VI</w:t>
      </w:r>
      <w:r w:rsidR="00980DBF">
        <w:rPr>
          <w:rFonts w:cstheme="minorHAnsi"/>
          <w:color w:val="000000" w:themeColor="text1"/>
        </w:rPr>
        <w:t>)</w:t>
      </w:r>
      <w:r w:rsidRPr="0051709F">
        <w:rPr>
          <w:rFonts w:cstheme="minorHAnsi"/>
          <w:color w:val="000000" w:themeColor="text1"/>
        </w:rPr>
        <w:t>, en julio de 2017.</w:t>
      </w:r>
    </w:p>
    <w:p w14:paraId="3ECBE33B" w14:textId="77777777" w:rsidR="006B6011" w:rsidRPr="0051709F" w:rsidRDefault="006B6011" w:rsidP="006B6011">
      <w:pPr>
        <w:jc w:val="both"/>
        <w:rPr>
          <w:rFonts w:cstheme="minorHAnsi"/>
          <w:color w:val="000000" w:themeColor="text1"/>
        </w:rPr>
      </w:pPr>
    </w:p>
    <w:p w14:paraId="2ED91E29" w14:textId="097E3A09" w:rsidR="006B6011" w:rsidRPr="0051709F" w:rsidRDefault="006B6011" w:rsidP="006B6011">
      <w:pPr>
        <w:jc w:val="both"/>
        <w:rPr>
          <w:rFonts w:cstheme="minorHAnsi"/>
          <w:color w:val="000000" w:themeColor="text1"/>
        </w:rPr>
      </w:pPr>
      <w:r w:rsidRPr="0051709F">
        <w:rPr>
          <w:rFonts w:cstheme="minorHAnsi"/>
          <w:color w:val="000000" w:themeColor="text1"/>
        </w:rPr>
        <w:t>Ocho áreas políticas específicas de</w:t>
      </w:r>
      <w:r w:rsidR="00E15FD6">
        <w:rPr>
          <w:rFonts w:cstheme="minorHAnsi"/>
          <w:color w:val="000000" w:themeColor="text1"/>
        </w:rPr>
        <w:t>l</w:t>
      </w:r>
      <w:r w:rsidRPr="0051709F">
        <w:rPr>
          <w:rFonts w:cstheme="minorHAnsi"/>
          <w:color w:val="000000" w:themeColor="text1"/>
        </w:rPr>
        <w:t xml:space="preserve"> KAP (UNESCO, 2017)</w:t>
      </w:r>
      <w:r w:rsidR="00E15FD6">
        <w:rPr>
          <w:rFonts w:cstheme="minorHAnsi"/>
          <w:color w:val="000000" w:themeColor="text1"/>
        </w:rPr>
        <w:t>,</w:t>
      </w:r>
      <w:r w:rsidRPr="0051709F">
        <w:rPr>
          <w:rFonts w:cstheme="minorHAnsi"/>
          <w:color w:val="000000" w:themeColor="text1"/>
        </w:rPr>
        <w:t xml:space="preserve"> describen cómo la educación </w:t>
      </w:r>
      <w:r w:rsidR="00E15FD6">
        <w:rPr>
          <w:rFonts w:cstheme="minorHAnsi"/>
          <w:color w:val="000000" w:themeColor="text1"/>
        </w:rPr>
        <w:t>y</w:t>
      </w:r>
      <w:r w:rsidRPr="0051709F">
        <w:rPr>
          <w:rFonts w:cstheme="minorHAnsi"/>
          <w:color w:val="000000" w:themeColor="text1"/>
        </w:rPr>
        <w:t xml:space="preserve"> la actividad física y el deporte pueden contribuir a </w:t>
      </w:r>
      <w:r w:rsidR="00E15FD6">
        <w:rPr>
          <w:rFonts w:cstheme="minorHAnsi"/>
          <w:color w:val="000000" w:themeColor="text1"/>
        </w:rPr>
        <w:t>la consecución de l</w:t>
      </w:r>
      <w:r w:rsidR="00E15FD6" w:rsidRPr="0051709F">
        <w:rPr>
          <w:rFonts w:cstheme="minorHAnsi"/>
          <w:color w:val="000000" w:themeColor="text1"/>
        </w:rPr>
        <w:t xml:space="preserve">os </w:t>
      </w:r>
      <w:r w:rsidR="00E15FD6">
        <w:rPr>
          <w:rFonts w:cstheme="minorHAnsi"/>
          <w:color w:val="000000" w:themeColor="text1"/>
        </w:rPr>
        <w:t>Objetivos de Desarrollo Sostenible (</w:t>
      </w:r>
      <w:r w:rsidRPr="0051709F">
        <w:rPr>
          <w:rFonts w:cstheme="minorHAnsi"/>
          <w:color w:val="000000" w:themeColor="text1"/>
        </w:rPr>
        <w:t>ODS</w:t>
      </w:r>
      <w:r w:rsidR="00E15FD6">
        <w:rPr>
          <w:rFonts w:cstheme="minorHAnsi"/>
          <w:color w:val="000000" w:themeColor="text1"/>
        </w:rPr>
        <w:t>)</w:t>
      </w:r>
      <w:r w:rsidRPr="0051709F">
        <w:rPr>
          <w:rFonts w:cstheme="minorHAnsi"/>
          <w:color w:val="000000" w:themeColor="text1"/>
        </w:rPr>
        <w:t xml:space="preserve">. De ellos, los dos siguientes están específicamente relacionados con el valor potencial del fomento del deporte contra el sedentarismo y la inactividad física: </w:t>
      </w:r>
      <w:r w:rsidRPr="0051709F">
        <w:rPr>
          <w:rFonts w:cstheme="minorHAnsi"/>
          <w:color w:val="FF0000"/>
        </w:rPr>
        <w:t xml:space="preserve"> </w:t>
      </w:r>
    </w:p>
    <w:p w14:paraId="5A66C88F" w14:textId="77777777" w:rsidR="006B6011" w:rsidRPr="0051709F" w:rsidRDefault="006B6011" w:rsidP="006B6011">
      <w:pPr>
        <w:jc w:val="both"/>
        <w:rPr>
          <w:rFonts w:cstheme="minorHAnsi"/>
          <w:color w:val="000000" w:themeColor="text1"/>
        </w:rPr>
      </w:pPr>
    </w:p>
    <w:p w14:paraId="34290299" w14:textId="77777777" w:rsidR="006B6011" w:rsidRPr="0051709F" w:rsidRDefault="006B6011" w:rsidP="00D14ACA">
      <w:pPr>
        <w:pStyle w:val="Prrafodelista"/>
        <w:numPr>
          <w:ilvl w:val="0"/>
          <w:numId w:val="55"/>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II.1. Mejorar la salud y el bienestar de todos, a todas las edades. (....) Las pruebas demuestran que la participación en la educación física, la actividad física y el deporte, incluidos los juegos y deportes tradicionales, está asociada a una mejora de la salud psicológica y social, así como a la prevención y el tratamiento del abuso de sustancias (ODS 3.5). La participación regular favorece el desarrollo saludable de niños y adolescentes, incluido su desarrollo cognitivo y psicosocial. Los eventos deportivos y los programas de actividad física a gran escala también pueden proporcionar una plataforma para la difusión de mensajes de salud comunitaria y el empoderamiento, involucrando a una amplia gama de personas a las que de otro modo no se podría llegar a través de la prestación de servicios de salud convencionales. Esto apoya los esfuerzos para abordar las enfermedades transmisibles y mejorar el acceso a los servicios de atención sanitaria (ODS 3.3 y 3.7).</w:t>
      </w:r>
    </w:p>
    <w:p w14:paraId="24556999" w14:textId="77777777" w:rsidR="006B6011" w:rsidRPr="0051709F" w:rsidRDefault="006B6011" w:rsidP="006B6011">
      <w:pPr>
        <w:jc w:val="both"/>
        <w:rPr>
          <w:rFonts w:cstheme="minorHAnsi"/>
          <w:color w:val="000000" w:themeColor="text1"/>
        </w:rPr>
      </w:pPr>
    </w:p>
    <w:p w14:paraId="7BC0C707" w14:textId="5D090FBC" w:rsidR="006B6011" w:rsidRPr="0051709F" w:rsidRDefault="006B6011" w:rsidP="00D14ACA">
      <w:pPr>
        <w:pStyle w:val="Prrafodelista"/>
        <w:numPr>
          <w:ilvl w:val="0"/>
          <w:numId w:val="55"/>
        </w:numPr>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II.5 Proporcionar crecimiento económico y empleo y trabajo plenos y productivos para todos: La contribución de la educación física, la actividad física y el deporte al crecimiento económico, </w:t>
      </w:r>
      <w:r w:rsidR="00E15FD6">
        <w:rPr>
          <w:rFonts w:asciiTheme="minorHAnsi" w:hAnsiTheme="minorHAnsi" w:cstheme="minorHAnsi"/>
          <w:color w:val="000000" w:themeColor="text1"/>
          <w:sz w:val="24"/>
          <w:szCs w:val="24"/>
          <w:lang w:val="es-ES"/>
        </w:rPr>
        <w:t>a</w:t>
      </w:r>
      <w:r w:rsidRPr="0051709F">
        <w:rPr>
          <w:rFonts w:asciiTheme="minorHAnsi" w:hAnsiTheme="minorHAnsi" w:cstheme="minorHAnsi"/>
          <w:color w:val="000000" w:themeColor="text1"/>
          <w:sz w:val="24"/>
          <w:szCs w:val="24"/>
          <w:lang w:val="es-ES"/>
        </w:rPr>
        <w:t xml:space="preserve">l aumento de la productividad y </w:t>
      </w:r>
      <w:r w:rsidR="00E15FD6">
        <w:rPr>
          <w:rFonts w:asciiTheme="minorHAnsi" w:hAnsiTheme="minorHAnsi" w:cstheme="minorHAnsi"/>
          <w:color w:val="000000" w:themeColor="text1"/>
          <w:sz w:val="24"/>
          <w:szCs w:val="24"/>
          <w:lang w:val="es-ES"/>
        </w:rPr>
        <w:t>al</w:t>
      </w:r>
      <w:r w:rsidRPr="0051709F">
        <w:rPr>
          <w:rFonts w:asciiTheme="minorHAnsi" w:hAnsiTheme="minorHAnsi" w:cstheme="minorHAnsi"/>
          <w:color w:val="000000" w:themeColor="text1"/>
          <w:sz w:val="24"/>
          <w:szCs w:val="24"/>
          <w:lang w:val="es-ES"/>
        </w:rPr>
        <w:t xml:space="preserve"> empleo</w:t>
      </w:r>
      <w:r w:rsidR="00E15FD6">
        <w:rPr>
          <w:rFonts w:asciiTheme="minorHAnsi" w:hAnsiTheme="minorHAnsi" w:cstheme="minorHAnsi"/>
          <w:color w:val="000000" w:themeColor="text1"/>
          <w:sz w:val="24"/>
          <w:szCs w:val="24"/>
          <w:lang w:val="es-ES"/>
        </w:rPr>
        <w:t>,</w:t>
      </w:r>
      <w:r w:rsidRPr="0051709F">
        <w:rPr>
          <w:rFonts w:asciiTheme="minorHAnsi" w:hAnsiTheme="minorHAnsi" w:cstheme="minorHAnsi"/>
          <w:color w:val="000000" w:themeColor="text1"/>
          <w:sz w:val="24"/>
          <w:szCs w:val="24"/>
          <w:lang w:val="es-ES"/>
        </w:rPr>
        <w:t xml:space="preserve"> puede observarse en diferentes contextos. Se calcula que la industria del deporte aporta hasta el uno por ciento del producto interior bruto mundial</w:t>
      </w:r>
      <w:r w:rsidR="00E15FD6">
        <w:rPr>
          <w:rFonts w:asciiTheme="minorHAnsi" w:hAnsiTheme="minorHAnsi" w:cstheme="minorHAnsi"/>
          <w:color w:val="000000" w:themeColor="text1"/>
          <w:sz w:val="24"/>
          <w:szCs w:val="24"/>
          <w:lang w:val="es-ES"/>
        </w:rPr>
        <w:t>;</w:t>
      </w:r>
      <w:r w:rsidRPr="0051709F">
        <w:rPr>
          <w:rFonts w:asciiTheme="minorHAnsi" w:hAnsiTheme="minorHAnsi" w:cstheme="minorHAnsi"/>
          <w:color w:val="000000" w:themeColor="text1"/>
          <w:sz w:val="24"/>
          <w:szCs w:val="24"/>
          <w:lang w:val="es-ES"/>
        </w:rPr>
        <w:t xml:space="preserve"> y estimular su desarrollo puede contribuir a obtener mayores beneficios. Maximizar el potencial del turismo relacionado con el deporte, en particular, puede apoyar estos esfuerzos (ODS 8.2). El atractivo del deporte para los jóvenes </w:t>
      </w:r>
      <w:r w:rsidRPr="0051709F">
        <w:rPr>
          <w:rFonts w:asciiTheme="minorHAnsi" w:hAnsiTheme="minorHAnsi" w:cstheme="minorHAnsi"/>
          <w:color w:val="000000" w:themeColor="text1"/>
          <w:sz w:val="24"/>
          <w:szCs w:val="24"/>
          <w:lang w:val="es-ES"/>
        </w:rPr>
        <w:lastRenderedPageBreak/>
        <w:t>lo convierte en un entorno valioso para las iniciativas destinadas a obtener resultados en materia de empleabilidad (ODS 4.4), incluida la formación empresarial (ODS 8.5 y 8.6). Además, los voluntarios aportan una contribución sustancial. El beneficio económico adicional puede derivarse de políticas deliberadas dirigidas a aumentar las contribuciones voluntarias de oficiales, entrenadores, padres y otros grupos que aportan beneficios sanitarios y sociales mediante el apoyo a programas rentables de actividad física y deporte (ODS 8.3).</w:t>
      </w:r>
    </w:p>
    <w:p w14:paraId="2DA05D71" w14:textId="77777777" w:rsidR="006B6011" w:rsidRPr="0051709F" w:rsidRDefault="006B6011" w:rsidP="006B6011">
      <w:pPr>
        <w:jc w:val="both"/>
        <w:rPr>
          <w:rFonts w:cstheme="minorHAnsi"/>
          <w:color w:val="000000" w:themeColor="text1"/>
        </w:rPr>
      </w:pPr>
    </w:p>
    <w:p w14:paraId="2B4FDA30" w14:textId="7CD387F8" w:rsidR="00433BD9" w:rsidRPr="0051709F" w:rsidRDefault="00433BD9" w:rsidP="00433BD9">
      <w:pPr>
        <w:jc w:val="both"/>
        <w:rPr>
          <w:rFonts w:cstheme="minorHAnsi"/>
        </w:rPr>
      </w:pPr>
      <w:r w:rsidRPr="0051709F">
        <w:rPr>
          <w:rFonts w:cstheme="minorHAnsi"/>
        </w:rPr>
        <w:t xml:space="preserve">Aunque </w:t>
      </w:r>
      <w:r w:rsidR="009427E3">
        <w:rPr>
          <w:rFonts w:cstheme="minorHAnsi"/>
        </w:rPr>
        <w:t>se tratará</w:t>
      </w:r>
      <w:r w:rsidRPr="0051709F">
        <w:rPr>
          <w:rFonts w:cstheme="minorHAnsi"/>
        </w:rPr>
        <w:t xml:space="preserve"> ampliamente más adelante en este documento, hay que señalar que los beneficios de una mayor actividad física van mucho más allá de la salud de la población y el gasto sanitario. Una población más sana se traduce en unos trabajadores más motivados y productivos. Como resultado, el impacto sanitario y económico de la pandemia </w:t>
      </w:r>
      <w:r w:rsidR="009427E3">
        <w:rPr>
          <w:rFonts w:cstheme="minorHAnsi"/>
        </w:rPr>
        <w:t>de la Covid-19</w:t>
      </w:r>
      <w:r w:rsidR="009427E3" w:rsidRPr="0051709F">
        <w:rPr>
          <w:rFonts w:cstheme="minorHAnsi"/>
        </w:rPr>
        <w:t xml:space="preserve"> </w:t>
      </w:r>
      <w:r w:rsidRPr="0051709F">
        <w:rPr>
          <w:rFonts w:cstheme="minorHAnsi"/>
        </w:rPr>
        <w:t>y de posibles pandemias futuras puede disminuir. Por último, existen vínculos beneficiosos entre las políticas de actividad física y otros ámbitos políticos importantes, como el medio ambiente. En conjunto, hay razones de peso para invertir en políticas que aumenten los niveles de actividad física de la población (Informe OCDE-</w:t>
      </w:r>
      <w:r w:rsidR="006D4843">
        <w:rPr>
          <w:rFonts w:cstheme="minorHAnsi"/>
        </w:rPr>
        <w:t>WHO</w:t>
      </w:r>
      <w:r w:rsidRPr="0051709F">
        <w:rPr>
          <w:rFonts w:cstheme="minorHAnsi"/>
        </w:rPr>
        <w:t xml:space="preserve"> UE, 2023).</w:t>
      </w:r>
    </w:p>
    <w:p w14:paraId="78ECC466" w14:textId="77777777" w:rsidR="006B6011" w:rsidRPr="0051709F" w:rsidRDefault="006B6011" w:rsidP="006B6011">
      <w:pPr>
        <w:jc w:val="both"/>
        <w:rPr>
          <w:rFonts w:cstheme="minorHAnsi"/>
        </w:rPr>
      </w:pPr>
    </w:p>
    <w:p w14:paraId="2E3763C8" w14:textId="5516AD4D" w:rsidR="006B6011" w:rsidRPr="0051709F" w:rsidRDefault="006B6011" w:rsidP="006B6011">
      <w:pPr>
        <w:jc w:val="both"/>
        <w:rPr>
          <w:rFonts w:cstheme="minorHAnsi"/>
        </w:rPr>
      </w:pPr>
      <w:r w:rsidRPr="0051709F">
        <w:rPr>
          <w:rFonts w:cstheme="minorHAnsi"/>
        </w:rPr>
        <w:t xml:space="preserve">Existe una amplia gama de acciones políticas para aumentar la actividad física de la población, incluidas las políticas reguladoras, económicas y de información. Algunas son específicas del entorno o del grupo destinatario, por ejemplo, las intervenciones en las escuelas, los lugares de trabajo o el entorno sanitario. Otras políticas pretenden aumentar el acceso a las instalaciones deportivas o cambiar el entorno para fomentar el transporte activo y las actividades al aire libre. Las políticas de comunicación pueden utilizarse para fomentar la actividad física e informar a la gente sobre qué hacer, cuándo y dónde. Casi todos los Estados miembros de la UE controlan los niveles de actividad física en adultos y niños, y cuentan con educación física en las escuelas. Además, desde 2015 se ha producido un fuerte aumento del número de países que cuentan con políticas para mejorar el acceso a la actividad física de los grupos socialmente desfavorecidos y los adultos mayores, y con planes de promoción de la actividad física en las escuelas y </w:t>
      </w:r>
      <w:r w:rsidR="009427E3">
        <w:rPr>
          <w:rFonts w:cstheme="minorHAnsi"/>
        </w:rPr>
        <w:t xml:space="preserve">en </w:t>
      </w:r>
      <w:r w:rsidRPr="0051709F">
        <w:rPr>
          <w:rFonts w:cstheme="minorHAnsi"/>
        </w:rPr>
        <w:t>el lugar de trabajo.</w:t>
      </w:r>
    </w:p>
    <w:p w14:paraId="1DFBCAB2" w14:textId="77777777" w:rsidR="006B6011" w:rsidRPr="0051709F" w:rsidRDefault="006B6011" w:rsidP="006B6011">
      <w:pPr>
        <w:jc w:val="both"/>
        <w:rPr>
          <w:rFonts w:cstheme="minorHAnsi"/>
        </w:rPr>
      </w:pPr>
    </w:p>
    <w:p w14:paraId="797022D6" w14:textId="71743F2E" w:rsidR="006B6011" w:rsidRPr="0051709F" w:rsidRDefault="006B6011" w:rsidP="006B6011">
      <w:pPr>
        <w:jc w:val="both"/>
        <w:rPr>
          <w:rFonts w:cstheme="minorHAnsi"/>
          <w:b/>
          <w:color w:val="000000"/>
        </w:rPr>
      </w:pPr>
      <w:r w:rsidRPr="0051709F">
        <w:rPr>
          <w:rFonts w:cstheme="minorHAnsi"/>
        </w:rPr>
        <w:t xml:space="preserve">Sin embargo, y como </w:t>
      </w:r>
      <w:r w:rsidR="009427E3">
        <w:rPr>
          <w:rFonts w:cstheme="minorHAnsi"/>
        </w:rPr>
        <w:t>se observará</w:t>
      </w:r>
      <w:r w:rsidR="009427E3" w:rsidRPr="0051709F">
        <w:rPr>
          <w:rFonts w:cstheme="minorHAnsi"/>
        </w:rPr>
        <w:t xml:space="preserve"> </w:t>
      </w:r>
      <w:r w:rsidRPr="0051709F">
        <w:rPr>
          <w:rFonts w:cstheme="minorHAnsi"/>
        </w:rPr>
        <w:t xml:space="preserve">en un apartado específico </w:t>
      </w:r>
      <w:r w:rsidR="009427E3">
        <w:rPr>
          <w:rFonts w:cstheme="minorHAnsi"/>
        </w:rPr>
        <w:t>de este documento</w:t>
      </w:r>
      <w:r w:rsidRPr="0051709F">
        <w:rPr>
          <w:rFonts w:cstheme="minorHAnsi"/>
        </w:rPr>
        <w:t xml:space="preserve">, todavía hay un margen considerable para ampliar la respuesta política en toda Europa. En particular, pocos países han puesto en marcha programas para implicar a los clubes deportivos, gimnasios y centros de ocio en la promoción de la salud, o aplican sistemáticamente las directrices europeas en la planificación de infraestructuras para el tiempo libre (IMPALA). Los planes para promover los desplazamientos activos a la escuela o al trabajo solo están presentes en 14 y 17 de los 27 Estados miembros de la UE, respectivamente. Además, mientras que en 2015 todos los países informaron de que contaban con una política o un plan de acción de </w:t>
      </w:r>
      <w:r w:rsidR="009427E3">
        <w:rPr>
          <w:rFonts w:cstheme="minorHAnsi"/>
        </w:rPr>
        <w:t>actividad física (</w:t>
      </w:r>
      <w:r w:rsidR="009427E3" w:rsidRPr="009427E3">
        <w:rPr>
          <w:rFonts w:cstheme="minorHAnsi"/>
        </w:rPr>
        <w:t xml:space="preserve">HEPA </w:t>
      </w:r>
      <w:r w:rsidR="009427E3">
        <w:rPr>
          <w:rFonts w:cstheme="minorHAnsi"/>
        </w:rPr>
        <w:t xml:space="preserve">- </w:t>
      </w:r>
      <w:proofErr w:type="spellStart"/>
      <w:r w:rsidR="009427E3" w:rsidRPr="009427E3">
        <w:rPr>
          <w:rFonts w:cstheme="minorHAnsi"/>
        </w:rPr>
        <w:t>Health-enhancing</w:t>
      </w:r>
      <w:proofErr w:type="spellEnd"/>
      <w:r w:rsidR="009427E3" w:rsidRPr="009427E3">
        <w:rPr>
          <w:rFonts w:cstheme="minorHAnsi"/>
        </w:rPr>
        <w:t xml:space="preserve"> </w:t>
      </w:r>
      <w:proofErr w:type="spellStart"/>
      <w:r w:rsidR="009427E3" w:rsidRPr="009427E3">
        <w:rPr>
          <w:rFonts w:cstheme="minorHAnsi"/>
        </w:rPr>
        <w:t>physical</w:t>
      </w:r>
      <w:proofErr w:type="spellEnd"/>
      <w:r w:rsidR="009427E3" w:rsidRPr="009427E3">
        <w:rPr>
          <w:rFonts w:cstheme="minorHAnsi"/>
        </w:rPr>
        <w:t xml:space="preserve"> </w:t>
      </w:r>
      <w:proofErr w:type="spellStart"/>
      <w:r w:rsidR="009427E3" w:rsidRPr="009427E3">
        <w:rPr>
          <w:rFonts w:cstheme="minorHAnsi"/>
        </w:rPr>
        <w:t>activity</w:t>
      </w:r>
      <w:proofErr w:type="spellEnd"/>
      <w:r w:rsidR="009427E3" w:rsidRPr="009427E3">
        <w:rPr>
          <w:rFonts w:cstheme="minorHAnsi"/>
        </w:rPr>
        <w:t>)</w:t>
      </w:r>
      <w:r w:rsidR="009427E3">
        <w:rPr>
          <w:rFonts w:cstheme="minorHAnsi"/>
        </w:rPr>
        <w:t xml:space="preserve"> </w:t>
      </w:r>
      <w:r w:rsidRPr="0051709F">
        <w:rPr>
          <w:rFonts w:cstheme="minorHAnsi"/>
        </w:rPr>
        <w:t xml:space="preserve">dirigido específicamente a grupos con grandes necesidades (por ejemplo, niños pequeños, adultos mayores, personas de grupos socioeconómicos </w:t>
      </w:r>
      <w:r w:rsidR="009427E3">
        <w:rPr>
          <w:rFonts w:cstheme="minorHAnsi"/>
        </w:rPr>
        <w:t>más vulnerables</w:t>
      </w:r>
      <w:r w:rsidRPr="0051709F">
        <w:rPr>
          <w:rFonts w:cstheme="minorHAnsi"/>
        </w:rPr>
        <w:t>, personas con discapacidad), en 2021 solo 20 de los 27 países contaban con este tipo de políticas (</w:t>
      </w:r>
      <w:r w:rsidR="006A52F5" w:rsidRPr="0051709F">
        <w:rPr>
          <w:rFonts w:cstheme="minorHAnsi"/>
          <w:color w:val="000000" w:themeColor="text1"/>
        </w:rPr>
        <w:t xml:space="preserve">OECD </w:t>
      </w:r>
      <w:r w:rsidRPr="0051709F">
        <w:rPr>
          <w:rFonts w:cstheme="minorHAnsi"/>
        </w:rPr>
        <w:t>/</w:t>
      </w:r>
      <w:r w:rsidR="006A52F5" w:rsidRPr="0051709F">
        <w:rPr>
          <w:rFonts w:cstheme="minorHAnsi"/>
        </w:rPr>
        <w:t>WHO</w:t>
      </w:r>
      <w:r w:rsidRPr="0051709F">
        <w:rPr>
          <w:rFonts w:cstheme="minorHAnsi"/>
        </w:rPr>
        <w:t xml:space="preserve"> Europa, 2023).</w:t>
      </w:r>
    </w:p>
    <w:p w14:paraId="5DF56653" w14:textId="77777777" w:rsidR="006B6011" w:rsidRPr="0051709F" w:rsidRDefault="006B6011" w:rsidP="006B6011">
      <w:pPr>
        <w:jc w:val="both"/>
        <w:rPr>
          <w:rFonts w:cstheme="minorHAnsi"/>
          <w:b/>
          <w:color w:val="000000"/>
        </w:rPr>
      </w:pPr>
    </w:p>
    <w:p w14:paraId="7F035287" w14:textId="77777777" w:rsidR="007F4EFD" w:rsidRDefault="007F4EFD" w:rsidP="006B6011">
      <w:pPr>
        <w:jc w:val="both"/>
        <w:rPr>
          <w:rFonts w:cstheme="minorHAnsi"/>
          <w:b/>
          <w:bCs/>
        </w:rPr>
      </w:pPr>
    </w:p>
    <w:p w14:paraId="2A635E49" w14:textId="7B12102C" w:rsidR="006B6011" w:rsidRPr="0051709F" w:rsidRDefault="006B6011" w:rsidP="006B6011">
      <w:pPr>
        <w:jc w:val="both"/>
        <w:rPr>
          <w:rFonts w:cstheme="minorHAnsi"/>
          <w:b/>
          <w:bCs/>
        </w:rPr>
      </w:pPr>
      <w:r w:rsidRPr="0051709F">
        <w:rPr>
          <w:rFonts w:cstheme="minorHAnsi"/>
          <w:b/>
          <w:bCs/>
        </w:rPr>
        <w:lastRenderedPageBreak/>
        <w:t>España y sus retos</w:t>
      </w:r>
    </w:p>
    <w:p w14:paraId="4124F215" w14:textId="77777777" w:rsidR="006B6011" w:rsidRPr="0051709F" w:rsidRDefault="006B6011" w:rsidP="006B6011">
      <w:pPr>
        <w:jc w:val="both"/>
        <w:rPr>
          <w:rFonts w:cstheme="minorHAnsi"/>
        </w:rPr>
      </w:pPr>
    </w:p>
    <w:p w14:paraId="729F29D7" w14:textId="77777777" w:rsidR="001B1885" w:rsidRPr="0051709F" w:rsidRDefault="001B1885" w:rsidP="001B1885">
      <w:pPr>
        <w:jc w:val="both"/>
        <w:rPr>
          <w:rFonts w:cstheme="minorHAnsi"/>
        </w:rPr>
      </w:pPr>
      <w:r w:rsidRPr="0051709F">
        <w:rPr>
          <w:rFonts w:cstheme="minorHAnsi"/>
        </w:rPr>
        <w:t>En el caso particular de nuestro país, el 13,4% de todas las muertes son atribuibles a la inactividad física, lo que supone más de 52.000 muertes al año (Lee et al., 2012). Esto supone un gasto anual de unos 1.560 millones de euros como consecuencia de la inactividad física (</w:t>
      </w:r>
      <w:proofErr w:type="spellStart"/>
      <w:r w:rsidRPr="0051709F">
        <w:rPr>
          <w:rFonts w:cstheme="minorHAnsi"/>
        </w:rPr>
        <w:t>Ding</w:t>
      </w:r>
      <w:proofErr w:type="spellEnd"/>
      <w:r w:rsidRPr="0051709F">
        <w:rPr>
          <w:rFonts w:cstheme="minorHAnsi"/>
        </w:rPr>
        <w:t xml:space="preserve"> et al., 2016; Mayo, Del Villar, Jiménez, 2017). </w:t>
      </w:r>
    </w:p>
    <w:p w14:paraId="5F150ED8" w14:textId="77777777" w:rsidR="001B1885" w:rsidRPr="0051709F" w:rsidRDefault="001B1885" w:rsidP="001B1885">
      <w:pPr>
        <w:jc w:val="both"/>
        <w:rPr>
          <w:rFonts w:cstheme="minorHAnsi"/>
        </w:rPr>
      </w:pPr>
    </w:p>
    <w:p w14:paraId="45E76A7B" w14:textId="4D690969" w:rsidR="001B1885" w:rsidRPr="0051709F" w:rsidRDefault="001B1885" w:rsidP="001B1885">
      <w:pPr>
        <w:jc w:val="both"/>
        <w:rPr>
          <w:rFonts w:cstheme="minorHAnsi"/>
        </w:rPr>
      </w:pPr>
      <w:r w:rsidRPr="0051709F">
        <w:rPr>
          <w:rFonts w:cstheme="minorHAnsi"/>
        </w:rPr>
        <w:t xml:space="preserve">En este sentido, se han publicado tres documentos generales con el objetivo de reducir la prevalencia de inactividad física en España y sus consecuencias. </w:t>
      </w:r>
    </w:p>
    <w:p w14:paraId="59ECCDBE" w14:textId="77777777" w:rsidR="001B1885" w:rsidRPr="0051709F" w:rsidRDefault="001B1885" w:rsidP="001B1885">
      <w:pPr>
        <w:jc w:val="both"/>
        <w:rPr>
          <w:rFonts w:cstheme="minorHAnsi"/>
        </w:rPr>
      </w:pPr>
    </w:p>
    <w:p w14:paraId="6C9DE2CA" w14:textId="3791DE42" w:rsidR="001B1885" w:rsidRPr="0051709F" w:rsidRDefault="001B1885" w:rsidP="001B1885">
      <w:pPr>
        <w:jc w:val="both"/>
        <w:rPr>
          <w:rFonts w:cstheme="minorHAnsi"/>
        </w:rPr>
      </w:pPr>
      <w:r w:rsidRPr="0051709F">
        <w:rPr>
          <w:rFonts w:cstheme="minorHAnsi"/>
        </w:rPr>
        <w:t>En primer lugar, en el 2005</w:t>
      </w:r>
      <w:r w:rsidR="00E77DDC">
        <w:rPr>
          <w:rFonts w:cstheme="minorHAnsi"/>
        </w:rPr>
        <w:t xml:space="preserve"> se elaboró y</w:t>
      </w:r>
      <w:r w:rsidRPr="0051709F">
        <w:rPr>
          <w:rFonts w:cstheme="minorHAnsi"/>
        </w:rPr>
        <w:t xml:space="preserve"> desarrolló la </w:t>
      </w:r>
      <w:r w:rsidRPr="0051709F">
        <w:rPr>
          <w:rFonts w:cstheme="minorHAnsi"/>
          <w:i/>
          <w:iCs/>
        </w:rPr>
        <w:t>Estrategia NAOS, Estrategia para la Nutrición, Actividad Física y Prevención de la Obesidad</w:t>
      </w:r>
      <w:r w:rsidRPr="0051709F">
        <w:rPr>
          <w:rFonts w:cstheme="minorHAnsi"/>
        </w:rPr>
        <w:t xml:space="preserve"> (Ministerio de Sanidad, 2005). En segundo lugar, en el 2010 se llevó a cabo el </w:t>
      </w:r>
      <w:r w:rsidRPr="0051709F">
        <w:rPr>
          <w:rFonts w:cstheme="minorHAnsi"/>
          <w:i/>
          <w:iCs/>
        </w:rPr>
        <w:t>Plan A+D, Plan Integral para la Actividad Física y el Deporte</w:t>
      </w:r>
      <w:r w:rsidRPr="0051709F">
        <w:rPr>
          <w:rFonts w:cstheme="minorHAnsi"/>
        </w:rPr>
        <w:t xml:space="preserve"> (Consejo Superior de Deportes, 2010). En tercer lugar, en el año 2015 se publicaron las </w:t>
      </w:r>
      <w:r w:rsidRPr="0051709F">
        <w:rPr>
          <w:rFonts w:cstheme="minorHAnsi"/>
          <w:i/>
          <w:iCs/>
        </w:rPr>
        <w:t xml:space="preserve">Recomendaciones para la Población </w:t>
      </w:r>
      <w:proofErr w:type="gramStart"/>
      <w:r w:rsidRPr="0051709F">
        <w:rPr>
          <w:rFonts w:cstheme="minorHAnsi"/>
          <w:i/>
          <w:iCs/>
        </w:rPr>
        <w:t>en relación a</w:t>
      </w:r>
      <w:proofErr w:type="gramEnd"/>
      <w:r w:rsidRPr="0051709F">
        <w:rPr>
          <w:rFonts w:cstheme="minorHAnsi"/>
          <w:i/>
          <w:iCs/>
        </w:rPr>
        <w:t xml:space="preserve"> </w:t>
      </w:r>
      <w:r w:rsidR="00E77DDC">
        <w:rPr>
          <w:rFonts w:cstheme="minorHAnsi"/>
          <w:i/>
          <w:iCs/>
        </w:rPr>
        <w:t xml:space="preserve">la </w:t>
      </w:r>
      <w:r w:rsidRPr="0051709F">
        <w:rPr>
          <w:rFonts w:cstheme="minorHAnsi"/>
          <w:i/>
          <w:iCs/>
        </w:rPr>
        <w:t>Actividad Física para la Salud y Reducción del Sedentarismo</w:t>
      </w:r>
      <w:r w:rsidRPr="0051709F">
        <w:rPr>
          <w:rFonts w:cstheme="minorHAnsi"/>
        </w:rPr>
        <w:t>, dentro de la Estrategia de Promoción de la Salud y Prevención en el Sistema Nacional de Salud (</w:t>
      </w:r>
      <w:r w:rsidRPr="0051709F">
        <w:rPr>
          <w:rFonts w:cstheme="minorHAnsi"/>
          <w:noProof/>
        </w:rPr>
        <w:t>Ministerio de Sanidad, Servicios Sociales e Igualdad, 2015)</w:t>
      </w:r>
      <w:r w:rsidRPr="0051709F">
        <w:rPr>
          <w:rFonts w:cstheme="minorHAnsi"/>
        </w:rPr>
        <w:t>.</w:t>
      </w:r>
    </w:p>
    <w:p w14:paraId="00124763" w14:textId="77777777" w:rsidR="001B1885" w:rsidRPr="0051709F" w:rsidRDefault="001B1885" w:rsidP="001B1885">
      <w:pPr>
        <w:jc w:val="both"/>
        <w:rPr>
          <w:rFonts w:cstheme="minorHAnsi"/>
        </w:rPr>
      </w:pPr>
    </w:p>
    <w:p w14:paraId="584958EF" w14:textId="2D8566F6" w:rsidR="001B1885" w:rsidRPr="0051709F" w:rsidRDefault="001B1885" w:rsidP="001B1885">
      <w:pPr>
        <w:jc w:val="both"/>
        <w:rPr>
          <w:rFonts w:cstheme="minorHAnsi"/>
          <w:color w:val="FF0000"/>
        </w:rPr>
      </w:pPr>
      <w:r w:rsidRPr="0051709F">
        <w:rPr>
          <w:rFonts w:cstheme="minorHAnsi"/>
        </w:rPr>
        <w:t xml:space="preserve">A pesar de estos documentos de acción pública, España cumplía en el 2015 con todos los indicadores necesarios </w:t>
      </w:r>
      <w:r w:rsidR="004A25DB" w:rsidRPr="0051709F">
        <w:rPr>
          <w:rFonts w:cstheme="minorHAnsi"/>
        </w:rPr>
        <w:t>con relación a</w:t>
      </w:r>
      <w:r w:rsidRPr="0051709F">
        <w:rPr>
          <w:rFonts w:cstheme="minorHAnsi"/>
        </w:rPr>
        <w:t xml:space="preserve"> la promoción de la actividad física para la salud (Mayo, Del Villar, Jiménez, 2017) y, sin embargo, la prevalencia de inactividad física en nuestro país seguía siendo la misma que en el 2002. </w:t>
      </w:r>
    </w:p>
    <w:p w14:paraId="3991B088" w14:textId="77777777" w:rsidR="006B6011" w:rsidRPr="0051709F" w:rsidRDefault="006B6011" w:rsidP="006B6011">
      <w:pPr>
        <w:jc w:val="both"/>
        <w:rPr>
          <w:rFonts w:cstheme="minorHAnsi"/>
          <w:color w:val="000000" w:themeColor="text1"/>
        </w:rPr>
      </w:pPr>
    </w:p>
    <w:p w14:paraId="252E33CA" w14:textId="66711F1A" w:rsidR="006B6011" w:rsidRPr="0051709F" w:rsidRDefault="00E77DDC" w:rsidP="006B6011">
      <w:pPr>
        <w:jc w:val="both"/>
        <w:rPr>
          <w:rFonts w:cstheme="minorHAnsi"/>
          <w:b/>
          <w:bCs/>
          <w:color w:val="000000" w:themeColor="text1"/>
        </w:rPr>
      </w:pPr>
      <w:r>
        <w:rPr>
          <w:rFonts w:cstheme="minorHAnsi"/>
          <w:b/>
          <w:bCs/>
          <w:color w:val="000000" w:themeColor="text1"/>
        </w:rPr>
        <w:t xml:space="preserve">En </w:t>
      </w:r>
      <w:r w:rsidR="004A25DB">
        <w:rPr>
          <w:rFonts w:cstheme="minorHAnsi"/>
          <w:b/>
          <w:bCs/>
          <w:color w:val="000000" w:themeColor="text1"/>
        </w:rPr>
        <w:t>síntesis</w:t>
      </w:r>
    </w:p>
    <w:p w14:paraId="788592D0" w14:textId="77777777" w:rsidR="006B6011" w:rsidRPr="0051709F" w:rsidRDefault="006B6011" w:rsidP="006B6011">
      <w:pPr>
        <w:jc w:val="both"/>
        <w:rPr>
          <w:rFonts w:cstheme="minorHAnsi"/>
          <w:color w:val="2E74B5" w:themeColor="accent5" w:themeShade="BF"/>
        </w:rPr>
      </w:pPr>
    </w:p>
    <w:p w14:paraId="375E2BE0" w14:textId="3F5C49DD" w:rsidR="006B6011" w:rsidRPr="0051709F" w:rsidRDefault="00E77DDC" w:rsidP="006B6011">
      <w:pPr>
        <w:jc w:val="both"/>
        <w:rPr>
          <w:rFonts w:cstheme="minorHAnsi"/>
        </w:rPr>
      </w:pPr>
      <w:r>
        <w:rPr>
          <w:rFonts w:cstheme="minorHAnsi"/>
        </w:rPr>
        <w:t>Siendo previsible</w:t>
      </w:r>
      <w:r w:rsidR="006B6011" w:rsidRPr="0051709F">
        <w:rPr>
          <w:rFonts w:cstheme="minorHAnsi"/>
        </w:rPr>
        <w:t xml:space="preserve">, parece que se necesita un paquete de políticas completo y bien financiado para conseguir que </w:t>
      </w:r>
      <w:r w:rsidR="00433BD9" w:rsidRPr="0051709F">
        <w:rPr>
          <w:rFonts w:cstheme="minorHAnsi"/>
        </w:rPr>
        <w:t>las personas se muevan</w:t>
      </w:r>
      <w:r>
        <w:rPr>
          <w:rFonts w:cstheme="minorHAnsi"/>
        </w:rPr>
        <w:t xml:space="preserve"> saludablemente</w:t>
      </w:r>
      <w:r w:rsidR="006B6011" w:rsidRPr="0051709F">
        <w:rPr>
          <w:rFonts w:cstheme="minorHAnsi"/>
        </w:rPr>
        <w:t xml:space="preserve"> (</w:t>
      </w:r>
      <w:r w:rsidR="006A52F5" w:rsidRPr="0051709F">
        <w:rPr>
          <w:rFonts w:cstheme="minorHAnsi"/>
          <w:color w:val="000000" w:themeColor="text1"/>
        </w:rPr>
        <w:t xml:space="preserve">OECD </w:t>
      </w:r>
      <w:r w:rsidR="006B6011" w:rsidRPr="0051709F">
        <w:rPr>
          <w:rFonts w:cstheme="minorHAnsi"/>
        </w:rPr>
        <w:t>/</w:t>
      </w:r>
      <w:r w:rsidR="006A52F5" w:rsidRPr="0051709F">
        <w:rPr>
          <w:rFonts w:cstheme="minorHAnsi"/>
        </w:rPr>
        <w:t>WHO</w:t>
      </w:r>
      <w:r w:rsidR="006B6011" w:rsidRPr="0051709F">
        <w:rPr>
          <w:rFonts w:cstheme="minorHAnsi"/>
        </w:rPr>
        <w:t xml:space="preserve"> Europa, 2023). La investigación muestra que, aunque todas las políticas tienen sus propios beneficios, es poco probable que una sola tenga un impacto importante en los niveles de actividad física de la población. La actividad física es un comportamiento complejo, en el que influyen muchos factores diferentes, entre ellos variables personales como la motivación y la capacidad física; factores ambientales como las escuelas, los lugares de trabajo y </w:t>
      </w:r>
      <w:r w:rsidR="006B6011" w:rsidRPr="00963270">
        <w:rPr>
          <w:rFonts w:cstheme="minorHAnsi"/>
        </w:rPr>
        <w:t xml:space="preserve">otros lugares donde las personas pasan la mayor parte del tiempo; características de la comunidad que determinan la oportunidad de hacer ejercicio, así como factores sociales como la presión de los compañeros y la información pública (Bauman et al., 2012). </w:t>
      </w:r>
      <w:r w:rsidR="006B6011" w:rsidRPr="00963270">
        <w:rPr>
          <w:rFonts w:cstheme="minorHAnsi"/>
          <w:b/>
          <w:bCs/>
          <w:i/>
          <w:iCs/>
        </w:rPr>
        <w:t>Para</w:t>
      </w:r>
      <w:r w:rsidR="006B6011" w:rsidRPr="0051709F">
        <w:rPr>
          <w:rFonts w:cstheme="minorHAnsi"/>
          <w:b/>
          <w:bCs/>
          <w:i/>
          <w:iCs/>
        </w:rPr>
        <w:t xml:space="preserve"> aumentar la actividad física, se necesita un paquete integral de políticas dirigidas a </w:t>
      </w:r>
      <w:r w:rsidR="001B1885" w:rsidRPr="0051709F">
        <w:rPr>
          <w:rFonts w:cstheme="minorHAnsi"/>
          <w:b/>
          <w:bCs/>
          <w:i/>
          <w:iCs/>
        </w:rPr>
        <w:t xml:space="preserve">intervenir sobre </w:t>
      </w:r>
      <w:r w:rsidR="006B6011" w:rsidRPr="0051709F">
        <w:rPr>
          <w:rFonts w:cstheme="minorHAnsi"/>
          <w:b/>
          <w:bCs/>
          <w:i/>
          <w:iCs/>
        </w:rPr>
        <w:t>todos estos factores al mismo tiempo</w:t>
      </w:r>
      <w:r w:rsidR="006B6011" w:rsidRPr="0051709F">
        <w:rPr>
          <w:rFonts w:cstheme="minorHAnsi"/>
        </w:rPr>
        <w:t>.</w:t>
      </w:r>
    </w:p>
    <w:p w14:paraId="32C60306" w14:textId="77777777" w:rsidR="006B6011" w:rsidRPr="0051709F" w:rsidRDefault="006B6011" w:rsidP="006B6011">
      <w:pPr>
        <w:jc w:val="both"/>
        <w:rPr>
          <w:rFonts w:cstheme="minorHAnsi"/>
        </w:rPr>
      </w:pPr>
    </w:p>
    <w:p w14:paraId="716EBE11" w14:textId="7DBB6533" w:rsidR="006B6011" w:rsidRPr="0051709F" w:rsidRDefault="006B6011" w:rsidP="006B6011">
      <w:pPr>
        <w:jc w:val="both"/>
        <w:rPr>
          <w:rFonts w:cstheme="minorHAnsi"/>
        </w:rPr>
      </w:pPr>
      <w:r w:rsidRPr="0051709F">
        <w:rPr>
          <w:rFonts w:cstheme="minorHAnsi"/>
        </w:rPr>
        <w:t xml:space="preserve">Trabajos previos de modelización de la </w:t>
      </w:r>
      <w:r w:rsidR="006A52F5" w:rsidRPr="0051709F">
        <w:rPr>
          <w:rFonts w:cstheme="minorHAnsi"/>
          <w:color w:val="000000" w:themeColor="text1"/>
        </w:rPr>
        <w:t>OCD</w:t>
      </w:r>
      <w:r w:rsidR="00E77DDC">
        <w:rPr>
          <w:rFonts w:cstheme="minorHAnsi"/>
          <w:color w:val="000000" w:themeColor="text1"/>
        </w:rPr>
        <w:t>E</w:t>
      </w:r>
      <w:r w:rsidR="006A52F5" w:rsidRPr="0051709F">
        <w:rPr>
          <w:rFonts w:cstheme="minorHAnsi"/>
          <w:color w:val="000000" w:themeColor="text1"/>
        </w:rPr>
        <w:t xml:space="preserve"> </w:t>
      </w:r>
      <w:r w:rsidRPr="0051709F">
        <w:rPr>
          <w:rFonts w:cstheme="minorHAnsi"/>
        </w:rPr>
        <w:t xml:space="preserve">han demostrado que un </w:t>
      </w:r>
      <w:r w:rsidRPr="007B667D">
        <w:rPr>
          <w:rFonts w:cstheme="minorHAnsi"/>
          <w:i/>
          <w:iCs/>
        </w:rPr>
        <w:t>"paquete de políticas de actividad física"</w:t>
      </w:r>
      <w:r w:rsidRPr="0051709F">
        <w:rPr>
          <w:rFonts w:cstheme="minorHAnsi"/>
        </w:rPr>
        <w:t xml:space="preserve"> que incluya intervenciones para la prescripción de actividad física, la inversión en transporte activo y programas basados en la </w:t>
      </w:r>
      <w:r w:rsidR="007B667D" w:rsidRPr="0051709F">
        <w:rPr>
          <w:rFonts w:cstheme="minorHAnsi"/>
        </w:rPr>
        <w:t>escuela</w:t>
      </w:r>
      <w:r w:rsidRPr="0051709F">
        <w:rPr>
          <w:rFonts w:cstheme="minorHAnsi"/>
        </w:rPr>
        <w:t xml:space="preserve"> puede dar lugar a importantes beneficios para la salud y ahorros en el gasto sanitario. Este paquete de políticas destinadas a aumentar la actividad física, aplicado en 36 países, evitaría unas 38.000 </w:t>
      </w:r>
      <w:r w:rsidR="00E77DDC">
        <w:rPr>
          <w:rFonts w:cstheme="minorHAnsi"/>
        </w:rPr>
        <w:t>enfermedades no transmisibles (ENT)</w:t>
      </w:r>
      <w:r w:rsidR="00E77DDC" w:rsidRPr="0051709F">
        <w:rPr>
          <w:rFonts w:cstheme="minorHAnsi"/>
        </w:rPr>
        <w:t xml:space="preserve"> </w:t>
      </w:r>
      <w:r w:rsidRPr="0051709F">
        <w:rPr>
          <w:rFonts w:cstheme="minorHAnsi"/>
        </w:rPr>
        <w:t xml:space="preserve">al año y ahorraría unos 14.000 millones de euros en costes sanitarios de aquí a 2050. Además, </w:t>
      </w:r>
      <w:r w:rsidR="00E77DDC">
        <w:rPr>
          <w:rFonts w:cstheme="minorHAnsi"/>
        </w:rPr>
        <w:t xml:space="preserve">y como ya se ha señalado </w:t>
      </w:r>
      <w:r w:rsidR="00E77DDC">
        <w:rPr>
          <w:rFonts w:cstheme="minorHAnsi"/>
        </w:rPr>
        <w:lastRenderedPageBreak/>
        <w:t xml:space="preserve">previamente, </w:t>
      </w:r>
      <w:r w:rsidRPr="0051709F">
        <w:rPr>
          <w:rFonts w:cstheme="minorHAnsi"/>
        </w:rPr>
        <w:t xml:space="preserve">por cada euro invertido en un paquete de políticas de actividad física, se </w:t>
      </w:r>
      <w:r w:rsidR="00E77DDC">
        <w:rPr>
          <w:rFonts w:cstheme="minorHAnsi"/>
        </w:rPr>
        <w:t>recuperan</w:t>
      </w:r>
      <w:r w:rsidR="00E77DDC" w:rsidRPr="0051709F">
        <w:rPr>
          <w:rFonts w:cstheme="minorHAnsi"/>
        </w:rPr>
        <w:t xml:space="preserve"> </w:t>
      </w:r>
      <w:r w:rsidRPr="0051709F">
        <w:rPr>
          <w:rFonts w:cstheme="minorHAnsi"/>
        </w:rPr>
        <w:t>1,7 euros en beneficios económicos (</w:t>
      </w:r>
      <w:r w:rsidR="006A52F5" w:rsidRPr="0051709F">
        <w:rPr>
          <w:rFonts w:cstheme="minorHAnsi"/>
          <w:color w:val="000000" w:themeColor="text1"/>
        </w:rPr>
        <w:t>OECD</w:t>
      </w:r>
      <w:r w:rsidRPr="0051709F">
        <w:rPr>
          <w:rFonts w:cstheme="minorHAnsi"/>
        </w:rPr>
        <w:t>, 201</w:t>
      </w:r>
      <w:r w:rsidR="00DB35C5" w:rsidRPr="0051709F">
        <w:rPr>
          <w:rFonts w:cstheme="minorHAnsi"/>
        </w:rPr>
        <w:t>8</w:t>
      </w:r>
      <w:r w:rsidRPr="0051709F">
        <w:rPr>
          <w:rFonts w:cstheme="minorHAnsi"/>
        </w:rPr>
        <w:t>).</w:t>
      </w:r>
    </w:p>
    <w:p w14:paraId="407E778E" w14:textId="77777777" w:rsidR="006B6011" w:rsidRPr="0051709F" w:rsidRDefault="006B6011" w:rsidP="006B6011">
      <w:pPr>
        <w:jc w:val="both"/>
        <w:rPr>
          <w:rFonts w:cstheme="minorHAnsi"/>
        </w:rPr>
      </w:pPr>
    </w:p>
    <w:p w14:paraId="4EBD5348" w14:textId="19264C37" w:rsidR="006B6011" w:rsidRPr="0051709F" w:rsidRDefault="006B6011" w:rsidP="006B6011">
      <w:pPr>
        <w:jc w:val="both"/>
        <w:rPr>
          <w:rFonts w:cstheme="minorHAnsi"/>
        </w:rPr>
      </w:pPr>
      <w:r w:rsidRPr="0051709F">
        <w:rPr>
          <w:rFonts w:cstheme="minorHAnsi"/>
        </w:rPr>
        <w:t xml:space="preserve">Según otro informe político relevante de la </w:t>
      </w:r>
      <w:r w:rsidR="006D4843">
        <w:rPr>
          <w:rFonts w:cstheme="minorHAnsi"/>
        </w:rPr>
        <w:t>Organización Mundial de la Salud</w:t>
      </w:r>
      <w:r w:rsidRPr="0051709F">
        <w:rPr>
          <w:rFonts w:cstheme="minorHAnsi"/>
        </w:rPr>
        <w:t xml:space="preserve"> (2021), al igual que con cualquier estrategia de salud pública, es crucial garantizar que el paquete de políticas cuente con apoyo financiero y político. Los responsables políticos deberían establecer una financiación sostenible y a largo plazo (</w:t>
      </w:r>
      <w:proofErr w:type="spellStart"/>
      <w:r w:rsidR="00191CD8" w:rsidRPr="0051709F">
        <w:rPr>
          <w:rFonts w:eastAsia="Times New Roman" w:cstheme="minorHAnsi"/>
          <w:lang w:eastAsia="es-ES"/>
        </w:rPr>
        <w:t>World</w:t>
      </w:r>
      <w:proofErr w:type="spellEnd"/>
      <w:r w:rsidR="00191CD8" w:rsidRPr="0051709F">
        <w:rPr>
          <w:rFonts w:eastAsia="Times New Roman" w:cstheme="minorHAnsi"/>
          <w:lang w:eastAsia="es-ES"/>
        </w:rPr>
        <w:t xml:space="preserve"> </w:t>
      </w:r>
      <w:proofErr w:type="spellStart"/>
      <w:r w:rsidR="00191CD8" w:rsidRPr="0051709F">
        <w:rPr>
          <w:rFonts w:eastAsia="Times New Roman" w:cstheme="minorHAnsi"/>
          <w:lang w:eastAsia="es-ES"/>
        </w:rPr>
        <w:t>Health</w:t>
      </w:r>
      <w:proofErr w:type="spellEnd"/>
      <w:r w:rsidR="00191CD8" w:rsidRPr="0051709F">
        <w:rPr>
          <w:rFonts w:eastAsia="Times New Roman" w:cstheme="minorHAnsi"/>
          <w:lang w:eastAsia="es-ES"/>
        </w:rPr>
        <w:t xml:space="preserve"> </w:t>
      </w:r>
      <w:proofErr w:type="spellStart"/>
      <w:r w:rsidR="00191CD8" w:rsidRPr="0051709F">
        <w:rPr>
          <w:rFonts w:eastAsia="Times New Roman" w:cstheme="minorHAnsi"/>
          <w:lang w:eastAsia="es-ES"/>
        </w:rPr>
        <w:t>Organization</w:t>
      </w:r>
      <w:proofErr w:type="spellEnd"/>
      <w:r w:rsidRPr="0051709F">
        <w:rPr>
          <w:rFonts w:cstheme="minorHAnsi"/>
        </w:rPr>
        <w:t>, 2021).</w:t>
      </w:r>
    </w:p>
    <w:p w14:paraId="5030E30C" w14:textId="77777777" w:rsidR="006B6011" w:rsidRPr="0051709F" w:rsidRDefault="006B6011" w:rsidP="006B6011">
      <w:pPr>
        <w:jc w:val="both"/>
        <w:rPr>
          <w:rFonts w:cstheme="minorHAnsi"/>
        </w:rPr>
      </w:pPr>
    </w:p>
    <w:p w14:paraId="7E8320CB" w14:textId="67838BB2" w:rsidR="006B6011" w:rsidRPr="00963270" w:rsidRDefault="006B6011" w:rsidP="006B6011">
      <w:pPr>
        <w:jc w:val="both"/>
        <w:rPr>
          <w:rFonts w:cstheme="minorHAnsi"/>
        </w:rPr>
      </w:pPr>
      <w:r w:rsidRPr="0051709F">
        <w:rPr>
          <w:rFonts w:cstheme="minorHAnsi"/>
        </w:rPr>
        <w:t xml:space="preserve">Además, aunque las estrategias multicomponente y multinivel son notoriamente difíciles de estudiar, debería realizarse una evaluación exhaustiva para ayudar a comprender si la estrategia funciona, qué otro impacto tiene, su valor en relación con los recursos necesarios para aplicarla, </w:t>
      </w:r>
      <w:r w:rsidRPr="00963270">
        <w:rPr>
          <w:rFonts w:cstheme="minorHAnsi"/>
        </w:rPr>
        <w:t>cómo interactúa con el contexto en el que se aplica y cómo contribuye al cambio del sistema (</w:t>
      </w:r>
      <w:proofErr w:type="spellStart"/>
      <w:r w:rsidRPr="00963270">
        <w:rPr>
          <w:rFonts w:cstheme="minorHAnsi"/>
        </w:rPr>
        <w:t>Skivington</w:t>
      </w:r>
      <w:proofErr w:type="spellEnd"/>
      <w:r w:rsidRPr="00963270">
        <w:rPr>
          <w:rFonts w:cstheme="minorHAnsi"/>
        </w:rPr>
        <w:t xml:space="preserve"> et al., 2021). Un sistema eficaz de gestión y vinculación para recopilar datos oportunos y precisos puede servir de apoyo a los estudios de evaluación.</w:t>
      </w:r>
    </w:p>
    <w:p w14:paraId="078DF8FF" w14:textId="77777777" w:rsidR="006B6011" w:rsidRPr="00963270" w:rsidRDefault="006B6011" w:rsidP="006B6011">
      <w:pPr>
        <w:jc w:val="both"/>
        <w:rPr>
          <w:rFonts w:cstheme="minorHAnsi"/>
        </w:rPr>
      </w:pPr>
    </w:p>
    <w:p w14:paraId="6C95FBD1" w14:textId="0658C630" w:rsidR="006B6011" w:rsidRPr="00963270" w:rsidRDefault="006B6011" w:rsidP="006B6011">
      <w:pPr>
        <w:jc w:val="both"/>
        <w:rPr>
          <w:rFonts w:cstheme="minorHAnsi"/>
        </w:rPr>
      </w:pPr>
      <w:r w:rsidRPr="00963270">
        <w:rPr>
          <w:rFonts w:cstheme="minorHAnsi"/>
        </w:rPr>
        <w:t>La tarea es clara: hacer de la actividad física una prioridad de salud pública para mejorar la salud y reducir la carga de las enfermedades no transmisibles (</w:t>
      </w:r>
      <w:r w:rsidR="006A52F5" w:rsidRPr="00963270">
        <w:rPr>
          <w:rFonts w:cstheme="minorHAnsi"/>
          <w:color w:val="000000" w:themeColor="text1"/>
        </w:rPr>
        <w:t xml:space="preserve">OECD </w:t>
      </w:r>
      <w:r w:rsidRPr="00963270">
        <w:rPr>
          <w:rFonts w:cstheme="minorHAnsi"/>
        </w:rPr>
        <w:t>/</w:t>
      </w:r>
      <w:r w:rsidR="006A52F5" w:rsidRPr="00963270">
        <w:rPr>
          <w:rFonts w:cstheme="minorHAnsi"/>
        </w:rPr>
        <w:t>WHO</w:t>
      </w:r>
      <w:r w:rsidRPr="00963270">
        <w:rPr>
          <w:rFonts w:cstheme="minorHAnsi"/>
        </w:rPr>
        <w:t xml:space="preserve"> Europa, 2023).</w:t>
      </w:r>
    </w:p>
    <w:p w14:paraId="50EA6F12" w14:textId="77777777" w:rsidR="006B6011" w:rsidRPr="00963270" w:rsidRDefault="006B6011" w:rsidP="006B6011">
      <w:pPr>
        <w:jc w:val="both"/>
        <w:rPr>
          <w:rFonts w:cstheme="minorHAnsi"/>
        </w:rPr>
      </w:pPr>
    </w:p>
    <w:p w14:paraId="4CB3DFFA" w14:textId="1230BCC3" w:rsidR="006B6011" w:rsidRPr="00963270" w:rsidRDefault="006B6011" w:rsidP="006B6011">
      <w:pPr>
        <w:jc w:val="both"/>
        <w:rPr>
          <w:rFonts w:cstheme="minorHAnsi"/>
        </w:rPr>
      </w:pPr>
      <w:r w:rsidRPr="00963270">
        <w:rPr>
          <w:rFonts w:cstheme="minorHAnsi"/>
        </w:rPr>
        <w:t>Sin embargo, para lograr tal objetivo queda mucho trabajo</w:t>
      </w:r>
      <w:r w:rsidR="00963270">
        <w:rPr>
          <w:rFonts w:cstheme="minorHAnsi"/>
        </w:rPr>
        <w:t xml:space="preserve"> por hacer. Como señalan Pratt et al.</w:t>
      </w:r>
      <w:r w:rsidRPr="00963270">
        <w:rPr>
          <w:rFonts w:cstheme="minorHAnsi"/>
        </w:rPr>
        <w:t xml:space="preserve"> (2015): </w:t>
      </w:r>
      <w:r w:rsidRPr="00963270">
        <w:rPr>
          <w:rFonts w:cstheme="minorHAnsi"/>
          <w:i/>
          <w:iCs/>
        </w:rPr>
        <w:t>"En lugar de quedar englobada en las estrategias para otros factores de riesgo, la inactividad física debería ser una preocupación separada e igualitaria, y debería reconocerse como una especialidad única. Un marco político sólido, una inversión coherente en programas e infraestructuras de actividad física, un apoyo multisectorial, un gran alcance poblacional y una buena vigilancia deberían caracterizar cada acción futura"</w:t>
      </w:r>
      <w:r w:rsidRPr="00963270">
        <w:rPr>
          <w:rFonts w:cstheme="minorHAnsi"/>
        </w:rPr>
        <w:t xml:space="preserve"> (Pratt et al., 2015). </w:t>
      </w:r>
    </w:p>
    <w:p w14:paraId="2BA45CE1" w14:textId="77777777" w:rsidR="006B6011" w:rsidRPr="00963270" w:rsidRDefault="006B6011" w:rsidP="006B6011">
      <w:pPr>
        <w:jc w:val="both"/>
        <w:rPr>
          <w:rFonts w:cstheme="minorHAnsi"/>
        </w:rPr>
      </w:pPr>
    </w:p>
    <w:p w14:paraId="5B8BDC28" w14:textId="7E8F3589" w:rsidR="00DF3DF5" w:rsidRPr="0051709F" w:rsidRDefault="006B6011" w:rsidP="006B6011">
      <w:pPr>
        <w:jc w:val="both"/>
        <w:rPr>
          <w:rFonts w:cstheme="minorHAnsi"/>
        </w:rPr>
      </w:pPr>
      <w:r w:rsidRPr="00963270">
        <w:rPr>
          <w:rFonts w:cstheme="minorHAnsi"/>
        </w:rPr>
        <w:t>La adaptación de las estrategias basadas en la evidencia</w:t>
      </w:r>
      <w:r w:rsidRPr="0051709F">
        <w:rPr>
          <w:rFonts w:cstheme="minorHAnsi"/>
        </w:rPr>
        <w:t xml:space="preserve"> a las necesidades, la cultura y el contexto de la comunidad es fundamental. Es poco probable que una estrategia aislada de salud pública para la actividad física tenga éxito, ya que muchas de las acciones necesarias se producen en sectores distintos de la salud pública y porque la financiación sostenida es casi imposible sin el apoyo político más amplio asociado a socios fuertes (</w:t>
      </w:r>
      <w:r w:rsidR="006A52F5" w:rsidRPr="0051709F">
        <w:rPr>
          <w:rFonts w:cstheme="minorHAnsi"/>
          <w:color w:val="000000" w:themeColor="text1"/>
        </w:rPr>
        <w:t xml:space="preserve">OECD </w:t>
      </w:r>
      <w:r w:rsidRPr="0051709F">
        <w:rPr>
          <w:rFonts w:cstheme="minorHAnsi"/>
        </w:rPr>
        <w:t>/</w:t>
      </w:r>
      <w:r w:rsidR="006A52F5" w:rsidRPr="0051709F">
        <w:rPr>
          <w:rFonts w:cstheme="minorHAnsi"/>
        </w:rPr>
        <w:t>WHO</w:t>
      </w:r>
      <w:r w:rsidRPr="0051709F">
        <w:rPr>
          <w:rFonts w:cstheme="minorHAnsi"/>
        </w:rPr>
        <w:t xml:space="preserve"> Europa, 2023).</w:t>
      </w:r>
      <w:r w:rsidR="00DF3DF5" w:rsidRPr="0051709F">
        <w:rPr>
          <w:rFonts w:cstheme="minorHAnsi"/>
        </w:rPr>
        <w:br w:type="page"/>
      </w:r>
    </w:p>
    <w:p w14:paraId="1DCFECFE" w14:textId="77777777" w:rsidR="006652A2" w:rsidRDefault="006652A2" w:rsidP="006A6D22">
      <w:pPr>
        <w:pStyle w:val="Ttulo1"/>
        <w:jc w:val="both"/>
        <w:rPr>
          <w:rFonts w:asciiTheme="minorHAnsi" w:hAnsiTheme="minorHAnsi" w:cstheme="minorHAnsi"/>
          <w:sz w:val="28"/>
          <w:szCs w:val="28"/>
        </w:rPr>
      </w:pPr>
    </w:p>
    <w:p w14:paraId="06C5EF5C" w14:textId="77777777" w:rsidR="006652A2" w:rsidRDefault="006652A2" w:rsidP="006A6D22">
      <w:pPr>
        <w:pStyle w:val="Ttulo1"/>
        <w:jc w:val="both"/>
        <w:rPr>
          <w:rFonts w:asciiTheme="minorHAnsi" w:hAnsiTheme="minorHAnsi" w:cstheme="minorHAnsi"/>
          <w:sz w:val="28"/>
          <w:szCs w:val="28"/>
        </w:rPr>
      </w:pPr>
    </w:p>
    <w:p w14:paraId="27510DE0" w14:textId="77777777" w:rsidR="006652A2" w:rsidRDefault="006652A2" w:rsidP="006A6D22">
      <w:pPr>
        <w:pStyle w:val="Ttulo1"/>
        <w:jc w:val="both"/>
        <w:rPr>
          <w:rFonts w:asciiTheme="minorHAnsi" w:hAnsiTheme="minorHAnsi" w:cstheme="minorHAnsi"/>
          <w:sz w:val="28"/>
          <w:szCs w:val="28"/>
        </w:rPr>
      </w:pPr>
    </w:p>
    <w:p w14:paraId="41B22178" w14:textId="77777777" w:rsidR="006652A2" w:rsidRDefault="006652A2" w:rsidP="006A6D22">
      <w:pPr>
        <w:pStyle w:val="Ttulo1"/>
        <w:jc w:val="both"/>
        <w:rPr>
          <w:rFonts w:asciiTheme="minorHAnsi" w:hAnsiTheme="minorHAnsi" w:cstheme="minorHAnsi"/>
          <w:sz w:val="28"/>
          <w:szCs w:val="28"/>
        </w:rPr>
      </w:pPr>
    </w:p>
    <w:p w14:paraId="411627C1" w14:textId="77777777" w:rsidR="006652A2" w:rsidRDefault="006652A2" w:rsidP="006A6D22">
      <w:pPr>
        <w:pStyle w:val="Ttulo1"/>
        <w:jc w:val="both"/>
        <w:rPr>
          <w:rFonts w:asciiTheme="minorHAnsi" w:hAnsiTheme="minorHAnsi" w:cstheme="minorHAnsi"/>
          <w:sz w:val="28"/>
          <w:szCs w:val="28"/>
        </w:rPr>
      </w:pPr>
    </w:p>
    <w:p w14:paraId="37FCF2A5" w14:textId="77777777" w:rsidR="006652A2" w:rsidRDefault="006652A2" w:rsidP="006A6D22">
      <w:pPr>
        <w:pStyle w:val="Ttulo1"/>
        <w:jc w:val="both"/>
        <w:rPr>
          <w:rFonts w:asciiTheme="minorHAnsi" w:hAnsiTheme="minorHAnsi" w:cstheme="minorHAnsi"/>
          <w:sz w:val="28"/>
          <w:szCs w:val="28"/>
        </w:rPr>
      </w:pPr>
    </w:p>
    <w:p w14:paraId="4D013DAC" w14:textId="77777777" w:rsidR="006652A2" w:rsidRDefault="006652A2" w:rsidP="006A6D22">
      <w:pPr>
        <w:pStyle w:val="Ttulo1"/>
        <w:jc w:val="both"/>
        <w:rPr>
          <w:rFonts w:asciiTheme="minorHAnsi" w:hAnsiTheme="minorHAnsi" w:cstheme="minorHAnsi"/>
          <w:sz w:val="28"/>
          <w:szCs w:val="28"/>
        </w:rPr>
      </w:pPr>
    </w:p>
    <w:p w14:paraId="1A41A007" w14:textId="77777777" w:rsidR="006652A2" w:rsidRDefault="006652A2" w:rsidP="006A6D22">
      <w:pPr>
        <w:pStyle w:val="Ttulo1"/>
        <w:jc w:val="both"/>
        <w:rPr>
          <w:rFonts w:asciiTheme="minorHAnsi" w:hAnsiTheme="minorHAnsi" w:cstheme="minorHAnsi"/>
          <w:sz w:val="28"/>
          <w:szCs w:val="28"/>
        </w:rPr>
      </w:pPr>
    </w:p>
    <w:p w14:paraId="6E93FF0C" w14:textId="77777777" w:rsidR="006652A2" w:rsidRDefault="006652A2" w:rsidP="006A6D22">
      <w:pPr>
        <w:pStyle w:val="Ttulo1"/>
        <w:jc w:val="both"/>
        <w:rPr>
          <w:rFonts w:asciiTheme="minorHAnsi" w:hAnsiTheme="minorHAnsi" w:cstheme="minorHAnsi"/>
          <w:sz w:val="28"/>
          <w:szCs w:val="28"/>
        </w:rPr>
      </w:pPr>
    </w:p>
    <w:p w14:paraId="78CAB2D9" w14:textId="77777777" w:rsidR="006652A2" w:rsidRDefault="006652A2" w:rsidP="006A6D22">
      <w:pPr>
        <w:pStyle w:val="Ttulo1"/>
        <w:jc w:val="both"/>
        <w:rPr>
          <w:rFonts w:asciiTheme="minorHAnsi" w:hAnsiTheme="minorHAnsi" w:cstheme="minorHAnsi"/>
          <w:sz w:val="28"/>
          <w:szCs w:val="28"/>
        </w:rPr>
      </w:pPr>
    </w:p>
    <w:p w14:paraId="06F95D31" w14:textId="77777777" w:rsidR="006652A2" w:rsidRDefault="006652A2" w:rsidP="006A6D22">
      <w:pPr>
        <w:pStyle w:val="Ttulo1"/>
        <w:jc w:val="both"/>
        <w:rPr>
          <w:rFonts w:asciiTheme="minorHAnsi" w:hAnsiTheme="minorHAnsi" w:cstheme="minorHAnsi"/>
          <w:sz w:val="28"/>
          <w:szCs w:val="28"/>
        </w:rPr>
      </w:pPr>
    </w:p>
    <w:p w14:paraId="5F2733FA" w14:textId="77777777" w:rsidR="006652A2" w:rsidRDefault="006652A2" w:rsidP="006A6D22">
      <w:pPr>
        <w:pStyle w:val="Ttulo1"/>
        <w:jc w:val="both"/>
        <w:rPr>
          <w:rFonts w:asciiTheme="minorHAnsi" w:hAnsiTheme="minorHAnsi" w:cstheme="minorHAnsi"/>
          <w:sz w:val="28"/>
          <w:szCs w:val="28"/>
        </w:rPr>
      </w:pPr>
    </w:p>
    <w:p w14:paraId="190BFF94" w14:textId="77777777" w:rsidR="006652A2" w:rsidRDefault="006652A2" w:rsidP="006652A2"/>
    <w:p w14:paraId="6A5795E2" w14:textId="77777777" w:rsidR="006652A2" w:rsidRDefault="006652A2" w:rsidP="006652A2"/>
    <w:p w14:paraId="413A37A2" w14:textId="77777777" w:rsidR="006652A2" w:rsidRPr="006652A2" w:rsidRDefault="006652A2" w:rsidP="006652A2"/>
    <w:p w14:paraId="30405EEA" w14:textId="77777777" w:rsidR="006652A2" w:rsidRDefault="006652A2" w:rsidP="006652A2">
      <w:pPr>
        <w:pStyle w:val="Ttulo1"/>
        <w:jc w:val="right"/>
        <w:rPr>
          <w:rFonts w:asciiTheme="minorHAnsi" w:hAnsiTheme="minorHAnsi" w:cstheme="minorHAnsi"/>
        </w:rPr>
      </w:pPr>
      <w:r w:rsidRPr="006652A2">
        <w:rPr>
          <w:rFonts w:asciiTheme="minorHAnsi" w:hAnsiTheme="minorHAnsi" w:cstheme="minorHAnsi"/>
        </w:rPr>
        <w:t xml:space="preserve">#3. Contexto internacional: </w:t>
      </w:r>
    </w:p>
    <w:p w14:paraId="219D4DE1" w14:textId="77777777" w:rsidR="006652A2" w:rsidRDefault="006652A2" w:rsidP="006652A2">
      <w:pPr>
        <w:pStyle w:val="Ttulo1"/>
        <w:jc w:val="right"/>
        <w:rPr>
          <w:rFonts w:asciiTheme="minorHAnsi" w:hAnsiTheme="minorHAnsi" w:cstheme="minorHAnsi"/>
        </w:rPr>
      </w:pPr>
      <w:r w:rsidRPr="006652A2">
        <w:rPr>
          <w:rFonts w:asciiTheme="minorHAnsi" w:hAnsiTheme="minorHAnsi" w:cstheme="minorHAnsi"/>
        </w:rPr>
        <w:t xml:space="preserve">Estrategias nacionales contra el sedentarismo </w:t>
      </w:r>
    </w:p>
    <w:p w14:paraId="01E7EC16" w14:textId="77777777" w:rsidR="006652A2" w:rsidRDefault="006652A2" w:rsidP="006652A2">
      <w:pPr>
        <w:pStyle w:val="Ttulo1"/>
        <w:jc w:val="right"/>
        <w:rPr>
          <w:rFonts w:asciiTheme="minorHAnsi" w:hAnsiTheme="minorHAnsi" w:cstheme="minorHAnsi"/>
        </w:rPr>
      </w:pPr>
      <w:r w:rsidRPr="006652A2">
        <w:rPr>
          <w:rFonts w:asciiTheme="minorHAnsi" w:hAnsiTheme="minorHAnsi" w:cstheme="minorHAnsi"/>
        </w:rPr>
        <w:t xml:space="preserve">y la inactividad física en los países miembros </w:t>
      </w:r>
    </w:p>
    <w:p w14:paraId="1FA4A3D6" w14:textId="2A07A23E" w:rsidR="006652A2" w:rsidRPr="006652A2" w:rsidRDefault="006652A2" w:rsidP="006652A2">
      <w:pPr>
        <w:pStyle w:val="Ttulo1"/>
        <w:jc w:val="right"/>
        <w:rPr>
          <w:rFonts w:asciiTheme="minorHAnsi" w:hAnsiTheme="minorHAnsi" w:cstheme="minorHAnsi"/>
        </w:rPr>
      </w:pPr>
      <w:r w:rsidRPr="006652A2">
        <w:rPr>
          <w:rFonts w:asciiTheme="minorHAnsi" w:hAnsiTheme="minorHAnsi" w:cstheme="minorHAnsi"/>
        </w:rPr>
        <w:t>de la Unión Europea</w:t>
      </w:r>
    </w:p>
    <w:p w14:paraId="0A2E12A0" w14:textId="77777777" w:rsidR="006652A2" w:rsidRPr="006652A2" w:rsidRDefault="006652A2" w:rsidP="006652A2">
      <w:pPr>
        <w:jc w:val="right"/>
        <w:rPr>
          <w:rFonts w:cstheme="minorHAnsi"/>
          <w:b/>
          <w:color w:val="2E74B5" w:themeColor="accent5" w:themeShade="BF"/>
          <w:sz w:val="32"/>
          <w:szCs w:val="32"/>
        </w:rPr>
      </w:pPr>
    </w:p>
    <w:p w14:paraId="27C99F6C" w14:textId="77777777" w:rsidR="006652A2" w:rsidRDefault="006652A2" w:rsidP="006A6D22">
      <w:pPr>
        <w:pStyle w:val="Ttulo1"/>
        <w:jc w:val="both"/>
        <w:rPr>
          <w:rFonts w:asciiTheme="minorHAnsi" w:hAnsiTheme="minorHAnsi" w:cstheme="minorHAnsi"/>
          <w:sz w:val="28"/>
          <w:szCs w:val="28"/>
        </w:rPr>
      </w:pPr>
    </w:p>
    <w:p w14:paraId="797DEAC8" w14:textId="77777777" w:rsidR="006652A2" w:rsidRDefault="006652A2" w:rsidP="006A6D22">
      <w:pPr>
        <w:pStyle w:val="Ttulo1"/>
        <w:jc w:val="both"/>
        <w:rPr>
          <w:rFonts w:asciiTheme="minorHAnsi" w:hAnsiTheme="minorHAnsi" w:cstheme="minorHAnsi"/>
          <w:sz w:val="28"/>
          <w:szCs w:val="28"/>
        </w:rPr>
      </w:pPr>
    </w:p>
    <w:p w14:paraId="31950AED" w14:textId="77777777" w:rsidR="006652A2" w:rsidRDefault="006652A2" w:rsidP="006A6D22">
      <w:pPr>
        <w:pStyle w:val="Ttulo1"/>
        <w:jc w:val="both"/>
        <w:rPr>
          <w:rFonts w:asciiTheme="minorHAnsi" w:hAnsiTheme="minorHAnsi" w:cstheme="minorHAnsi"/>
          <w:sz w:val="28"/>
          <w:szCs w:val="28"/>
        </w:rPr>
      </w:pPr>
    </w:p>
    <w:p w14:paraId="7A91494D" w14:textId="77777777" w:rsidR="006652A2" w:rsidRDefault="006652A2" w:rsidP="006652A2"/>
    <w:p w14:paraId="0A68E604" w14:textId="77777777" w:rsidR="006652A2" w:rsidRDefault="006652A2" w:rsidP="006652A2"/>
    <w:p w14:paraId="217782A0" w14:textId="77777777" w:rsidR="006652A2" w:rsidRPr="006652A2" w:rsidRDefault="006652A2" w:rsidP="006652A2"/>
    <w:p w14:paraId="3180E50F" w14:textId="130A40A0" w:rsidR="00DA5768" w:rsidRPr="005145E0" w:rsidRDefault="00380C49" w:rsidP="006A6D22">
      <w:pPr>
        <w:pStyle w:val="Ttulo1"/>
        <w:jc w:val="both"/>
        <w:rPr>
          <w:rFonts w:asciiTheme="minorHAnsi" w:hAnsiTheme="minorHAnsi" w:cstheme="minorHAnsi"/>
          <w:sz w:val="28"/>
          <w:szCs w:val="28"/>
        </w:rPr>
      </w:pPr>
      <w:r w:rsidRPr="005145E0">
        <w:rPr>
          <w:rFonts w:asciiTheme="minorHAnsi" w:hAnsiTheme="minorHAnsi" w:cstheme="minorHAnsi"/>
          <w:sz w:val="28"/>
          <w:szCs w:val="28"/>
        </w:rPr>
        <w:lastRenderedPageBreak/>
        <w:t>#</w:t>
      </w:r>
      <w:r w:rsidR="00DB38F6" w:rsidRPr="005145E0">
        <w:rPr>
          <w:rFonts w:asciiTheme="minorHAnsi" w:hAnsiTheme="minorHAnsi" w:cstheme="minorHAnsi"/>
          <w:sz w:val="28"/>
          <w:szCs w:val="28"/>
        </w:rPr>
        <w:t>3</w:t>
      </w:r>
      <w:r w:rsidRPr="005145E0">
        <w:rPr>
          <w:rFonts w:asciiTheme="minorHAnsi" w:hAnsiTheme="minorHAnsi" w:cstheme="minorHAnsi"/>
          <w:sz w:val="28"/>
          <w:szCs w:val="28"/>
        </w:rPr>
        <w:t xml:space="preserve">. </w:t>
      </w:r>
      <w:r w:rsidR="00DA5768" w:rsidRPr="005145E0">
        <w:rPr>
          <w:rFonts w:asciiTheme="minorHAnsi" w:hAnsiTheme="minorHAnsi" w:cstheme="minorHAnsi"/>
          <w:sz w:val="28"/>
          <w:szCs w:val="28"/>
        </w:rPr>
        <w:t>Contexto internacional: Estrategias nacionales contra el sedentarismo y la inactividad física en los países miembros de la Unión Europea</w:t>
      </w:r>
    </w:p>
    <w:p w14:paraId="38E04FFC" w14:textId="77777777" w:rsidR="00DA5768" w:rsidRPr="0051709F" w:rsidRDefault="00DA5768" w:rsidP="00DA5768">
      <w:pPr>
        <w:jc w:val="both"/>
        <w:rPr>
          <w:rFonts w:cstheme="minorHAnsi"/>
          <w:b/>
          <w:color w:val="2E74B5" w:themeColor="accent5" w:themeShade="BF"/>
        </w:rPr>
      </w:pPr>
    </w:p>
    <w:p w14:paraId="3BCC4E9B" w14:textId="3C9328DF" w:rsidR="00F63AB7" w:rsidRPr="0051709F" w:rsidRDefault="00F63AB7" w:rsidP="00F63AB7">
      <w:pPr>
        <w:jc w:val="both"/>
        <w:rPr>
          <w:rFonts w:cstheme="minorHAnsi"/>
        </w:rPr>
      </w:pPr>
      <w:r w:rsidRPr="0051709F">
        <w:rPr>
          <w:rFonts w:cstheme="minorHAnsi"/>
        </w:rPr>
        <w:t xml:space="preserve">En 2013 se publica la </w:t>
      </w:r>
      <w:proofErr w:type="spellStart"/>
      <w:r w:rsidRPr="0051709F">
        <w:rPr>
          <w:rFonts w:cstheme="minorHAnsi"/>
          <w:i/>
        </w:rPr>
        <w:t>Vienna</w:t>
      </w:r>
      <w:proofErr w:type="spellEnd"/>
      <w:r w:rsidRPr="0051709F">
        <w:rPr>
          <w:rFonts w:cstheme="minorHAnsi"/>
          <w:i/>
        </w:rPr>
        <w:t xml:space="preserve"> </w:t>
      </w:r>
      <w:proofErr w:type="spellStart"/>
      <w:r w:rsidRPr="0051709F">
        <w:rPr>
          <w:rFonts w:cstheme="minorHAnsi"/>
          <w:i/>
        </w:rPr>
        <w:t>Declaration</w:t>
      </w:r>
      <w:proofErr w:type="spellEnd"/>
      <w:r w:rsidRPr="0051709F">
        <w:rPr>
          <w:rFonts w:cstheme="minorHAnsi"/>
          <w:i/>
        </w:rPr>
        <w:t xml:space="preserve"> </w:t>
      </w:r>
      <w:proofErr w:type="spellStart"/>
      <w:r w:rsidRPr="0051709F">
        <w:rPr>
          <w:rFonts w:cstheme="minorHAnsi"/>
          <w:i/>
        </w:rPr>
        <w:t>on</w:t>
      </w:r>
      <w:proofErr w:type="spellEnd"/>
      <w:r w:rsidRPr="0051709F">
        <w:rPr>
          <w:rFonts w:cstheme="minorHAnsi"/>
          <w:i/>
        </w:rPr>
        <w:t xml:space="preserve"> </w:t>
      </w:r>
      <w:proofErr w:type="spellStart"/>
      <w:r w:rsidRPr="0051709F">
        <w:rPr>
          <w:rFonts w:cstheme="minorHAnsi"/>
          <w:i/>
        </w:rPr>
        <w:t>Nutrition</w:t>
      </w:r>
      <w:proofErr w:type="spellEnd"/>
      <w:r w:rsidRPr="0051709F">
        <w:rPr>
          <w:rFonts w:cstheme="minorHAnsi"/>
          <w:i/>
        </w:rPr>
        <w:t xml:space="preserve"> and </w:t>
      </w:r>
      <w:proofErr w:type="spellStart"/>
      <w:r w:rsidRPr="0051709F">
        <w:rPr>
          <w:rFonts w:cstheme="minorHAnsi"/>
          <w:i/>
        </w:rPr>
        <w:t>NCDs</w:t>
      </w:r>
      <w:proofErr w:type="spellEnd"/>
      <w:r w:rsidRPr="0051709F">
        <w:rPr>
          <w:rFonts w:cstheme="minorHAnsi"/>
          <w:i/>
        </w:rPr>
        <w:t xml:space="preserve"> in </w:t>
      </w:r>
      <w:proofErr w:type="spellStart"/>
      <w:r w:rsidRPr="0051709F">
        <w:rPr>
          <w:rFonts w:cstheme="minorHAnsi"/>
          <w:i/>
        </w:rPr>
        <w:t>the</w:t>
      </w:r>
      <w:proofErr w:type="spellEnd"/>
      <w:r w:rsidRPr="0051709F">
        <w:rPr>
          <w:rFonts w:cstheme="minorHAnsi"/>
          <w:i/>
        </w:rPr>
        <w:t xml:space="preserve"> </w:t>
      </w:r>
      <w:proofErr w:type="spellStart"/>
      <w:r w:rsidRPr="0051709F">
        <w:rPr>
          <w:rFonts w:cstheme="minorHAnsi"/>
          <w:i/>
        </w:rPr>
        <w:t>context</w:t>
      </w:r>
      <w:proofErr w:type="spellEnd"/>
      <w:r w:rsidRPr="0051709F">
        <w:rPr>
          <w:rFonts w:cstheme="minorHAnsi"/>
          <w:i/>
        </w:rPr>
        <w:t xml:space="preserve"> </w:t>
      </w:r>
      <w:proofErr w:type="spellStart"/>
      <w:r w:rsidRPr="0051709F">
        <w:rPr>
          <w:rFonts w:cstheme="minorHAnsi"/>
          <w:i/>
        </w:rPr>
        <w:t>of</w:t>
      </w:r>
      <w:proofErr w:type="spellEnd"/>
      <w:r w:rsidRPr="0051709F">
        <w:rPr>
          <w:rFonts w:cstheme="minorHAnsi"/>
          <w:i/>
        </w:rPr>
        <w:t xml:space="preserve"> </w:t>
      </w:r>
      <w:proofErr w:type="spellStart"/>
      <w:r w:rsidRPr="0051709F">
        <w:rPr>
          <w:rFonts w:cstheme="minorHAnsi"/>
          <w:i/>
        </w:rPr>
        <w:t>Health</w:t>
      </w:r>
      <w:proofErr w:type="spellEnd"/>
      <w:r w:rsidRPr="0051709F">
        <w:rPr>
          <w:rFonts w:cstheme="minorHAnsi"/>
          <w:i/>
        </w:rPr>
        <w:t xml:space="preserve"> 2020, </w:t>
      </w:r>
      <w:r w:rsidRPr="0051709F">
        <w:rPr>
          <w:rFonts w:cstheme="minorHAnsi"/>
        </w:rPr>
        <w:t xml:space="preserve">la cual persigue el desarrollo de estrategias independientes para la promoción de la actividad física en la Unión Europea </w:t>
      </w:r>
      <w:r w:rsidRPr="0051709F">
        <w:rPr>
          <w:rFonts w:cstheme="minorHAnsi"/>
        </w:rPr>
        <w:fldChar w:fldCharType="begin" w:fldLock="1"/>
      </w:r>
      <w:r w:rsidRPr="0051709F">
        <w:rPr>
          <w:rFonts w:cstheme="minorHAnsi"/>
        </w:rPr>
        <w:instrText>ADDIN CSL_CITATION {"citationItems":[{"id":"ITEM-1","itemData":{"author":[{"dropping-particle":"","family":"World Health Organization","given":"","non-dropping-particle":"","parse-names":false,"suffix":""}],"container-title":"WHO Ministerial Conference on Nutrition and Noncommunicable Diseases in the Context of Health 2020","id":"ITEM-1","issued":{"date-parts":[["2013"]]},"page":"1-6","publisher-place":"Copenhagen","title":"Vienna declaration on nutrition and noncommunicable diseases in the context of health 2020","type":"paper-conference"},"uris":["http://www.mendeley.com/documents/?uuid=972658ce-7f85-4cda-b53a-96e2684face4"]}],"mendeley":{"formattedCitation":"(World Health Organization, 2013)","plainTextFormattedCitation":"(World Health Organization, 2013)","previouslyFormattedCitation":"(World Health Organization, 2013)"},"properties":{"noteIndex":0},"schema":"https://github.com/citation-style-language/schema/raw/master/csl-citation.json"}</w:instrText>
      </w:r>
      <w:r w:rsidRPr="0051709F">
        <w:rPr>
          <w:rFonts w:cstheme="minorHAnsi"/>
        </w:rPr>
        <w:fldChar w:fldCharType="separate"/>
      </w:r>
      <w:r w:rsidRPr="0051709F">
        <w:rPr>
          <w:rFonts w:cstheme="minorHAnsi"/>
          <w:noProof/>
        </w:rPr>
        <w:t>(World Health Organization, 2013)</w:t>
      </w:r>
      <w:r w:rsidRPr="0051709F">
        <w:rPr>
          <w:rFonts w:cstheme="minorHAnsi"/>
        </w:rPr>
        <w:fldChar w:fldCharType="end"/>
      </w:r>
      <w:r w:rsidRPr="0051709F">
        <w:rPr>
          <w:rFonts w:cstheme="minorHAnsi"/>
        </w:rPr>
        <w:t xml:space="preserve">. Hasta entonces, casi ninguna política europea reconocía la actividad física y el deporte como un sector independiente, sino que se incluía como un subapartado en políticas de salud </w:t>
      </w:r>
      <w:r w:rsidRPr="0051709F">
        <w:rPr>
          <w:rFonts w:cstheme="minorHAnsi"/>
        </w:rPr>
        <w:fldChar w:fldCharType="begin" w:fldLock="1"/>
      </w:r>
      <w:r w:rsidRPr="0051709F">
        <w:rPr>
          <w:rFonts w:cstheme="minorHAnsi"/>
        </w:rPr>
        <w:instrText>ADDIN CSL_CITATION {"citationItems":[{"id":"ITEM-1","itemData":{"DOI":"10.34172/IJHPM.2021.95","author":[{"dropping-particle":"","family":"Gelius","given":"P","non-dropping-particle":"","parse-names":false,"suffix":""},{"dropping-particle":"","family":"Messing","given":"S","non-dropping-particle":"","parse-names":false,"suffix":""},{"dropping-particle":"","family":"Tcymbal","given":"A","non-dropping-particle":"","parse-names":false,"suffix":""},{"dropping-particle":"","family":"Whiting","given":"S","non-dropping-particle":"","parse-names":false,"suffix":""},{"dropping-particle":"","family":"Breda","given":"J","non-dropping-particle":"","parse-names":false,"suffix":""},{"dropping-particle":"","family":"Abu-Omar","given":"K","non-dropping-particle":"","parse-names":false,"suffix":""}],"container-title":"International Journal of Health Policy and Management","id":"ITEM-1","issue":"9","issued":{"date-parts":[["2022"]]},"page":"1863-1873","title":"Policy instruments for health promotion: a comparison of WHO policy guidance for tobacco, alcohol, nutrition and physical activity.","type":"article-journal","volume":"11"},"uris":["http://www.mendeley.com/documents/?uuid=289f5bf4-6950-467c-8e15-b82d66e27e41"]}],"mendeley":{"formattedCitation":"(Gelius et al., 2022)","plainTextFormattedCitation":"(Gelius et al., 2022)","previouslyFormattedCitation":"(Gelius et al., 2022)"},"properties":{"noteIndex":0},"schema":"https://github.com/citation-style-language/schema/raw/master/csl-citation.json"}</w:instrText>
      </w:r>
      <w:r w:rsidRPr="0051709F">
        <w:rPr>
          <w:rFonts w:cstheme="minorHAnsi"/>
        </w:rPr>
        <w:fldChar w:fldCharType="separate"/>
      </w:r>
      <w:r w:rsidRPr="0051709F">
        <w:rPr>
          <w:rFonts w:cstheme="minorHAnsi"/>
          <w:noProof/>
        </w:rPr>
        <w:t>(Gelius et al., 2022)</w:t>
      </w:r>
      <w:r w:rsidRPr="0051709F">
        <w:rPr>
          <w:rFonts w:cstheme="minorHAnsi"/>
        </w:rPr>
        <w:fldChar w:fldCharType="end"/>
      </w:r>
      <w:r w:rsidRPr="0051709F">
        <w:rPr>
          <w:rFonts w:cstheme="minorHAnsi"/>
        </w:rPr>
        <w:t>.</w:t>
      </w:r>
    </w:p>
    <w:p w14:paraId="27F05D56" w14:textId="77777777" w:rsidR="00F63AB7" w:rsidRPr="0051709F" w:rsidRDefault="00F63AB7" w:rsidP="00F63AB7">
      <w:pPr>
        <w:jc w:val="both"/>
        <w:rPr>
          <w:rFonts w:cstheme="minorHAnsi"/>
        </w:rPr>
      </w:pPr>
    </w:p>
    <w:p w14:paraId="77473767" w14:textId="53028F29" w:rsidR="00F63AB7" w:rsidRPr="0051709F" w:rsidRDefault="00F63AB7" w:rsidP="00F63AB7">
      <w:pPr>
        <w:jc w:val="both"/>
        <w:rPr>
          <w:rFonts w:cstheme="minorHAnsi"/>
        </w:rPr>
      </w:pPr>
      <w:r w:rsidRPr="0051709F">
        <w:rPr>
          <w:rFonts w:cstheme="minorHAnsi"/>
        </w:rPr>
        <w:t xml:space="preserve">En 2014, la Comisión Europea estableció la </w:t>
      </w:r>
      <w:r w:rsidRPr="0051709F">
        <w:rPr>
          <w:rFonts w:cstheme="minorHAnsi"/>
          <w:i/>
        </w:rPr>
        <w:t xml:space="preserve">EU </w:t>
      </w:r>
      <w:proofErr w:type="spellStart"/>
      <w:r w:rsidRPr="0051709F">
        <w:rPr>
          <w:rFonts w:cstheme="minorHAnsi"/>
          <w:i/>
        </w:rPr>
        <w:t>Physical</w:t>
      </w:r>
      <w:proofErr w:type="spellEnd"/>
      <w:r w:rsidRPr="0051709F">
        <w:rPr>
          <w:rFonts w:cstheme="minorHAnsi"/>
          <w:i/>
        </w:rPr>
        <w:t xml:space="preserve"> </w:t>
      </w:r>
      <w:proofErr w:type="spellStart"/>
      <w:r w:rsidRPr="0051709F">
        <w:rPr>
          <w:rFonts w:cstheme="minorHAnsi"/>
          <w:i/>
        </w:rPr>
        <w:t>Activity</w:t>
      </w:r>
      <w:proofErr w:type="spellEnd"/>
      <w:r w:rsidRPr="0051709F">
        <w:rPr>
          <w:rFonts w:cstheme="minorHAnsi"/>
          <w:i/>
        </w:rPr>
        <w:t xml:space="preserve"> Focal </w:t>
      </w:r>
      <w:proofErr w:type="spellStart"/>
      <w:r w:rsidRPr="0051709F">
        <w:rPr>
          <w:rFonts w:cstheme="minorHAnsi"/>
          <w:i/>
        </w:rPr>
        <w:t>Points</w:t>
      </w:r>
      <w:proofErr w:type="spellEnd"/>
      <w:r w:rsidRPr="0051709F">
        <w:rPr>
          <w:rFonts w:cstheme="minorHAnsi"/>
          <w:i/>
        </w:rPr>
        <w:t xml:space="preserve"> Network</w:t>
      </w:r>
      <w:r w:rsidRPr="0051709F">
        <w:rPr>
          <w:rFonts w:cstheme="minorHAnsi"/>
        </w:rPr>
        <w:t xml:space="preserve"> para evaluar la implementación de las políticas HEPA </w:t>
      </w:r>
      <w:r w:rsidR="001B1885" w:rsidRPr="0051709F">
        <w:rPr>
          <w:rFonts w:cstheme="minorHAnsi"/>
        </w:rPr>
        <w:t xml:space="preserve"> en los E</w:t>
      </w:r>
      <w:r w:rsidRPr="0051709F">
        <w:rPr>
          <w:rFonts w:cstheme="minorHAnsi"/>
        </w:rPr>
        <w:t xml:space="preserve">stados miembro </w:t>
      </w:r>
      <w:r w:rsidRPr="0051709F">
        <w:rPr>
          <w:rFonts w:cstheme="minorHAnsi"/>
        </w:rPr>
        <w:fldChar w:fldCharType="begin" w:fldLock="1"/>
      </w:r>
      <w:r w:rsidRPr="0051709F">
        <w:rPr>
          <w:rFonts w:cstheme="minorHAnsi"/>
        </w:rPr>
        <w:instrText>ADDIN CSL_CITATION {"citationItems":[{"id":"ITEM-1","itemData":{"author":[{"dropping-particle":"","family":"European Commission","given":"","non-dropping-particle":"","parse-names":false,"suffix":""}],"id":"ITEM-1","issued":{"date-parts":[["2013"]]},"publisher":"European Commission","publisher-place":"Brussels","title":"Comission staff working document. A monitoring framework for the implementation of policies to promote health enhancing physical activity (HEPA)","type":"article"},"uris":["http://www.mendeley.com/documents/?uuid=c5eb5b77-7842-4b5f-a214-5c4ce29ba269"]}],"mendeley":{"formattedCitation":"(European Commission, 2013)","plainTextFormattedCitation":"(European Commission, 2013)","previouslyFormattedCitation":"(European Commission, 2013)"},"properties":{"noteIndex":0},"schema":"https://github.com/citation-style-language/schema/raw/master/csl-citation.json"}</w:instrText>
      </w:r>
      <w:r w:rsidRPr="0051709F">
        <w:rPr>
          <w:rFonts w:cstheme="minorHAnsi"/>
        </w:rPr>
        <w:fldChar w:fldCharType="separate"/>
      </w:r>
      <w:r w:rsidRPr="0051709F">
        <w:rPr>
          <w:rFonts w:cstheme="minorHAnsi"/>
          <w:noProof/>
        </w:rPr>
        <w:t>(European Commission, 2013)</w:t>
      </w:r>
      <w:r w:rsidRPr="0051709F">
        <w:rPr>
          <w:rFonts w:cstheme="minorHAnsi"/>
        </w:rPr>
        <w:fldChar w:fldCharType="end"/>
      </w:r>
      <w:r w:rsidR="00476DFE">
        <w:rPr>
          <w:rFonts w:cstheme="minorHAnsi"/>
        </w:rPr>
        <w:t>,</w:t>
      </w:r>
      <w:r w:rsidRPr="0051709F">
        <w:rPr>
          <w:rFonts w:cstheme="minorHAnsi"/>
        </w:rPr>
        <w:t xml:space="preserve"> y en 2015 y 2018 se lanzó un cuestionario </w:t>
      </w:r>
      <w:r w:rsidR="00476DFE">
        <w:rPr>
          <w:rFonts w:cstheme="minorHAnsi"/>
        </w:rPr>
        <w:t xml:space="preserve">a </w:t>
      </w:r>
      <w:r w:rsidRPr="0051709F">
        <w:rPr>
          <w:rFonts w:cstheme="minorHAnsi"/>
        </w:rPr>
        <w:t xml:space="preserve">cada </w:t>
      </w:r>
      <w:r w:rsidR="00476DFE">
        <w:rPr>
          <w:rFonts w:cstheme="minorHAnsi"/>
        </w:rPr>
        <w:t>Estado</w:t>
      </w:r>
      <w:r w:rsidR="00476DFE" w:rsidRPr="0051709F">
        <w:rPr>
          <w:rFonts w:cstheme="minorHAnsi"/>
        </w:rPr>
        <w:t xml:space="preserve"> </w:t>
      </w:r>
      <w:r w:rsidRPr="0051709F">
        <w:rPr>
          <w:rFonts w:cstheme="minorHAnsi"/>
        </w:rPr>
        <w:t xml:space="preserve">para recopilar información sobre los 23 indicadores desarrollados por la </w:t>
      </w:r>
      <w:r w:rsidR="001B1885" w:rsidRPr="0051709F">
        <w:rPr>
          <w:rFonts w:cstheme="minorHAnsi"/>
        </w:rPr>
        <w:t>C</w:t>
      </w:r>
      <w:r w:rsidRPr="0051709F">
        <w:rPr>
          <w:rFonts w:cstheme="minorHAnsi"/>
        </w:rPr>
        <w:t xml:space="preserve">omisión  </w:t>
      </w:r>
      <w:r w:rsidRPr="0051709F">
        <w:rPr>
          <w:rFonts w:cstheme="minorHAnsi"/>
        </w:rPr>
        <w:fldChar w:fldCharType="begin" w:fldLock="1"/>
      </w:r>
      <w:r w:rsidRPr="0051709F">
        <w:rPr>
          <w:rFonts w:cstheme="minorHAnsi"/>
        </w:rPr>
        <w:instrText>ADDIN CSL_CITATION {"citationItems":[{"id":"ITEM-1","itemData":{"DOI":"https://doi.org/10.1016/j.healthpol.2021.05.011","author":[{"dropping-particle":"","family":"Whiting","given":"S","non-dropping-particle":"","parse-names":false,"suffix":""},{"dropping-particle":"","family":"Mendes","given":"R","non-dropping-particle":"","parse-names":false,"suffix":""},{"dropping-particle":"","family":"Morais","given":"ST","non-dropping-particle":"","parse-names":false,"suffix":""},{"dropping-particle":"","family":"Gelius","given":"P","non-dropping-particle":"","parse-names":false,"suffix":""},{"dropping-particle":"","family":"Abu-Omar","given":"K","non-dropping-particle":"","parse-names":false,"suffix":""},{"dropping-particle":"","family":"Nash","given":"L ...","non-dropping-particle":"","parse-names":false,"suffix":""},{"dropping-particle":"","family":"Breda","given":"J","non-dropping-particle":"","parse-names":false,"suffix":""}],"container-title":"Health Policy","id":"ITEM-1","issue":"8","issued":{"date-parts":[["2021"]]},"page":"1023-1030.","title":"Promoting health-enhancing physical activity in Europe: surveillance, policy development and implementation 2015–2018.","type":"article-journal","volume":"125"},"uris":["http://www.mendeley.com/documents/?uuid=b1fa0a8b-8f34-449a-b75b-59498393f46a"]},{"id":"ITEM-2","itemData":{"DOI":"https://doi.org/10.1016/j.healthpol.2018.01.015","author":[{"dropping-particle":"","family":"Breda","given":"J","non-dropping-particle":"","parse-names":false,"suffix":""},{"dropping-particle":"","family":"Jakovljevic","given":"J","non-dropping-particle":"","parse-names":false,"suffix":""},{"dropping-particle":"","family":"Rathmes","given":"G","non-dropping-particle":"","parse-names":false,"suffix":""},{"dropping-particle":"","family":"Mendes","given":"R","non-dropping-particle":"","parse-names":false,"suffix":""},{"dropping-particle":"","family":"Fontaine","given":"O","non-dropping-particle":"","parse-names":false,"suffix":""},{"dropping-particle":"","family":"Hollmann","given":"S...","non-dropping-particle":"","parse-names":false,"suffix":""},{"dropping-particle":"","family":"Galea","given":"G","non-dropping-particle":"","parse-names":false,"suffix":""}],"container-title":"Health Policy","id":"ITEM-2","issue":"5","issued":{"date-parts":[["2018"]]},"page":"519-527","title":"Promoting health-enhancing physical activity in Europe: Current state of surveillance, policy development and implementation.","type":"article-journal","volume":"122"},"uris":["http://www.mendeley.com/documents/?uuid=6b54e631-2970-436b-90c1-c04c281f7b6e"]}],"mendeley":{"formattedCitation":"(Breda et al., 2018; Whiting et al., 2021)","plainTextFormattedCitation":"(Breda et al., 2018; Whiting et al., 2021)","previouslyFormattedCitation":"(Breda et al., 2018; Whiting et al., 2021)"},"properties":{"noteIndex":0},"schema":"https://github.com/citation-style-language/schema/raw/master/csl-citation.json"}</w:instrText>
      </w:r>
      <w:r w:rsidRPr="0051709F">
        <w:rPr>
          <w:rFonts w:cstheme="minorHAnsi"/>
        </w:rPr>
        <w:fldChar w:fldCharType="separate"/>
      </w:r>
      <w:r w:rsidRPr="0051709F">
        <w:rPr>
          <w:rFonts w:cstheme="minorHAnsi"/>
          <w:noProof/>
        </w:rPr>
        <w:t>(Breda et al., 2018; Whiting et al., 2021)</w:t>
      </w:r>
      <w:r w:rsidRPr="0051709F">
        <w:rPr>
          <w:rFonts w:cstheme="minorHAnsi"/>
        </w:rPr>
        <w:fldChar w:fldCharType="end"/>
      </w:r>
      <w:r w:rsidRPr="0051709F">
        <w:rPr>
          <w:rFonts w:cstheme="minorHAnsi"/>
        </w:rPr>
        <w:t xml:space="preserve">. Estos indicadores permiten saber si un </w:t>
      </w:r>
      <w:r w:rsidR="001B1885" w:rsidRPr="0051709F">
        <w:rPr>
          <w:rFonts w:cstheme="minorHAnsi"/>
        </w:rPr>
        <w:t>E</w:t>
      </w:r>
      <w:r w:rsidRPr="0051709F">
        <w:rPr>
          <w:rFonts w:cstheme="minorHAnsi"/>
        </w:rPr>
        <w:t>stado miembro está implementando políticas HEPA y cuáles son sus áreas de mejora (ver Tabla 1).</w:t>
      </w:r>
    </w:p>
    <w:p w14:paraId="02256BAC" w14:textId="77777777" w:rsidR="00F63AB7" w:rsidRPr="0051709F" w:rsidRDefault="00F63AB7" w:rsidP="00F63AB7">
      <w:pPr>
        <w:jc w:val="both"/>
        <w:rPr>
          <w:rFonts w:cstheme="minorHAnsi"/>
        </w:rPr>
      </w:pPr>
    </w:p>
    <w:p w14:paraId="546A510E" w14:textId="50E43602" w:rsidR="00F63AB7" w:rsidRPr="0051709F" w:rsidRDefault="00F63AB7" w:rsidP="00F63AB7">
      <w:pPr>
        <w:jc w:val="center"/>
        <w:rPr>
          <w:rFonts w:cstheme="minorHAnsi"/>
          <w:lang w:val="en-US"/>
        </w:rPr>
      </w:pPr>
      <w:proofErr w:type="spellStart"/>
      <w:r w:rsidRPr="0051709F">
        <w:rPr>
          <w:rFonts w:cstheme="minorHAnsi"/>
          <w:bCs/>
          <w:lang w:val="en-US"/>
        </w:rPr>
        <w:t>Tabla</w:t>
      </w:r>
      <w:proofErr w:type="spellEnd"/>
      <w:r w:rsidRPr="0051709F">
        <w:rPr>
          <w:rFonts w:cstheme="minorHAnsi"/>
          <w:bCs/>
          <w:lang w:val="en-US"/>
        </w:rPr>
        <w:t xml:space="preserve"> 1. </w:t>
      </w:r>
      <w:proofErr w:type="spellStart"/>
      <w:r w:rsidRPr="0051709F">
        <w:rPr>
          <w:rFonts w:cstheme="minorHAnsi"/>
          <w:bCs/>
          <w:lang w:val="en-US"/>
        </w:rPr>
        <w:t>Indicadores</w:t>
      </w:r>
      <w:proofErr w:type="spellEnd"/>
      <w:r w:rsidRPr="0051709F">
        <w:rPr>
          <w:rFonts w:cstheme="minorHAnsi"/>
          <w:bCs/>
          <w:lang w:val="en-US"/>
        </w:rPr>
        <w:t xml:space="preserve"> HEPA (</w:t>
      </w:r>
      <w:r w:rsidRPr="0051709F">
        <w:rPr>
          <w:rFonts w:cstheme="minorHAnsi"/>
          <w:bCs/>
          <w:i/>
          <w:lang w:val="en-US"/>
        </w:rPr>
        <w:t>health-enhancing physical activity</w:t>
      </w:r>
      <w:r w:rsidRPr="0051709F">
        <w:rPr>
          <w:rFonts w:cstheme="minorHAnsi"/>
          <w:bCs/>
          <w:lang w:val="en-US"/>
        </w:rPr>
        <w:t>)</w:t>
      </w:r>
    </w:p>
    <w:tbl>
      <w:tblPr>
        <w:tblStyle w:val="Tablanormal2"/>
        <w:tblpPr w:leftFromText="180" w:rightFromText="180" w:vertAnchor="text" w:tblpX="-146" w:tblpY="1"/>
        <w:tblW w:w="5251" w:type="pct"/>
        <w:tblCellMar>
          <w:left w:w="0" w:type="dxa"/>
          <w:right w:w="0" w:type="dxa"/>
        </w:tblCellMar>
        <w:tblLook w:val="04A0" w:firstRow="1" w:lastRow="0" w:firstColumn="1" w:lastColumn="0" w:noHBand="0" w:noVBand="1"/>
      </w:tblPr>
      <w:tblGrid>
        <w:gridCol w:w="2408"/>
        <w:gridCol w:w="6517"/>
      </w:tblGrid>
      <w:tr w:rsidR="00F63AB7" w:rsidRPr="0051709F" w14:paraId="544E5496" w14:textId="77777777" w:rsidTr="00BF7D2E">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349" w:type="pct"/>
          </w:tcPr>
          <w:p w14:paraId="0DB46C84" w14:textId="77777777" w:rsidR="00F63AB7" w:rsidRPr="0051709F" w:rsidRDefault="00F63AB7" w:rsidP="00BF7D2E">
            <w:pPr>
              <w:rPr>
                <w:rFonts w:cstheme="minorHAnsi"/>
                <w:sz w:val="24"/>
                <w:szCs w:val="24"/>
                <w:lang w:val="es-ES"/>
              </w:rPr>
            </w:pPr>
            <w:r w:rsidRPr="0051709F">
              <w:rPr>
                <w:rFonts w:cstheme="minorHAnsi"/>
                <w:sz w:val="24"/>
                <w:szCs w:val="24"/>
                <w:lang w:val="es-ES"/>
              </w:rPr>
              <w:t>Área temática</w:t>
            </w:r>
          </w:p>
        </w:tc>
        <w:tc>
          <w:tcPr>
            <w:tcW w:w="3651" w:type="pct"/>
          </w:tcPr>
          <w:p w14:paraId="5DB3C30B" w14:textId="77777777" w:rsidR="00F63AB7" w:rsidRPr="0051709F" w:rsidRDefault="00F63AB7" w:rsidP="00BF7D2E">
            <w:pPr>
              <w:cnfStyle w:val="100000000000" w:firstRow="1"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Indicadores</w:t>
            </w:r>
          </w:p>
        </w:tc>
      </w:tr>
      <w:tr w:rsidR="00F63AB7" w:rsidRPr="0051709F" w14:paraId="08201058"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val="restart"/>
          </w:tcPr>
          <w:p w14:paraId="5C0FE54B" w14:textId="243AFB07" w:rsidR="00F63AB7" w:rsidRPr="0051709F" w:rsidRDefault="00F63AB7" w:rsidP="00BF7D2E">
            <w:pPr>
              <w:rPr>
                <w:rFonts w:cstheme="minorHAnsi"/>
                <w:sz w:val="24"/>
                <w:szCs w:val="24"/>
                <w:lang w:val="es-ES"/>
              </w:rPr>
            </w:pPr>
            <w:r w:rsidRPr="0051709F">
              <w:rPr>
                <w:rFonts w:cstheme="minorHAnsi"/>
                <w:sz w:val="24"/>
                <w:szCs w:val="24"/>
                <w:lang w:val="es-ES"/>
              </w:rPr>
              <w:t>Recomendaciones y pautas de actividad física internacional</w:t>
            </w:r>
          </w:p>
          <w:p w14:paraId="68DC502D" w14:textId="77777777" w:rsidR="00F63AB7" w:rsidRPr="0051709F" w:rsidRDefault="00F63AB7" w:rsidP="00BF7D2E">
            <w:pPr>
              <w:ind w:firstLine="720"/>
              <w:rPr>
                <w:rFonts w:cstheme="minorHAnsi"/>
                <w:sz w:val="24"/>
                <w:szCs w:val="24"/>
                <w:lang w:val="es-ES"/>
              </w:rPr>
            </w:pPr>
          </w:p>
        </w:tc>
        <w:tc>
          <w:tcPr>
            <w:tcW w:w="3651" w:type="pct"/>
          </w:tcPr>
          <w:p w14:paraId="66FCB7B2"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1 Recomendaciones nacionales sobre actividad física para la salud </w:t>
            </w:r>
          </w:p>
        </w:tc>
      </w:tr>
      <w:tr w:rsidR="00F63AB7" w:rsidRPr="0051709F" w14:paraId="56531344"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511FA9EE" w14:textId="77777777" w:rsidR="00F63AB7" w:rsidRPr="0051709F" w:rsidRDefault="00F63AB7" w:rsidP="00BF7D2E">
            <w:pPr>
              <w:rPr>
                <w:rFonts w:cstheme="minorHAnsi"/>
                <w:sz w:val="24"/>
                <w:szCs w:val="24"/>
                <w:lang w:val="es-ES"/>
              </w:rPr>
            </w:pPr>
          </w:p>
        </w:tc>
        <w:tc>
          <w:tcPr>
            <w:tcW w:w="3651" w:type="pct"/>
          </w:tcPr>
          <w:p w14:paraId="46C6DE83" w14:textId="05BCFAF0"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2 Adultos que alcanzan la recomendación mínima de la </w:t>
            </w:r>
            <w:r w:rsidR="006D4843" w:rsidRPr="006D4843">
              <w:rPr>
                <w:rFonts w:cstheme="minorHAnsi"/>
                <w:sz w:val="24"/>
                <w:szCs w:val="24"/>
                <w:lang w:val="es-ES"/>
              </w:rPr>
              <w:t xml:space="preserve">Organización Mundial de la Salud </w:t>
            </w:r>
            <w:r w:rsidRPr="0051709F">
              <w:rPr>
                <w:rFonts w:cstheme="minorHAnsi"/>
                <w:sz w:val="24"/>
                <w:szCs w:val="24"/>
                <w:lang w:val="es-ES"/>
              </w:rPr>
              <w:t>sobre actividad física para la salud</w:t>
            </w:r>
          </w:p>
        </w:tc>
      </w:tr>
      <w:tr w:rsidR="00F63AB7" w:rsidRPr="0051709F" w14:paraId="3E3D9C6D"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4C170313" w14:textId="77777777" w:rsidR="00F63AB7" w:rsidRPr="0051709F" w:rsidRDefault="00F63AB7" w:rsidP="00BF7D2E">
            <w:pPr>
              <w:ind w:firstLine="720"/>
              <w:rPr>
                <w:rFonts w:cstheme="minorHAnsi"/>
                <w:sz w:val="24"/>
                <w:szCs w:val="24"/>
                <w:lang w:val="es-ES"/>
              </w:rPr>
            </w:pPr>
          </w:p>
        </w:tc>
        <w:tc>
          <w:tcPr>
            <w:tcW w:w="3651" w:type="pct"/>
          </w:tcPr>
          <w:p w14:paraId="29DDD4E8" w14:textId="71CBB398"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3 Niños y adolescentes que alcanzan la recomendación mínima de la </w:t>
            </w:r>
            <w:r w:rsidR="006D4843" w:rsidRPr="006D4843">
              <w:rPr>
                <w:rFonts w:cstheme="minorHAnsi"/>
                <w:sz w:val="24"/>
                <w:szCs w:val="24"/>
                <w:lang w:val="es-ES"/>
              </w:rPr>
              <w:t xml:space="preserve">Organización Mundial de la Salud </w:t>
            </w:r>
            <w:r w:rsidRPr="0051709F">
              <w:rPr>
                <w:rFonts w:cstheme="minorHAnsi"/>
                <w:sz w:val="24"/>
                <w:szCs w:val="24"/>
                <w:lang w:val="es-ES"/>
              </w:rPr>
              <w:t>sobre actividad física para la salud</w:t>
            </w:r>
          </w:p>
        </w:tc>
      </w:tr>
      <w:tr w:rsidR="00F63AB7" w:rsidRPr="0051709F" w14:paraId="4CEECECB"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val="restart"/>
          </w:tcPr>
          <w:p w14:paraId="5CA6DAC3"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Enfoque intersectorial </w:t>
            </w:r>
          </w:p>
        </w:tc>
        <w:tc>
          <w:tcPr>
            <w:tcW w:w="3651" w:type="pct"/>
          </w:tcPr>
          <w:p w14:paraId="08234A87"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4 Mecanismo de coordinación y liderazgo del gobierno nacional en la promoción de HEPA</w:t>
            </w:r>
          </w:p>
        </w:tc>
      </w:tr>
      <w:tr w:rsidR="00F63AB7" w:rsidRPr="0051709F" w14:paraId="37830189"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008032F8" w14:textId="77777777" w:rsidR="00F63AB7" w:rsidRPr="0051709F" w:rsidRDefault="00F63AB7" w:rsidP="00BF7D2E">
            <w:pPr>
              <w:ind w:firstLine="720"/>
              <w:rPr>
                <w:rFonts w:cstheme="minorHAnsi"/>
                <w:sz w:val="24"/>
                <w:szCs w:val="24"/>
                <w:lang w:val="es-ES"/>
              </w:rPr>
            </w:pPr>
          </w:p>
        </w:tc>
        <w:tc>
          <w:tcPr>
            <w:tcW w:w="3651" w:type="pct"/>
          </w:tcPr>
          <w:p w14:paraId="512FF2D0"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5 Financiación asignada específicamente a la promoción de HEPA</w:t>
            </w:r>
          </w:p>
        </w:tc>
      </w:tr>
      <w:tr w:rsidR="00F63AB7" w:rsidRPr="0051709F" w14:paraId="2593B92F"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val="restart"/>
          </w:tcPr>
          <w:p w14:paraId="37DEC042"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Deporte </w:t>
            </w:r>
          </w:p>
          <w:p w14:paraId="7782757F" w14:textId="77777777" w:rsidR="00F63AB7" w:rsidRPr="0051709F" w:rsidRDefault="00F63AB7" w:rsidP="00BF7D2E">
            <w:pPr>
              <w:ind w:firstLine="720"/>
              <w:rPr>
                <w:rFonts w:cstheme="minorHAnsi"/>
                <w:sz w:val="24"/>
                <w:szCs w:val="24"/>
                <w:lang w:val="es-ES"/>
              </w:rPr>
            </w:pPr>
          </w:p>
        </w:tc>
        <w:tc>
          <w:tcPr>
            <w:tcW w:w="3651" w:type="pct"/>
          </w:tcPr>
          <w:p w14:paraId="62E27AF3"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6 Política o plan de acción nacional de ‘Deporte para Todos’</w:t>
            </w:r>
          </w:p>
        </w:tc>
      </w:tr>
      <w:tr w:rsidR="00F63AB7" w:rsidRPr="0051709F" w14:paraId="09933916"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2F34120C" w14:textId="77777777" w:rsidR="00F63AB7" w:rsidRPr="0051709F" w:rsidRDefault="00F63AB7" w:rsidP="00BF7D2E">
            <w:pPr>
              <w:rPr>
                <w:rFonts w:cstheme="minorHAnsi"/>
                <w:sz w:val="24"/>
                <w:szCs w:val="24"/>
                <w:lang w:val="es-ES"/>
              </w:rPr>
            </w:pPr>
          </w:p>
        </w:tc>
        <w:tc>
          <w:tcPr>
            <w:tcW w:w="3651" w:type="pct"/>
          </w:tcPr>
          <w:p w14:paraId="7BA52541"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7 Clubes Deportivos para la Salud</w:t>
            </w:r>
          </w:p>
        </w:tc>
      </w:tr>
      <w:tr w:rsidR="00F63AB7" w:rsidRPr="0051709F" w14:paraId="28BA599D"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7001A7E1" w14:textId="77777777" w:rsidR="00F63AB7" w:rsidRPr="0051709F" w:rsidRDefault="00F63AB7" w:rsidP="00BF7D2E">
            <w:pPr>
              <w:rPr>
                <w:rFonts w:cstheme="minorHAnsi"/>
                <w:sz w:val="24"/>
                <w:szCs w:val="24"/>
                <w:lang w:val="es-ES"/>
              </w:rPr>
            </w:pPr>
          </w:p>
        </w:tc>
        <w:tc>
          <w:tcPr>
            <w:tcW w:w="3651" w:type="pct"/>
          </w:tcPr>
          <w:p w14:paraId="0A9246FF"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8 Marco para apoyar ofertas para aumentar el acceso a instalaciones de ejercicio para grupos socialmente desfavorecidos</w:t>
            </w:r>
          </w:p>
        </w:tc>
      </w:tr>
      <w:tr w:rsidR="00F63AB7" w:rsidRPr="0051709F" w14:paraId="7484E038"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100C9FA0" w14:textId="77777777" w:rsidR="00F63AB7" w:rsidRPr="0051709F" w:rsidRDefault="00F63AB7" w:rsidP="00BF7D2E">
            <w:pPr>
              <w:rPr>
                <w:rFonts w:cstheme="minorHAnsi"/>
                <w:sz w:val="24"/>
                <w:szCs w:val="24"/>
                <w:lang w:val="es-ES"/>
              </w:rPr>
            </w:pPr>
          </w:p>
        </w:tc>
        <w:tc>
          <w:tcPr>
            <w:tcW w:w="3651" w:type="pct"/>
          </w:tcPr>
          <w:p w14:paraId="4F546A75"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9 Grupos destinatarios a los que se dirige la política nacional HEPA</w:t>
            </w:r>
          </w:p>
        </w:tc>
      </w:tr>
      <w:tr w:rsidR="00F63AB7" w:rsidRPr="0051709F" w14:paraId="316A4724"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val="restart"/>
          </w:tcPr>
          <w:p w14:paraId="289ABCC1"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Salud </w:t>
            </w:r>
          </w:p>
          <w:p w14:paraId="53480E0E" w14:textId="77777777" w:rsidR="00F63AB7" w:rsidRPr="0051709F" w:rsidRDefault="00F63AB7" w:rsidP="00BF7D2E">
            <w:pPr>
              <w:rPr>
                <w:rFonts w:cstheme="minorHAnsi"/>
                <w:sz w:val="24"/>
                <w:szCs w:val="24"/>
                <w:lang w:val="es-ES"/>
              </w:rPr>
            </w:pPr>
          </w:p>
        </w:tc>
        <w:tc>
          <w:tcPr>
            <w:tcW w:w="3651" w:type="pct"/>
          </w:tcPr>
          <w:p w14:paraId="0E50160A"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10 Seguimiento y vigilancia de la actividad física</w:t>
            </w:r>
          </w:p>
        </w:tc>
      </w:tr>
      <w:tr w:rsidR="00F63AB7" w:rsidRPr="0051709F" w14:paraId="57562CC2"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5537EAD2" w14:textId="77777777" w:rsidR="00F63AB7" w:rsidRPr="0051709F" w:rsidRDefault="00F63AB7" w:rsidP="00BF7D2E">
            <w:pPr>
              <w:ind w:firstLine="720"/>
              <w:rPr>
                <w:rFonts w:cstheme="minorHAnsi"/>
                <w:sz w:val="24"/>
                <w:szCs w:val="24"/>
                <w:lang w:val="es-ES"/>
              </w:rPr>
            </w:pPr>
          </w:p>
        </w:tc>
        <w:tc>
          <w:tcPr>
            <w:tcW w:w="3651" w:type="pct"/>
          </w:tcPr>
          <w:p w14:paraId="5D3863B6"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11 Asesoramiento sobre actividad física</w:t>
            </w:r>
          </w:p>
        </w:tc>
      </w:tr>
      <w:tr w:rsidR="00F63AB7" w:rsidRPr="0051709F" w14:paraId="74794163"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2000010B" w14:textId="77777777" w:rsidR="00F63AB7" w:rsidRPr="0051709F" w:rsidRDefault="00F63AB7" w:rsidP="00BF7D2E">
            <w:pPr>
              <w:ind w:firstLine="720"/>
              <w:rPr>
                <w:rFonts w:cstheme="minorHAnsi"/>
                <w:sz w:val="24"/>
                <w:szCs w:val="24"/>
                <w:lang w:val="es-ES"/>
              </w:rPr>
            </w:pPr>
          </w:p>
        </w:tc>
        <w:tc>
          <w:tcPr>
            <w:tcW w:w="3651" w:type="pct"/>
          </w:tcPr>
          <w:p w14:paraId="3B34D26C"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12 La formación en actividad física en los planes de estudios de los profesionales sanitarios</w:t>
            </w:r>
          </w:p>
        </w:tc>
      </w:tr>
      <w:tr w:rsidR="00F63AB7" w:rsidRPr="0051709F" w14:paraId="37C782EF"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val="restart"/>
          </w:tcPr>
          <w:p w14:paraId="6ACE7018"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Educación </w:t>
            </w:r>
          </w:p>
        </w:tc>
        <w:tc>
          <w:tcPr>
            <w:tcW w:w="3651" w:type="pct"/>
          </w:tcPr>
          <w:p w14:paraId="0CAF2FC0"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13 Educación física en escuelas primarias y secundarias</w:t>
            </w:r>
          </w:p>
        </w:tc>
      </w:tr>
      <w:tr w:rsidR="00F63AB7" w:rsidRPr="0051709F" w14:paraId="05776FAB"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7BF6EEC6" w14:textId="77777777" w:rsidR="00F63AB7" w:rsidRPr="0051709F" w:rsidRDefault="00F63AB7" w:rsidP="00BF7D2E">
            <w:pPr>
              <w:rPr>
                <w:rFonts w:cstheme="minorHAnsi"/>
                <w:sz w:val="24"/>
                <w:szCs w:val="24"/>
                <w:lang w:val="es-ES"/>
              </w:rPr>
            </w:pPr>
          </w:p>
        </w:tc>
        <w:tc>
          <w:tcPr>
            <w:tcW w:w="3651" w:type="pct"/>
          </w:tcPr>
          <w:p w14:paraId="4B332DF8"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14 Esquemas para la promoción de la actividad física relacionada con la escuela</w:t>
            </w:r>
          </w:p>
        </w:tc>
      </w:tr>
      <w:tr w:rsidR="00F63AB7" w:rsidRPr="0051709F" w14:paraId="37A016F6"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tcPr>
          <w:p w14:paraId="5203AE2A" w14:textId="77777777" w:rsidR="00F63AB7" w:rsidRPr="0051709F" w:rsidRDefault="00F63AB7" w:rsidP="00BF7D2E">
            <w:pPr>
              <w:rPr>
                <w:rFonts w:cstheme="minorHAnsi"/>
                <w:sz w:val="24"/>
                <w:szCs w:val="24"/>
                <w:lang w:val="es-ES"/>
              </w:rPr>
            </w:pPr>
          </w:p>
        </w:tc>
        <w:tc>
          <w:tcPr>
            <w:tcW w:w="3651" w:type="pct"/>
          </w:tcPr>
          <w:p w14:paraId="723D6030"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15 HEPA en la formación de profesores de educación física</w:t>
            </w:r>
          </w:p>
        </w:tc>
      </w:tr>
      <w:tr w:rsidR="00F63AB7" w:rsidRPr="0051709F" w14:paraId="7AF8C5FA"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139DA939" w14:textId="77777777" w:rsidR="00F63AB7" w:rsidRPr="0051709F" w:rsidRDefault="00F63AB7" w:rsidP="00BF7D2E">
            <w:pPr>
              <w:rPr>
                <w:rFonts w:cstheme="minorHAnsi"/>
                <w:sz w:val="24"/>
                <w:szCs w:val="24"/>
                <w:lang w:val="es-ES"/>
              </w:rPr>
            </w:pPr>
          </w:p>
        </w:tc>
        <w:tc>
          <w:tcPr>
            <w:tcW w:w="3651" w:type="pct"/>
          </w:tcPr>
          <w:p w14:paraId="2271989F"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16 Esquemas para promover el viaje activo a la escuela</w:t>
            </w:r>
          </w:p>
        </w:tc>
      </w:tr>
      <w:tr w:rsidR="00F63AB7" w:rsidRPr="0051709F" w14:paraId="368BD20B"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val="restart"/>
          </w:tcPr>
          <w:p w14:paraId="34D00D32" w14:textId="77777777" w:rsidR="00F63AB7" w:rsidRPr="0051709F" w:rsidRDefault="00F63AB7" w:rsidP="00BF7D2E">
            <w:pPr>
              <w:rPr>
                <w:rFonts w:cstheme="minorHAnsi"/>
                <w:sz w:val="24"/>
                <w:szCs w:val="24"/>
                <w:lang w:val="es-ES"/>
              </w:rPr>
            </w:pPr>
            <w:r w:rsidRPr="0051709F">
              <w:rPr>
                <w:rFonts w:cstheme="minorHAnsi"/>
                <w:sz w:val="24"/>
                <w:szCs w:val="24"/>
                <w:lang w:val="es-ES"/>
              </w:rPr>
              <w:t>Medioambiente, urbanismo y seguridad ciudadana</w:t>
            </w:r>
          </w:p>
        </w:tc>
        <w:tc>
          <w:tcPr>
            <w:tcW w:w="3651" w:type="pct"/>
          </w:tcPr>
          <w:p w14:paraId="2C96F6EE" w14:textId="77777777"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17 Nivel de ciclismo y peatones</w:t>
            </w:r>
          </w:p>
        </w:tc>
      </w:tr>
      <w:tr w:rsidR="00F63AB7" w:rsidRPr="0051709F" w14:paraId="057BD31C"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2D05B1B6" w14:textId="77777777" w:rsidR="00F63AB7" w:rsidRPr="0051709F" w:rsidRDefault="00F63AB7" w:rsidP="00BF7D2E">
            <w:pPr>
              <w:rPr>
                <w:rFonts w:cstheme="minorHAnsi"/>
                <w:sz w:val="24"/>
                <w:szCs w:val="24"/>
                <w:lang w:val="es-ES"/>
              </w:rPr>
            </w:pPr>
          </w:p>
        </w:tc>
        <w:tc>
          <w:tcPr>
            <w:tcW w:w="3651" w:type="pct"/>
          </w:tcPr>
          <w:p w14:paraId="4E7F520E" w14:textId="77777777"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18 Directrices europeas para la mejora de las infraestructuras para la actividad física en el tiempo libre</w:t>
            </w:r>
          </w:p>
        </w:tc>
      </w:tr>
      <w:tr w:rsidR="00F63AB7" w:rsidRPr="0051709F" w14:paraId="5978CC47"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vMerge w:val="restart"/>
          </w:tcPr>
          <w:p w14:paraId="7A5E7B7C" w14:textId="77777777" w:rsidR="00F63AB7" w:rsidRPr="0051709F" w:rsidRDefault="00F63AB7" w:rsidP="00BF7D2E">
            <w:pPr>
              <w:rPr>
                <w:rFonts w:cstheme="minorHAnsi"/>
                <w:sz w:val="24"/>
                <w:szCs w:val="24"/>
                <w:lang w:val="es-ES"/>
              </w:rPr>
            </w:pPr>
            <w:r w:rsidRPr="0051709F">
              <w:rPr>
                <w:rFonts w:cstheme="minorHAnsi"/>
                <w:sz w:val="24"/>
                <w:szCs w:val="24"/>
                <w:lang w:val="es-ES"/>
              </w:rPr>
              <w:lastRenderedPageBreak/>
              <w:t xml:space="preserve">Clima laboral </w:t>
            </w:r>
          </w:p>
          <w:p w14:paraId="15B44B98" w14:textId="77777777" w:rsidR="00F63AB7" w:rsidRPr="0051709F" w:rsidRDefault="00F63AB7" w:rsidP="00BF7D2E">
            <w:pPr>
              <w:rPr>
                <w:rFonts w:cstheme="minorHAnsi"/>
                <w:sz w:val="24"/>
                <w:szCs w:val="24"/>
                <w:lang w:val="es-ES"/>
              </w:rPr>
            </w:pPr>
          </w:p>
        </w:tc>
        <w:tc>
          <w:tcPr>
            <w:tcW w:w="3651" w:type="pct"/>
          </w:tcPr>
          <w:p w14:paraId="40C4D053" w14:textId="3DF36FED"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19 </w:t>
            </w:r>
            <w:r w:rsidR="00476DFE">
              <w:rPr>
                <w:rFonts w:cstheme="minorHAnsi"/>
                <w:sz w:val="24"/>
                <w:szCs w:val="24"/>
                <w:lang w:val="es-ES"/>
              </w:rPr>
              <w:t>p</w:t>
            </w:r>
            <w:r w:rsidRPr="0051709F">
              <w:rPr>
                <w:rFonts w:cstheme="minorHAnsi"/>
                <w:sz w:val="24"/>
                <w:szCs w:val="24"/>
                <w:lang w:val="es-ES"/>
              </w:rPr>
              <w:t>rogramas para promover el viaje activo al trabajo</w:t>
            </w:r>
          </w:p>
        </w:tc>
      </w:tr>
      <w:tr w:rsidR="00F63AB7" w:rsidRPr="0051709F" w14:paraId="38A49875" w14:textId="77777777" w:rsidTr="00BF7D2E">
        <w:tc>
          <w:tcPr>
            <w:cnfStyle w:val="001000000000" w:firstRow="0" w:lastRow="0" w:firstColumn="1" w:lastColumn="0" w:oddVBand="0" w:evenVBand="0" w:oddHBand="0" w:evenHBand="0" w:firstRowFirstColumn="0" w:firstRowLastColumn="0" w:lastRowFirstColumn="0" w:lastRowLastColumn="0"/>
            <w:tcW w:w="1349" w:type="pct"/>
            <w:vMerge/>
          </w:tcPr>
          <w:p w14:paraId="0A41AE9E" w14:textId="77777777" w:rsidR="00F63AB7" w:rsidRPr="0051709F" w:rsidRDefault="00F63AB7" w:rsidP="00BF7D2E">
            <w:pPr>
              <w:rPr>
                <w:rFonts w:cstheme="minorHAnsi"/>
                <w:sz w:val="24"/>
                <w:szCs w:val="24"/>
                <w:lang w:val="es-ES"/>
              </w:rPr>
            </w:pPr>
          </w:p>
        </w:tc>
        <w:tc>
          <w:tcPr>
            <w:tcW w:w="3651" w:type="pct"/>
          </w:tcPr>
          <w:p w14:paraId="14D48951" w14:textId="3F19AD6A"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20 </w:t>
            </w:r>
            <w:r w:rsidR="00476DFE">
              <w:rPr>
                <w:rFonts w:cstheme="minorHAnsi"/>
                <w:sz w:val="24"/>
                <w:szCs w:val="24"/>
                <w:lang w:val="es-ES"/>
              </w:rPr>
              <w:t>p</w:t>
            </w:r>
            <w:r w:rsidRPr="0051709F">
              <w:rPr>
                <w:rFonts w:cstheme="minorHAnsi"/>
                <w:sz w:val="24"/>
                <w:szCs w:val="24"/>
                <w:lang w:val="es-ES"/>
              </w:rPr>
              <w:t>rogramas para promover la actividad física en el lugar de trabajo</w:t>
            </w:r>
          </w:p>
        </w:tc>
      </w:tr>
      <w:tr w:rsidR="00F63AB7" w:rsidRPr="0051709F" w14:paraId="00EAD451"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tcPr>
          <w:p w14:paraId="1D79848B"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Adultos mayores </w:t>
            </w:r>
          </w:p>
          <w:p w14:paraId="59DE7946" w14:textId="77777777" w:rsidR="00F63AB7" w:rsidRPr="0051709F" w:rsidRDefault="00F63AB7" w:rsidP="00BF7D2E">
            <w:pPr>
              <w:rPr>
                <w:rFonts w:cstheme="minorHAnsi"/>
                <w:sz w:val="24"/>
                <w:szCs w:val="24"/>
                <w:lang w:val="es-ES"/>
              </w:rPr>
            </w:pPr>
          </w:p>
        </w:tc>
        <w:tc>
          <w:tcPr>
            <w:tcW w:w="3651" w:type="pct"/>
          </w:tcPr>
          <w:p w14:paraId="46DF55C9" w14:textId="571E9EF0"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21 </w:t>
            </w:r>
            <w:r w:rsidR="00476DFE">
              <w:rPr>
                <w:rFonts w:cstheme="minorHAnsi"/>
                <w:sz w:val="24"/>
                <w:szCs w:val="24"/>
                <w:lang w:val="es-ES"/>
              </w:rPr>
              <w:t>e</w:t>
            </w:r>
            <w:r w:rsidRPr="0051709F">
              <w:rPr>
                <w:rFonts w:cstheme="minorHAnsi"/>
                <w:sz w:val="24"/>
                <w:szCs w:val="24"/>
                <w:lang w:val="es-ES"/>
              </w:rPr>
              <w:t>squemas de intervenciones comunitarias para promover la actividad física en adultos mayores</w:t>
            </w:r>
          </w:p>
        </w:tc>
      </w:tr>
      <w:tr w:rsidR="00F63AB7" w:rsidRPr="0051709F" w14:paraId="413C395B" w14:textId="77777777" w:rsidTr="00BF7D2E">
        <w:tc>
          <w:tcPr>
            <w:cnfStyle w:val="001000000000" w:firstRow="0" w:lastRow="0" w:firstColumn="1" w:lastColumn="0" w:oddVBand="0" w:evenVBand="0" w:oddHBand="0" w:evenHBand="0" w:firstRowFirstColumn="0" w:firstRowLastColumn="0" w:lastRowFirstColumn="0" w:lastRowLastColumn="0"/>
            <w:tcW w:w="1349" w:type="pct"/>
          </w:tcPr>
          <w:p w14:paraId="4BDFE82A" w14:textId="77777777" w:rsidR="00F63AB7" w:rsidRPr="0051709F" w:rsidRDefault="00F63AB7" w:rsidP="00BF7D2E">
            <w:pPr>
              <w:rPr>
                <w:rFonts w:cstheme="minorHAnsi"/>
                <w:sz w:val="24"/>
                <w:szCs w:val="24"/>
                <w:lang w:val="es-ES"/>
              </w:rPr>
            </w:pPr>
            <w:r w:rsidRPr="0051709F">
              <w:rPr>
                <w:rFonts w:cstheme="minorHAnsi"/>
                <w:sz w:val="24"/>
                <w:szCs w:val="24"/>
                <w:lang w:val="es-ES"/>
              </w:rPr>
              <w:t xml:space="preserve">Evaluación </w:t>
            </w:r>
          </w:p>
        </w:tc>
        <w:tc>
          <w:tcPr>
            <w:tcW w:w="3651" w:type="pct"/>
          </w:tcPr>
          <w:p w14:paraId="67DA6AB3" w14:textId="4CC43873" w:rsidR="00F63AB7" w:rsidRPr="0051709F" w:rsidRDefault="00F63AB7" w:rsidP="00BF7D2E">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22 </w:t>
            </w:r>
            <w:r w:rsidR="00476DFE">
              <w:rPr>
                <w:rFonts w:cstheme="minorHAnsi"/>
                <w:sz w:val="24"/>
                <w:szCs w:val="24"/>
                <w:lang w:val="es-ES"/>
              </w:rPr>
              <w:t>p</w:t>
            </w:r>
            <w:r w:rsidRPr="0051709F">
              <w:rPr>
                <w:rFonts w:cstheme="minorHAnsi"/>
                <w:sz w:val="24"/>
                <w:szCs w:val="24"/>
                <w:lang w:val="es-ES"/>
              </w:rPr>
              <w:t>olíticas HEPA nacionales que incluyen un plan de evaluación</w:t>
            </w:r>
          </w:p>
        </w:tc>
      </w:tr>
      <w:tr w:rsidR="00F63AB7" w:rsidRPr="0051709F" w14:paraId="77AD7252" w14:textId="77777777" w:rsidTr="00BF7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9" w:type="pct"/>
          </w:tcPr>
          <w:p w14:paraId="3E713A37" w14:textId="77777777" w:rsidR="00F63AB7" w:rsidRPr="0051709F" w:rsidRDefault="00F63AB7" w:rsidP="00BF7D2E">
            <w:pPr>
              <w:rPr>
                <w:rFonts w:cstheme="minorHAnsi"/>
                <w:sz w:val="24"/>
                <w:szCs w:val="24"/>
                <w:lang w:val="es-ES"/>
              </w:rPr>
            </w:pPr>
            <w:r w:rsidRPr="0051709F">
              <w:rPr>
                <w:rFonts w:cstheme="minorHAnsi"/>
                <w:sz w:val="24"/>
                <w:szCs w:val="24"/>
                <w:lang w:val="es-ES"/>
              </w:rPr>
              <w:t>Conciencia pública</w:t>
            </w:r>
          </w:p>
        </w:tc>
        <w:tc>
          <w:tcPr>
            <w:tcW w:w="3651" w:type="pct"/>
          </w:tcPr>
          <w:p w14:paraId="18D327E0" w14:textId="58F6C84B" w:rsidR="00F63AB7" w:rsidRPr="0051709F" w:rsidRDefault="00F63AB7" w:rsidP="00BF7D2E">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 xml:space="preserve">23 </w:t>
            </w:r>
            <w:r w:rsidR="00476DFE">
              <w:rPr>
                <w:rFonts w:cstheme="minorHAnsi"/>
                <w:sz w:val="24"/>
                <w:szCs w:val="24"/>
                <w:lang w:val="es-ES"/>
              </w:rPr>
              <w:t>c</w:t>
            </w:r>
            <w:r w:rsidRPr="0051709F">
              <w:rPr>
                <w:rFonts w:cstheme="minorHAnsi"/>
                <w:sz w:val="24"/>
                <w:szCs w:val="24"/>
                <w:lang w:val="es-ES"/>
              </w:rPr>
              <w:t>ampaña</w:t>
            </w:r>
            <w:r w:rsidR="00476DFE">
              <w:rPr>
                <w:rFonts w:cstheme="minorHAnsi"/>
                <w:sz w:val="24"/>
                <w:szCs w:val="24"/>
                <w:lang w:val="es-ES"/>
              </w:rPr>
              <w:t>s</w:t>
            </w:r>
            <w:r w:rsidRPr="0051709F">
              <w:rPr>
                <w:rFonts w:cstheme="minorHAnsi"/>
                <w:sz w:val="24"/>
                <w:szCs w:val="24"/>
                <w:lang w:val="es-ES"/>
              </w:rPr>
              <w:t xml:space="preserve"> nacional</w:t>
            </w:r>
            <w:r w:rsidR="00476DFE">
              <w:rPr>
                <w:rFonts w:cstheme="minorHAnsi"/>
                <w:sz w:val="24"/>
                <w:szCs w:val="24"/>
                <w:lang w:val="es-ES"/>
              </w:rPr>
              <w:t>es</w:t>
            </w:r>
            <w:r w:rsidRPr="0051709F">
              <w:rPr>
                <w:rFonts w:cstheme="minorHAnsi"/>
                <w:sz w:val="24"/>
                <w:szCs w:val="24"/>
                <w:lang w:val="es-ES"/>
              </w:rPr>
              <w:t xml:space="preserve"> de concien</w:t>
            </w:r>
            <w:r w:rsidR="00476DFE">
              <w:rPr>
                <w:rFonts w:cstheme="minorHAnsi"/>
                <w:sz w:val="24"/>
                <w:szCs w:val="24"/>
                <w:lang w:val="es-ES"/>
              </w:rPr>
              <w:t>ci</w:t>
            </w:r>
            <w:r w:rsidRPr="0051709F">
              <w:rPr>
                <w:rFonts w:cstheme="minorHAnsi"/>
                <w:sz w:val="24"/>
                <w:szCs w:val="24"/>
                <w:lang w:val="es-ES"/>
              </w:rPr>
              <w:t>ación sobre la actividad física</w:t>
            </w:r>
          </w:p>
        </w:tc>
      </w:tr>
    </w:tbl>
    <w:p w14:paraId="5407AB99" w14:textId="77777777" w:rsidR="00F63AB7" w:rsidRPr="0051709F" w:rsidRDefault="00F63AB7" w:rsidP="00F63AB7">
      <w:pPr>
        <w:ind w:firstLine="720"/>
        <w:rPr>
          <w:rFonts w:cstheme="minorHAnsi"/>
        </w:rPr>
      </w:pPr>
    </w:p>
    <w:p w14:paraId="454EF781" w14:textId="2A12D967" w:rsidR="00F63AB7" w:rsidRPr="0051709F" w:rsidRDefault="00F63AB7" w:rsidP="00F63AB7">
      <w:pPr>
        <w:jc w:val="both"/>
        <w:rPr>
          <w:rFonts w:cstheme="minorHAnsi"/>
        </w:rPr>
      </w:pPr>
      <w:r w:rsidRPr="0051709F">
        <w:rPr>
          <w:rFonts w:cstheme="minorHAnsi"/>
        </w:rPr>
        <w:t>Por último, en 2018, la Organización Mundial de la Salud lanza el plan GAPPA (</w:t>
      </w:r>
      <w:r w:rsidRPr="0051709F">
        <w:rPr>
          <w:rFonts w:cstheme="minorHAnsi"/>
          <w:i/>
        </w:rPr>
        <w:t xml:space="preserve">Global </w:t>
      </w:r>
      <w:proofErr w:type="spellStart"/>
      <w:r w:rsidRPr="0051709F">
        <w:rPr>
          <w:rFonts w:cstheme="minorHAnsi"/>
          <w:i/>
        </w:rPr>
        <w:t>Action</w:t>
      </w:r>
      <w:proofErr w:type="spellEnd"/>
      <w:r w:rsidRPr="0051709F">
        <w:rPr>
          <w:rFonts w:cstheme="minorHAnsi"/>
          <w:i/>
        </w:rPr>
        <w:t xml:space="preserve"> Plan </w:t>
      </w:r>
      <w:proofErr w:type="spellStart"/>
      <w:r w:rsidRPr="0051709F">
        <w:rPr>
          <w:rFonts w:cstheme="minorHAnsi"/>
          <w:i/>
        </w:rPr>
        <w:t>on</w:t>
      </w:r>
      <w:proofErr w:type="spellEnd"/>
      <w:r w:rsidRPr="0051709F">
        <w:rPr>
          <w:rFonts w:cstheme="minorHAnsi"/>
          <w:i/>
        </w:rPr>
        <w:t xml:space="preserve"> </w:t>
      </w:r>
      <w:proofErr w:type="spellStart"/>
      <w:r w:rsidRPr="0051709F">
        <w:rPr>
          <w:rFonts w:cstheme="minorHAnsi"/>
          <w:i/>
        </w:rPr>
        <w:t>Physical</w:t>
      </w:r>
      <w:proofErr w:type="spellEnd"/>
      <w:r w:rsidRPr="0051709F">
        <w:rPr>
          <w:rFonts w:cstheme="minorHAnsi"/>
          <w:i/>
        </w:rPr>
        <w:t xml:space="preserve"> </w:t>
      </w:r>
      <w:proofErr w:type="spellStart"/>
      <w:r w:rsidRPr="0051709F">
        <w:rPr>
          <w:rFonts w:cstheme="minorHAnsi"/>
          <w:i/>
        </w:rPr>
        <w:t>Activity</w:t>
      </w:r>
      <w:proofErr w:type="spellEnd"/>
      <w:r w:rsidRPr="0051709F">
        <w:rPr>
          <w:rFonts w:cstheme="minorHAnsi"/>
          <w:i/>
        </w:rPr>
        <w:t xml:space="preserve">  2018-30</w:t>
      </w:r>
      <w:r w:rsidRPr="0051709F">
        <w:rPr>
          <w:rFonts w:cstheme="minorHAnsi"/>
        </w:rPr>
        <w:t xml:space="preserve">) con 20 acciones recomendadas para ayudar a los </w:t>
      </w:r>
      <w:r w:rsidR="001B1885" w:rsidRPr="0051709F">
        <w:rPr>
          <w:rFonts w:cstheme="minorHAnsi"/>
        </w:rPr>
        <w:t>E</w:t>
      </w:r>
      <w:r w:rsidRPr="0051709F">
        <w:rPr>
          <w:rFonts w:cstheme="minorHAnsi"/>
        </w:rPr>
        <w:t xml:space="preserve">stados miembro a promover la actividad física </w:t>
      </w:r>
      <w:r w:rsidRPr="0051709F">
        <w:rPr>
          <w:rFonts w:cstheme="minorHAnsi"/>
        </w:rPr>
        <w:fldChar w:fldCharType="begin" w:fldLock="1"/>
      </w:r>
      <w:r w:rsidRPr="0051709F">
        <w:rPr>
          <w:rFonts w:cstheme="minorHAnsi"/>
        </w:rPr>
        <w:instrText>ADDIN CSL_CITATION {"citationItems":[{"id":"ITEM-1","itemData":{"author":[{"dropping-particle":"","family":"World Health Organization","given":"","non-dropping-particle":"","parse-names":false,"suffix":""}],"id":"ITEM-1","issued":{"date-parts":[["2018"]]},"publisher":"World Health Organization","title":"Global action plan on physical activity 2018-2030: more active people for a healthier world.","type":"article"},"uris":["http://www.mendeley.com/documents/?uuid=9610686b-6118-4d02-8690-6fc5e25a5f9e"]}],"mendeley":{"formattedCitation":"(World Health Organization, 2018)","plainTextFormattedCitation":"(World Health Organization, 2018)","previouslyFormattedCitation":"(World Health Organization, 2018)"},"properties":{"noteIndex":0},"schema":"https://github.com/citation-style-language/schema/raw/master/csl-citation.json"}</w:instrText>
      </w:r>
      <w:r w:rsidRPr="0051709F">
        <w:rPr>
          <w:rFonts w:cstheme="minorHAnsi"/>
        </w:rPr>
        <w:fldChar w:fldCharType="separate"/>
      </w:r>
      <w:r w:rsidRPr="0051709F">
        <w:rPr>
          <w:rFonts w:cstheme="minorHAnsi"/>
          <w:noProof/>
        </w:rPr>
        <w:t>(World Health Organization, 2018)</w:t>
      </w:r>
      <w:r w:rsidRPr="0051709F">
        <w:rPr>
          <w:rFonts w:cstheme="minorHAnsi"/>
        </w:rPr>
        <w:fldChar w:fldCharType="end"/>
      </w:r>
      <w:r w:rsidRPr="0051709F">
        <w:rPr>
          <w:rFonts w:cstheme="minorHAnsi"/>
        </w:rPr>
        <w:t>.</w:t>
      </w:r>
    </w:p>
    <w:p w14:paraId="0179F16D" w14:textId="77777777" w:rsidR="00F63AB7" w:rsidRPr="0051709F" w:rsidRDefault="00F63AB7" w:rsidP="00F63AB7">
      <w:pPr>
        <w:jc w:val="both"/>
        <w:rPr>
          <w:rFonts w:cstheme="minorHAnsi"/>
        </w:rPr>
      </w:pPr>
    </w:p>
    <w:p w14:paraId="3E2F82BE" w14:textId="219CB99D" w:rsidR="00F63AB7" w:rsidRPr="0051709F" w:rsidRDefault="00F63AB7" w:rsidP="00F63AB7">
      <w:pPr>
        <w:jc w:val="both"/>
        <w:rPr>
          <w:rFonts w:cstheme="minorHAnsi"/>
        </w:rPr>
      </w:pPr>
      <w:r w:rsidRPr="0051709F">
        <w:rPr>
          <w:rFonts w:cstheme="minorHAnsi"/>
        </w:rPr>
        <w:t>El objetivo de esta sección es dar un contexto sobre</w:t>
      </w:r>
      <w:r w:rsidR="00476DFE">
        <w:rPr>
          <w:rFonts w:cstheme="minorHAnsi"/>
        </w:rPr>
        <w:t>:</w:t>
      </w:r>
      <w:r w:rsidRPr="0051709F">
        <w:rPr>
          <w:rFonts w:cstheme="minorHAnsi"/>
        </w:rPr>
        <w:t xml:space="preserve"> 1) las estrategias nacionales relacionadas con la actividad</w:t>
      </w:r>
      <w:r w:rsidR="00034D59">
        <w:rPr>
          <w:rFonts w:cstheme="minorHAnsi"/>
        </w:rPr>
        <w:t xml:space="preserve"> física y el deporte de los 27 E</w:t>
      </w:r>
      <w:r w:rsidRPr="0051709F">
        <w:rPr>
          <w:rFonts w:cstheme="minorHAnsi"/>
        </w:rPr>
        <w:t>stados miembro de la Unión Europea</w:t>
      </w:r>
      <w:r w:rsidR="00476DFE">
        <w:rPr>
          <w:rFonts w:cstheme="minorHAnsi"/>
        </w:rPr>
        <w:t>;</w:t>
      </w:r>
      <w:r w:rsidRPr="0051709F">
        <w:rPr>
          <w:rFonts w:cstheme="minorHAnsi"/>
        </w:rPr>
        <w:t xml:space="preserve"> y 2) sobre la evaluación de sus resultados. </w:t>
      </w:r>
    </w:p>
    <w:p w14:paraId="7F33BC76" w14:textId="77777777" w:rsidR="00F63AB7" w:rsidRPr="0051709F" w:rsidRDefault="00F63AB7" w:rsidP="00F63AB7">
      <w:pPr>
        <w:jc w:val="both"/>
        <w:rPr>
          <w:rFonts w:cstheme="minorHAnsi"/>
        </w:rPr>
      </w:pPr>
    </w:p>
    <w:p w14:paraId="7ED1F9DE" w14:textId="1A761839" w:rsidR="00F63AB7" w:rsidRPr="005145E0" w:rsidRDefault="00F63AB7" w:rsidP="005145E0">
      <w:pPr>
        <w:pStyle w:val="Ttulo2"/>
        <w:numPr>
          <w:ilvl w:val="0"/>
          <w:numId w:val="0"/>
        </w:numPr>
        <w:jc w:val="both"/>
        <w:rPr>
          <w:rStyle w:val="nfasisintenso"/>
          <w:rFonts w:asciiTheme="minorHAnsi" w:hAnsiTheme="minorHAnsi" w:cstheme="minorHAnsi"/>
          <w:b/>
          <w:bCs/>
          <w:i w:val="0"/>
          <w:iCs w:val="0"/>
          <w:color w:val="2F5496" w:themeColor="accent1" w:themeShade="BF"/>
          <w:sz w:val="24"/>
          <w:szCs w:val="24"/>
          <w:lang w:val="es-ES"/>
        </w:rPr>
      </w:pPr>
      <w:r w:rsidRPr="005145E0">
        <w:rPr>
          <w:rStyle w:val="nfasisintenso"/>
          <w:rFonts w:asciiTheme="minorHAnsi" w:hAnsiTheme="minorHAnsi" w:cstheme="minorHAnsi"/>
          <w:b/>
          <w:bCs/>
          <w:i w:val="0"/>
          <w:iCs w:val="0"/>
          <w:color w:val="2F5496" w:themeColor="accent1" w:themeShade="BF"/>
          <w:sz w:val="24"/>
          <w:szCs w:val="24"/>
          <w:lang w:val="es-ES"/>
        </w:rPr>
        <w:t>Estrategias nacionales relacionadas con la actividad física y el deporte de los 27 estados miembro</w:t>
      </w:r>
      <w:r w:rsidR="00755B43" w:rsidRPr="005145E0">
        <w:rPr>
          <w:rStyle w:val="nfasisintenso"/>
          <w:rFonts w:asciiTheme="minorHAnsi" w:hAnsiTheme="minorHAnsi" w:cstheme="minorHAnsi"/>
          <w:b/>
          <w:bCs/>
          <w:i w:val="0"/>
          <w:iCs w:val="0"/>
          <w:color w:val="2F5496" w:themeColor="accent1" w:themeShade="BF"/>
          <w:sz w:val="24"/>
          <w:szCs w:val="24"/>
          <w:lang w:val="es-ES"/>
        </w:rPr>
        <w:t>s</w:t>
      </w:r>
      <w:r w:rsidRPr="005145E0">
        <w:rPr>
          <w:rStyle w:val="nfasisintenso"/>
          <w:rFonts w:asciiTheme="minorHAnsi" w:hAnsiTheme="minorHAnsi" w:cstheme="minorHAnsi"/>
          <w:b/>
          <w:bCs/>
          <w:i w:val="0"/>
          <w:iCs w:val="0"/>
          <w:color w:val="2F5496" w:themeColor="accent1" w:themeShade="BF"/>
          <w:sz w:val="24"/>
          <w:szCs w:val="24"/>
          <w:lang w:val="es-ES"/>
        </w:rPr>
        <w:t xml:space="preserve"> de la Unión Europea </w:t>
      </w:r>
    </w:p>
    <w:p w14:paraId="586BB55B" w14:textId="77777777" w:rsidR="00F63AB7" w:rsidRPr="0051709F" w:rsidRDefault="00F63AB7" w:rsidP="00F63AB7">
      <w:pPr>
        <w:jc w:val="both"/>
        <w:rPr>
          <w:rFonts w:cstheme="minorHAnsi"/>
        </w:rPr>
      </w:pPr>
    </w:p>
    <w:p w14:paraId="2E9A95C8" w14:textId="10525042" w:rsidR="001B1885" w:rsidRPr="0051709F" w:rsidRDefault="001B1885" w:rsidP="001B1885">
      <w:pPr>
        <w:jc w:val="both"/>
        <w:rPr>
          <w:rFonts w:cstheme="minorHAnsi"/>
        </w:rPr>
      </w:pPr>
      <w:r w:rsidRPr="0051709F">
        <w:rPr>
          <w:rFonts w:cstheme="minorHAnsi"/>
        </w:rPr>
        <w:t xml:space="preserve">Un informe de la Organización Mundial de la Salud </w:t>
      </w:r>
      <w:r w:rsidRPr="0051709F">
        <w:rPr>
          <w:rFonts w:cstheme="minorHAnsi"/>
          <w:highlight w:val="yellow"/>
        </w:rPr>
        <w:fldChar w:fldCharType="begin" w:fldLock="1"/>
      </w:r>
      <w:r w:rsidRPr="0051709F">
        <w:rPr>
          <w:rFonts w:cstheme="minorHAnsi"/>
        </w:rPr>
        <w:instrText>ADDIN CSL_CITATION {"citationItems":[{"id":"ITEM-1","itemData":{"author":[{"dropping-particle":"","family":"World Health Organization","given":"","non-dropping-particle":"","parse-names":false,"suffix":""}],"id":"ITEM-1","issued":{"date-parts":[["2021"]]},"publisher":"WHO Regional Office for Europe","publisher-place":"Copenhagen","title":"2021 physical activity factsheets for the European Union member dtates in the WHO European region","type":"article"},"uris":["http://www.mendeley.com/documents/?uuid=67e44d1f-733b-4807-a19b-72e63fc96a7a"]}],"mendeley":{"formattedCitation":"(World Health Organization, 2021)","plainTextFormattedCitation":"(World Health Organization, 2021)","previouslyFormattedCitation":"(World Health Organization, 2021)"},"properties":{"noteIndex":0},"schema":"https://github.com/citation-style-language/schema/raw/master/csl-citation.json"}</w:instrText>
      </w:r>
      <w:r w:rsidRPr="0051709F">
        <w:rPr>
          <w:rFonts w:cstheme="minorHAnsi"/>
          <w:highlight w:val="yellow"/>
        </w:rPr>
        <w:fldChar w:fldCharType="separate"/>
      </w:r>
      <w:r w:rsidRPr="0051709F">
        <w:rPr>
          <w:rFonts w:cstheme="minorHAnsi"/>
          <w:noProof/>
        </w:rPr>
        <w:t>(World Health Organization, 2021)</w:t>
      </w:r>
      <w:r w:rsidRPr="0051709F">
        <w:rPr>
          <w:rFonts w:cstheme="minorHAnsi"/>
          <w:highlight w:val="yellow"/>
        </w:rPr>
        <w:fldChar w:fldCharType="end"/>
      </w:r>
      <w:r w:rsidRPr="0051709F">
        <w:rPr>
          <w:rFonts w:cstheme="minorHAnsi"/>
        </w:rPr>
        <w:t xml:space="preserve"> sobre el logro en cada Estado miembro de la UE de los 23 indicadores HEPA</w:t>
      </w:r>
      <w:r w:rsidR="00476DFE">
        <w:rPr>
          <w:rFonts w:cstheme="minorHAnsi"/>
        </w:rPr>
        <w:t>,</w:t>
      </w:r>
      <w:r w:rsidRPr="0051709F">
        <w:rPr>
          <w:rFonts w:cstheme="minorHAnsi"/>
        </w:rPr>
        <w:t xml:space="preserve"> indica un </w:t>
      </w:r>
      <w:r w:rsidR="008F39C0" w:rsidRPr="004A25DB">
        <w:rPr>
          <w:rFonts w:cstheme="minorHAnsi"/>
        </w:rPr>
        <w:t>estancamiento</w:t>
      </w:r>
      <w:r w:rsidRPr="0051709F">
        <w:rPr>
          <w:rFonts w:cstheme="minorHAnsi"/>
        </w:rPr>
        <w:t xml:space="preserve"> en los últimos años de la implementación de su estrategia de actividad física. En el 2021, todos los Estados miembro de la UE contaban con, al menos, una </w:t>
      </w:r>
      <w:r w:rsidRPr="0051709F">
        <w:rPr>
          <w:rFonts w:cstheme="minorHAnsi"/>
          <w:b/>
        </w:rPr>
        <w:t xml:space="preserve">política o plan de acción nacional </w:t>
      </w:r>
      <w:r w:rsidRPr="0051709F">
        <w:rPr>
          <w:rFonts w:cstheme="minorHAnsi"/>
        </w:rPr>
        <w:t xml:space="preserve">para la promoción de la actividad física para la salud (HEPA), con una media de 6 planes por país y un total de 165 políticas nacionales. El sector Salud es el mayor promotor de estos planes (126), seguido del sector Deporte (111), Educación (105), Transporte (78), Medioambiente (76) y Planificación Urbanística (70) (ver Figura 1). De las 165 políticas, la mayoría iban dirigidas a la población general (121), pero el 74% de los Estados miembro contaban con </w:t>
      </w:r>
      <w:r w:rsidRPr="0051709F">
        <w:rPr>
          <w:rFonts w:cstheme="minorHAnsi"/>
          <w:b/>
        </w:rPr>
        <w:t>planes de acción dirigidos a grupos con necesidad</w:t>
      </w:r>
      <w:r w:rsidR="00476DFE">
        <w:rPr>
          <w:rFonts w:cstheme="minorHAnsi"/>
          <w:b/>
        </w:rPr>
        <w:t>es</w:t>
      </w:r>
      <w:r w:rsidRPr="0051709F">
        <w:rPr>
          <w:rFonts w:cstheme="minorHAnsi"/>
          <w:b/>
        </w:rPr>
        <w:t xml:space="preserve"> especial</w:t>
      </w:r>
      <w:r w:rsidR="00476DFE">
        <w:rPr>
          <w:rFonts w:cstheme="minorHAnsi"/>
          <w:b/>
        </w:rPr>
        <w:t>es</w:t>
      </w:r>
      <w:r w:rsidRPr="0051709F">
        <w:rPr>
          <w:rFonts w:cstheme="minorHAnsi"/>
          <w:b/>
        </w:rPr>
        <w:t xml:space="preserve"> </w:t>
      </w:r>
      <w:r w:rsidRPr="007B667D">
        <w:rPr>
          <w:rFonts w:cstheme="minorHAnsi"/>
          <w:b/>
          <w:bCs/>
        </w:rPr>
        <w:t>de actividad física</w:t>
      </w:r>
      <w:r w:rsidRPr="0051709F">
        <w:rPr>
          <w:rFonts w:cstheme="minorHAnsi"/>
        </w:rPr>
        <w:t xml:space="preserve">, por ejemplo, niños y adolescentes (69 políticas), personas con discapacidad (49 políticas) o mayores de 65 años (47 políticas), entre otros grupos. </w:t>
      </w:r>
    </w:p>
    <w:p w14:paraId="5DC77978" w14:textId="77777777" w:rsidR="00F63AB7" w:rsidRPr="0051709F" w:rsidRDefault="00F63AB7" w:rsidP="00F63AB7">
      <w:pPr>
        <w:jc w:val="both"/>
        <w:rPr>
          <w:rFonts w:cstheme="minorHAnsi"/>
        </w:rPr>
      </w:pPr>
    </w:p>
    <w:p w14:paraId="35E795BD" w14:textId="0839DAE2" w:rsidR="00F63AB7" w:rsidRPr="0051709F" w:rsidRDefault="00F63AB7" w:rsidP="00F63AB7">
      <w:pPr>
        <w:jc w:val="both"/>
        <w:rPr>
          <w:rFonts w:cstheme="minorHAnsi"/>
        </w:rPr>
      </w:pPr>
      <w:r w:rsidRPr="0051709F">
        <w:rPr>
          <w:rFonts w:cstheme="minorHAnsi"/>
          <w:noProof/>
          <w:lang w:val="en-GB" w:eastAsia="en-GB"/>
        </w:rPr>
        <w:drawing>
          <wp:anchor distT="0" distB="0" distL="114300" distR="114300" simplePos="0" relativeHeight="251659264" behindDoc="0" locked="0" layoutInCell="1" allowOverlap="1" wp14:anchorId="264CEE4D" wp14:editId="705EC61A">
            <wp:simplePos x="0" y="0"/>
            <wp:positionH relativeFrom="column">
              <wp:posOffset>-515620</wp:posOffset>
            </wp:positionH>
            <wp:positionV relativeFrom="paragraph">
              <wp:posOffset>180340</wp:posOffset>
            </wp:positionV>
            <wp:extent cx="6498590" cy="1358265"/>
            <wp:effectExtent l="0" t="0" r="3810" b="635"/>
            <wp:wrapSquare wrapText="bothSides"/>
            <wp:docPr id="3" name="Imagen 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8590" cy="1358265"/>
                    </a:xfrm>
                    <a:prstGeom prst="rect">
                      <a:avLst/>
                    </a:prstGeom>
                  </pic:spPr>
                </pic:pic>
              </a:graphicData>
            </a:graphic>
            <wp14:sizeRelH relativeFrom="page">
              <wp14:pctWidth>0</wp14:pctWidth>
            </wp14:sizeRelH>
            <wp14:sizeRelV relativeFrom="page">
              <wp14:pctHeight>0</wp14:pctHeight>
            </wp14:sizeRelV>
          </wp:anchor>
        </w:drawing>
      </w:r>
    </w:p>
    <w:p w14:paraId="106844D0" w14:textId="36EFDBB2" w:rsidR="00F63AB7" w:rsidRPr="007B667D" w:rsidRDefault="00DC3CB1" w:rsidP="00F63AB7">
      <w:pPr>
        <w:ind w:firstLine="720"/>
        <w:jc w:val="center"/>
        <w:rPr>
          <w:rFonts w:cstheme="minorHAnsi"/>
          <w:bCs/>
          <w:i/>
          <w:iCs/>
          <w:sz w:val="22"/>
          <w:szCs w:val="22"/>
        </w:rPr>
      </w:pPr>
      <w:r w:rsidRPr="007B667D">
        <w:rPr>
          <w:rFonts w:cstheme="minorHAnsi"/>
          <w:bCs/>
          <w:i/>
          <w:iCs/>
          <w:sz w:val="22"/>
          <w:szCs w:val="22"/>
        </w:rPr>
        <w:t>Figura 2</w:t>
      </w:r>
      <w:r w:rsidR="00F63AB7" w:rsidRPr="007B667D">
        <w:rPr>
          <w:rFonts w:cstheme="minorHAnsi"/>
          <w:bCs/>
          <w:i/>
          <w:iCs/>
          <w:sz w:val="22"/>
          <w:szCs w:val="22"/>
        </w:rPr>
        <w:t xml:space="preserve">. Sectores promotores de las políticas o planes de acción </w:t>
      </w:r>
    </w:p>
    <w:p w14:paraId="0B24882D" w14:textId="77777777" w:rsidR="00F63AB7" w:rsidRPr="007B667D" w:rsidRDefault="00F63AB7" w:rsidP="00F63AB7">
      <w:pPr>
        <w:ind w:firstLine="720"/>
        <w:jc w:val="center"/>
        <w:rPr>
          <w:rFonts w:cstheme="minorHAnsi"/>
          <w:bCs/>
          <w:i/>
          <w:iCs/>
          <w:sz w:val="22"/>
          <w:szCs w:val="22"/>
        </w:rPr>
      </w:pPr>
      <w:r w:rsidRPr="007B667D">
        <w:rPr>
          <w:rFonts w:cstheme="minorHAnsi"/>
          <w:bCs/>
          <w:i/>
          <w:iCs/>
          <w:sz w:val="22"/>
          <w:szCs w:val="22"/>
        </w:rPr>
        <w:t>para la promoción de la actividad física.</w:t>
      </w:r>
    </w:p>
    <w:p w14:paraId="1388EB0F" w14:textId="77777777" w:rsidR="00F63AB7" w:rsidRPr="0051709F" w:rsidRDefault="00F63AB7" w:rsidP="00F63AB7">
      <w:pPr>
        <w:jc w:val="both"/>
        <w:rPr>
          <w:rFonts w:cstheme="minorHAnsi"/>
        </w:rPr>
      </w:pPr>
    </w:p>
    <w:p w14:paraId="06AE6795" w14:textId="77777777" w:rsidR="00F63AB7" w:rsidRPr="0051709F" w:rsidRDefault="00F63AB7" w:rsidP="00F63AB7">
      <w:pPr>
        <w:jc w:val="both"/>
        <w:rPr>
          <w:rFonts w:cstheme="minorHAnsi"/>
        </w:rPr>
      </w:pPr>
    </w:p>
    <w:p w14:paraId="6BC87D64" w14:textId="64DF5ADD" w:rsidR="00F63AB7" w:rsidRPr="0051709F" w:rsidRDefault="00F63AB7" w:rsidP="00F63AB7">
      <w:pPr>
        <w:jc w:val="both"/>
        <w:rPr>
          <w:rFonts w:cstheme="minorHAnsi"/>
        </w:rPr>
      </w:pPr>
      <w:r w:rsidRPr="0051709F">
        <w:rPr>
          <w:rFonts w:cstheme="minorHAnsi"/>
        </w:rPr>
        <w:lastRenderedPageBreak/>
        <w:t>Es importante señalar que, a pesar de los avances, varios indicadores HEPA disminuyeron o no mostraron progreso desde 2018 a 2021, entre ellos los indicadores 2 y 3, los cuales evalúan si los adultos</w:t>
      </w:r>
      <w:r w:rsidR="00476DFE">
        <w:rPr>
          <w:rFonts w:cstheme="minorHAnsi"/>
        </w:rPr>
        <w:t>,</w:t>
      </w:r>
      <w:r w:rsidRPr="0051709F">
        <w:rPr>
          <w:rFonts w:cstheme="minorHAnsi"/>
        </w:rPr>
        <w:t xml:space="preserve"> niños y adolescentes alcanzan la recomendación mínima de la </w:t>
      </w:r>
      <w:r w:rsidR="006D4843">
        <w:rPr>
          <w:rFonts w:cstheme="minorHAnsi"/>
          <w:bCs/>
        </w:rPr>
        <w:t>Organización Mundial de la Salud</w:t>
      </w:r>
      <w:r w:rsidR="006D4843" w:rsidRPr="006D4843">
        <w:rPr>
          <w:rFonts w:cstheme="minorHAnsi"/>
          <w:bCs/>
        </w:rPr>
        <w:t xml:space="preserve"> </w:t>
      </w:r>
      <w:r w:rsidRPr="0051709F">
        <w:rPr>
          <w:rFonts w:cstheme="minorHAnsi"/>
        </w:rPr>
        <w:t>sobre actividad física para la salud. Por tanto, es necesario seguir trabajando para fomentar un estilo de vida activo desde las organizaciones públicas.</w:t>
      </w:r>
    </w:p>
    <w:p w14:paraId="7C4BA545" w14:textId="77777777" w:rsidR="0046459D" w:rsidRPr="0051709F" w:rsidRDefault="0046459D" w:rsidP="0046459D">
      <w:pPr>
        <w:rPr>
          <w:rFonts w:cstheme="minorHAnsi"/>
        </w:rPr>
      </w:pPr>
    </w:p>
    <w:p w14:paraId="04EA2843" w14:textId="67ADAF84" w:rsidR="00074BD3" w:rsidRPr="0051709F" w:rsidRDefault="00074BD3" w:rsidP="007B667D">
      <w:pPr>
        <w:jc w:val="both"/>
        <w:rPr>
          <w:rFonts w:cstheme="minorHAnsi"/>
        </w:rPr>
      </w:pPr>
      <w:r w:rsidRPr="0051709F">
        <w:rPr>
          <w:rFonts w:cstheme="minorHAnsi"/>
        </w:rPr>
        <w:t xml:space="preserve">A continuación, se muestran las políticas o planes de acción nacionales para la promoción de la actividad </w:t>
      </w:r>
      <w:r w:rsidR="001B1885" w:rsidRPr="0051709F">
        <w:rPr>
          <w:rFonts w:cstheme="minorHAnsi"/>
        </w:rPr>
        <w:t>física para la salud de los 27 E</w:t>
      </w:r>
      <w:r w:rsidRPr="0051709F">
        <w:rPr>
          <w:rFonts w:cstheme="minorHAnsi"/>
        </w:rPr>
        <w:t>stados miembro de</w:t>
      </w:r>
      <w:r w:rsidR="00921AA9" w:rsidRPr="0051709F">
        <w:rPr>
          <w:rFonts w:cstheme="minorHAnsi"/>
        </w:rPr>
        <w:t xml:space="preserve"> </w:t>
      </w:r>
      <w:r w:rsidRPr="0051709F">
        <w:rPr>
          <w:rFonts w:cstheme="minorHAnsi"/>
        </w:rPr>
        <w:t>la UE:</w:t>
      </w:r>
    </w:p>
    <w:p w14:paraId="74ABAB76" w14:textId="77777777" w:rsidR="00074BD3" w:rsidRPr="0051709F" w:rsidRDefault="00074BD3" w:rsidP="00074BD3">
      <w:pPr>
        <w:ind w:firstLine="720"/>
        <w:rPr>
          <w:rFonts w:cstheme="minorHAnsi"/>
        </w:rPr>
      </w:pPr>
    </w:p>
    <w:p w14:paraId="26173EA0" w14:textId="2E8EB3EB" w:rsidR="00074BD3" w:rsidRPr="007B667D" w:rsidRDefault="00074BD3" w:rsidP="00074BD3">
      <w:pPr>
        <w:rPr>
          <w:rFonts w:cstheme="minorHAnsi"/>
          <w:b/>
          <w:bCs/>
        </w:rPr>
      </w:pPr>
      <w:r w:rsidRPr="007B667D">
        <w:rPr>
          <w:rFonts w:cstheme="minorHAnsi"/>
          <w:b/>
          <w:bCs/>
        </w:rPr>
        <w:t>ALEMANIA (4 planes)</w:t>
      </w:r>
      <w:r w:rsidR="00755B43" w:rsidRPr="007B667D">
        <w:rPr>
          <w:rFonts w:cstheme="minorHAnsi"/>
          <w:b/>
          <w:bCs/>
        </w:rPr>
        <w:t>:</w:t>
      </w:r>
    </w:p>
    <w:p w14:paraId="64CA4103" w14:textId="7F963458" w:rsidR="00074BD3" w:rsidRPr="0051709F" w:rsidRDefault="00074BD3" w:rsidP="00755B43">
      <w:pPr>
        <w:pStyle w:val="Prrafodelista"/>
        <w:numPr>
          <w:ilvl w:val="0"/>
          <w:numId w:val="1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PREVENTIVE HEALTH CARE ACT (PRÄVENTIONSGESETZ) (2015)</w:t>
      </w:r>
      <w:r w:rsidR="00476DFE">
        <w:rPr>
          <w:rFonts w:asciiTheme="minorHAnsi" w:hAnsiTheme="minorHAnsi" w:cstheme="minorHAnsi"/>
          <w:sz w:val="24"/>
          <w:szCs w:val="24"/>
        </w:rPr>
        <w:t>,</w:t>
      </w:r>
    </w:p>
    <w:p w14:paraId="3E2CF578" w14:textId="742C5FD0" w:rsidR="00074BD3" w:rsidRPr="0051709F" w:rsidRDefault="00074BD3" w:rsidP="00755B43">
      <w:pPr>
        <w:pStyle w:val="Prrafodelista"/>
        <w:numPr>
          <w:ilvl w:val="0"/>
          <w:numId w:val="1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ACTION PLAN IN FORM (2008)</w:t>
      </w:r>
      <w:r w:rsidR="00476DFE">
        <w:rPr>
          <w:rFonts w:asciiTheme="minorHAnsi" w:hAnsiTheme="minorHAnsi" w:cstheme="minorHAnsi"/>
          <w:sz w:val="24"/>
          <w:szCs w:val="24"/>
        </w:rPr>
        <w:t>,</w:t>
      </w:r>
    </w:p>
    <w:p w14:paraId="5DD1CD37" w14:textId="35B543B2" w:rsidR="00074BD3" w:rsidRPr="0051709F" w:rsidRDefault="00074BD3" w:rsidP="00755B43">
      <w:pPr>
        <w:pStyle w:val="Prrafodelista"/>
        <w:numPr>
          <w:ilvl w:val="0"/>
          <w:numId w:val="1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CYCLING PLAN (NATIONALER RADVERKEHRSPLAN) (2022)</w:t>
      </w:r>
      <w:r w:rsidR="00476DFE">
        <w:rPr>
          <w:rFonts w:asciiTheme="minorHAnsi" w:hAnsiTheme="minorHAnsi" w:cstheme="minorHAnsi"/>
          <w:sz w:val="24"/>
          <w:szCs w:val="24"/>
        </w:rPr>
        <w:t>,</w:t>
      </w:r>
    </w:p>
    <w:p w14:paraId="54BAA1E7" w14:textId="3D1F5894" w:rsidR="00074BD3" w:rsidRPr="00C13402" w:rsidRDefault="00074BD3" w:rsidP="00755B43">
      <w:pPr>
        <w:pStyle w:val="Prrafodelista"/>
        <w:numPr>
          <w:ilvl w:val="0"/>
          <w:numId w:val="12"/>
        </w:numPr>
        <w:spacing w:after="160" w:line="259" w:lineRule="auto"/>
        <w:jc w:val="both"/>
        <w:rPr>
          <w:rFonts w:asciiTheme="minorHAnsi" w:hAnsiTheme="minorHAnsi" w:cstheme="minorHAnsi"/>
          <w:sz w:val="24"/>
          <w:szCs w:val="24"/>
          <w:lang w:val="de-DE"/>
        </w:rPr>
      </w:pPr>
      <w:r w:rsidRPr="00C13402">
        <w:rPr>
          <w:rFonts w:asciiTheme="minorHAnsi" w:hAnsiTheme="minorHAnsi" w:cstheme="minorHAnsi"/>
          <w:sz w:val="24"/>
          <w:szCs w:val="24"/>
          <w:lang w:val="de-DE"/>
        </w:rPr>
        <w:t>NATIONAL DEMENTIA STRATEGY (NATIONALE DEMENZSTRATEGIE) (2020)</w:t>
      </w:r>
      <w:r w:rsidR="00476DFE" w:rsidRPr="00C13402">
        <w:rPr>
          <w:rFonts w:asciiTheme="minorHAnsi" w:hAnsiTheme="minorHAnsi" w:cstheme="minorHAnsi"/>
          <w:sz w:val="24"/>
          <w:szCs w:val="24"/>
          <w:lang w:val="de-DE"/>
        </w:rPr>
        <w:t>.</w:t>
      </w:r>
    </w:p>
    <w:p w14:paraId="16E1FC7A" w14:textId="77777777" w:rsidR="00074BD3" w:rsidRPr="007B667D" w:rsidRDefault="00074BD3" w:rsidP="00755B43">
      <w:pPr>
        <w:jc w:val="both"/>
        <w:rPr>
          <w:rFonts w:cstheme="minorHAnsi"/>
          <w:b/>
          <w:bCs/>
        </w:rPr>
      </w:pPr>
      <w:r w:rsidRPr="007B667D">
        <w:rPr>
          <w:rFonts w:cstheme="minorHAnsi"/>
          <w:b/>
          <w:bCs/>
        </w:rPr>
        <w:t>AUSTRIA (5 planes):</w:t>
      </w:r>
    </w:p>
    <w:p w14:paraId="769F9AD3" w14:textId="34CE5C1E" w:rsidR="00074BD3" w:rsidRPr="0051709F" w:rsidRDefault="00074BD3" w:rsidP="00755B43">
      <w:pPr>
        <w:pStyle w:val="Prrafodelista"/>
        <w:numPr>
          <w:ilvl w:val="0"/>
          <w:numId w:val="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ACTION PLAN FOR PHYSICAL ACTIVITY (NATIONALER AKTIONSPLAN BEWEGUNG) (2013)</w:t>
      </w:r>
      <w:r w:rsidR="00CF11BD">
        <w:rPr>
          <w:rFonts w:asciiTheme="minorHAnsi" w:hAnsiTheme="minorHAnsi" w:cstheme="minorHAnsi"/>
          <w:sz w:val="24"/>
          <w:szCs w:val="24"/>
        </w:rPr>
        <w:t>,</w:t>
      </w:r>
    </w:p>
    <w:p w14:paraId="64038DEE" w14:textId="4047B4B5" w:rsidR="00074BD3" w:rsidRPr="0051709F" w:rsidRDefault="00074BD3" w:rsidP="00755B43">
      <w:pPr>
        <w:pStyle w:val="Prrafodelista"/>
        <w:numPr>
          <w:ilvl w:val="0"/>
          <w:numId w:val="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AUSTRIAN 10 HEALTH TARGETS (2012)</w:t>
      </w:r>
      <w:r w:rsidR="00CF11BD">
        <w:rPr>
          <w:rFonts w:asciiTheme="minorHAnsi" w:hAnsiTheme="minorHAnsi" w:cstheme="minorHAnsi"/>
          <w:sz w:val="24"/>
          <w:szCs w:val="24"/>
        </w:rPr>
        <w:t>,</w:t>
      </w:r>
    </w:p>
    <w:p w14:paraId="7768D845" w14:textId="769EFDE3" w:rsidR="00074BD3" w:rsidRPr="0051709F" w:rsidRDefault="00074BD3" w:rsidP="00755B43">
      <w:pPr>
        <w:pStyle w:val="Prrafodelista"/>
        <w:numPr>
          <w:ilvl w:val="0"/>
          <w:numId w:val="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NATIONALER AKTIONSPLAN BEHINDERUNG</w:t>
      </w:r>
      <w:r w:rsidR="00DA6852">
        <w:rPr>
          <w:rFonts w:asciiTheme="minorHAnsi" w:hAnsiTheme="minorHAnsi" w:cstheme="minorHAnsi"/>
          <w:sz w:val="24"/>
          <w:szCs w:val="24"/>
        </w:rPr>
        <w:t xml:space="preserve"> (</w:t>
      </w:r>
      <w:r w:rsidR="00DA6852" w:rsidRPr="00DA6852">
        <w:rPr>
          <w:rFonts w:asciiTheme="minorHAnsi" w:hAnsiTheme="minorHAnsi" w:cstheme="minorHAnsi"/>
          <w:sz w:val="24"/>
          <w:szCs w:val="24"/>
        </w:rPr>
        <w:t>NATIONAL DISABILITY ACTION PLAN</w:t>
      </w:r>
      <w:r w:rsidR="00DA6852">
        <w:rPr>
          <w:rFonts w:asciiTheme="minorHAnsi" w:hAnsiTheme="minorHAnsi" w:cstheme="minorHAnsi"/>
          <w:sz w:val="24"/>
          <w:szCs w:val="24"/>
        </w:rPr>
        <w:t>),</w:t>
      </w:r>
      <w:r w:rsidRPr="0051709F">
        <w:rPr>
          <w:rFonts w:asciiTheme="minorHAnsi" w:hAnsiTheme="minorHAnsi" w:cstheme="minorHAnsi"/>
          <w:sz w:val="24"/>
          <w:szCs w:val="24"/>
        </w:rPr>
        <w:t xml:space="preserve"> 2012–2020 (2012)</w:t>
      </w:r>
      <w:r w:rsidR="00CF11BD">
        <w:rPr>
          <w:rFonts w:asciiTheme="minorHAnsi" w:hAnsiTheme="minorHAnsi" w:cstheme="minorHAnsi"/>
          <w:sz w:val="24"/>
          <w:szCs w:val="24"/>
        </w:rPr>
        <w:t>,</w:t>
      </w:r>
    </w:p>
    <w:p w14:paraId="0C3DD617" w14:textId="52E76E48" w:rsidR="00074BD3" w:rsidRPr="0051709F" w:rsidRDefault="00074BD3" w:rsidP="00755B43">
      <w:pPr>
        <w:pStyle w:val="Prrafodelista"/>
        <w:numPr>
          <w:ilvl w:val="0"/>
          <w:numId w:val="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MASTERPLAN CYCLING 2015–2025 STRATEGY (2015)</w:t>
      </w:r>
      <w:r w:rsidR="00CF11BD">
        <w:rPr>
          <w:rFonts w:asciiTheme="minorHAnsi" w:hAnsiTheme="minorHAnsi" w:cstheme="minorHAnsi"/>
          <w:sz w:val="24"/>
          <w:szCs w:val="24"/>
        </w:rPr>
        <w:t>,</w:t>
      </w:r>
    </w:p>
    <w:p w14:paraId="3B4AF01F" w14:textId="722815B1" w:rsidR="00074BD3" w:rsidRPr="0051709F" w:rsidRDefault="00074BD3" w:rsidP="00755B43">
      <w:pPr>
        <w:pStyle w:val="Prrafodelista"/>
        <w:numPr>
          <w:ilvl w:val="0"/>
          <w:numId w:val="4"/>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MASTERPLAN WALKING</w:t>
      </w:r>
      <w:r w:rsidRPr="0051709F">
        <w:rPr>
          <w:rFonts w:asciiTheme="minorHAnsi" w:hAnsiTheme="minorHAnsi" w:cstheme="minorHAnsi"/>
          <w:sz w:val="24"/>
          <w:szCs w:val="24"/>
        </w:rPr>
        <w:t xml:space="preserve"> (2021)</w:t>
      </w:r>
      <w:r w:rsidR="00CF11BD">
        <w:rPr>
          <w:rFonts w:asciiTheme="minorHAnsi" w:hAnsiTheme="minorHAnsi" w:cstheme="minorHAnsi"/>
          <w:sz w:val="24"/>
          <w:szCs w:val="24"/>
        </w:rPr>
        <w:t>.</w:t>
      </w:r>
    </w:p>
    <w:p w14:paraId="44EA9ED7" w14:textId="77777777" w:rsidR="00074BD3" w:rsidRPr="007B667D" w:rsidRDefault="00074BD3" w:rsidP="00755B43">
      <w:pPr>
        <w:jc w:val="both"/>
        <w:rPr>
          <w:rFonts w:cstheme="minorHAnsi"/>
          <w:b/>
          <w:bCs/>
        </w:rPr>
      </w:pPr>
      <w:r w:rsidRPr="007B667D">
        <w:rPr>
          <w:rFonts w:cstheme="minorHAnsi"/>
          <w:b/>
          <w:bCs/>
        </w:rPr>
        <w:t>BÉLGICA (7 planes):</w:t>
      </w:r>
    </w:p>
    <w:p w14:paraId="77DC862E" w14:textId="6CE0D53F"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ORGANIZED SPORTS SECTOR: GUARANTEE OF SUSTAINABLE SPORT (2016)</w:t>
      </w:r>
      <w:r w:rsidR="00CF11BD">
        <w:rPr>
          <w:rFonts w:asciiTheme="minorHAnsi" w:hAnsiTheme="minorHAnsi" w:cstheme="minorHAnsi"/>
          <w:sz w:val="24"/>
          <w:szCs w:val="24"/>
        </w:rPr>
        <w:t>,</w:t>
      </w:r>
    </w:p>
    <w:p w14:paraId="62147803" w14:textId="05768821"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ACTION PLAN: SPORTS AT THE WORKPLACE (SPORT OP HET WERK)</w:t>
      </w:r>
      <w:r w:rsidR="00CF11BD">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464CFB1C" w14:textId="2F511CD3"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G-SPORT POLICY AND ACTION PLAN FOR PEOPLE WITH DISABILITIES</w:t>
      </w:r>
      <w:r w:rsidR="00CF11BD">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124A29DB" w14:textId="0C00C5F7"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STRATEGY TO OPEN SCHOOL SPORT INFRASTRUCTURE AFTER SCHOOL HOURS (2021)</w:t>
      </w:r>
      <w:r w:rsidR="00CF11BD">
        <w:rPr>
          <w:rFonts w:asciiTheme="minorHAnsi" w:hAnsiTheme="minorHAnsi" w:cstheme="minorHAnsi"/>
          <w:sz w:val="24"/>
          <w:szCs w:val="24"/>
        </w:rPr>
        <w:t>,</w:t>
      </w:r>
    </w:p>
    <w:p w14:paraId="42347161" w14:textId="074304BA"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STRATEGIC PLAN “DE VLAMING LIVES HEALTHIER IN 2025” (STRATEGISCH PLAN ‘DE VLAMING LEEFT GEZONDER IN 2025) (2018)</w:t>
      </w:r>
      <w:r w:rsidR="00CF11BD">
        <w:rPr>
          <w:rFonts w:asciiTheme="minorHAnsi" w:hAnsiTheme="minorHAnsi" w:cstheme="minorHAnsi"/>
          <w:sz w:val="24"/>
          <w:szCs w:val="24"/>
        </w:rPr>
        <w:t>,</w:t>
      </w:r>
    </w:p>
    <w:p w14:paraId="70EE6044" w14:textId="48AF94B2"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MOVE ALONG (MOEV): PHYSICAL ACTIVITY POLICY IN THE HEALTHY SCHOOLS FRAMEWORK (2023)</w:t>
      </w:r>
      <w:r w:rsidR="00CF11BD">
        <w:rPr>
          <w:rFonts w:asciiTheme="minorHAnsi" w:hAnsiTheme="minorHAnsi" w:cstheme="minorHAnsi"/>
          <w:sz w:val="24"/>
          <w:szCs w:val="24"/>
        </w:rPr>
        <w:t>,</w:t>
      </w:r>
    </w:p>
    <w:p w14:paraId="03EFFC3B" w14:textId="53F9274A" w:rsidR="00074BD3" w:rsidRPr="0051709F" w:rsidRDefault="00074BD3" w:rsidP="00755B43">
      <w:pPr>
        <w:pStyle w:val="Prrafodelista"/>
        <w:numPr>
          <w:ilvl w:val="0"/>
          <w:numId w:val="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EDUCATIONAL GOALS FOR HEALTH (no disponible)</w:t>
      </w:r>
      <w:r w:rsidR="00CF11BD">
        <w:rPr>
          <w:rFonts w:asciiTheme="minorHAnsi" w:hAnsiTheme="minorHAnsi" w:cstheme="minorHAnsi"/>
          <w:sz w:val="24"/>
          <w:szCs w:val="24"/>
        </w:rPr>
        <w:t>.</w:t>
      </w:r>
    </w:p>
    <w:p w14:paraId="28AC09B9" w14:textId="77777777" w:rsidR="00074BD3" w:rsidRPr="007B667D" w:rsidRDefault="00074BD3" w:rsidP="00755B43">
      <w:pPr>
        <w:jc w:val="both"/>
        <w:rPr>
          <w:rFonts w:cstheme="minorHAnsi"/>
          <w:b/>
          <w:bCs/>
        </w:rPr>
      </w:pPr>
      <w:r w:rsidRPr="007B667D">
        <w:rPr>
          <w:rFonts w:cstheme="minorHAnsi"/>
          <w:b/>
          <w:bCs/>
        </w:rPr>
        <w:t>BULGARIA (6 planes)</w:t>
      </w:r>
    </w:p>
    <w:p w14:paraId="6AFDD113" w14:textId="65C323AB"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FOR DEVELOPMENT OF PHYSICAL ACTIVITY,</w:t>
      </w:r>
      <w:r w:rsidR="00CF11BD">
        <w:rPr>
          <w:rFonts w:asciiTheme="minorHAnsi" w:hAnsiTheme="minorHAnsi" w:cstheme="minorHAnsi"/>
          <w:sz w:val="24"/>
          <w:szCs w:val="24"/>
        </w:rPr>
        <w:t xml:space="preserve"> </w:t>
      </w:r>
      <w:r w:rsidRPr="0051709F">
        <w:rPr>
          <w:rFonts w:asciiTheme="minorHAnsi" w:hAnsiTheme="minorHAnsi" w:cstheme="minorHAnsi"/>
          <w:sz w:val="24"/>
          <w:szCs w:val="24"/>
        </w:rPr>
        <w:t>PHYSICAL EDUCATION, SPORTS AND TOURISM ACTIVITIES 2021–2022 (2021)</w:t>
      </w:r>
      <w:r w:rsidR="00CF11BD">
        <w:rPr>
          <w:rFonts w:asciiTheme="minorHAnsi" w:hAnsiTheme="minorHAnsi" w:cstheme="minorHAnsi"/>
          <w:sz w:val="24"/>
          <w:szCs w:val="24"/>
        </w:rPr>
        <w:t>,</w:t>
      </w:r>
    </w:p>
    <w:p w14:paraId="264AC20F" w14:textId="77D71A45"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STRATEGY 2014–2020 (2014)</w:t>
      </w:r>
      <w:r w:rsidR="00CF11BD">
        <w:rPr>
          <w:rFonts w:asciiTheme="minorHAnsi" w:hAnsiTheme="minorHAnsi" w:cstheme="minorHAnsi"/>
          <w:sz w:val="24"/>
          <w:szCs w:val="24"/>
        </w:rPr>
        <w:t>,</w:t>
      </w:r>
    </w:p>
    <w:p w14:paraId="1D03928B" w14:textId="5EE9744A"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STRATEGY 2021–2030 (2021)</w:t>
      </w:r>
      <w:r w:rsidR="00CF11BD">
        <w:rPr>
          <w:rFonts w:asciiTheme="minorHAnsi" w:hAnsiTheme="minorHAnsi" w:cstheme="minorHAnsi"/>
          <w:sz w:val="24"/>
          <w:szCs w:val="24"/>
        </w:rPr>
        <w:t>,</w:t>
      </w:r>
    </w:p>
    <w:p w14:paraId="2D1990D9" w14:textId="75277224"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FOR PREVENTION OF CHRONIC NONCOMMUNICABLE DISEASES 2014–2020 (2014)</w:t>
      </w:r>
      <w:r w:rsidR="00CF11BD">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48D6B112" w14:textId="42921A7A"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FOR PREVENTION OF CHRONIC NONCOMMUNICABLE DISEASES 2021–2025 (no disponible)</w:t>
      </w:r>
      <w:r w:rsidR="00CF11BD">
        <w:rPr>
          <w:rFonts w:asciiTheme="minorHAnsi" w:hAnsiTheme="minorHAnsi" w:cstheme="minorHAnsi"/>
          <w:sz w:val="24"/>
          <w:szCs w:val="24"/>
        </w:rPr>
        <w:t>,</w:t>
      </w:r>
    </w:p>
    <w:p w14:paraId="6F53CA04" w14:textId="0367597C" w:rsidR="00074BD3" w:rsidRPr="0051709F" w:rsidRDefault="00074BD3" w:rsidP="00755B43">
      <w:pPr>
        <w:pStyle w:val="Prrafodelista"/>
        <w:numPr>
          <w:ilvl w:val="0"/>
          <w:numId w:val="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lastRenderedPageBreak/>
        <w:t>NATIONAL STRATEGY FOR DEVELOPMENT OF PHYSICAL EDUCATION AND SPORTS 2012–2022 (2012)</w:t>
      </w:r>
      <w:r w:rsidR="00CF11BD">
        <w:rPr>
          <w:rFonts w:asciiTheme="minorHAnsi" w:hAnsiTheme="minorHAnsi" w:cstheme="minorHAnsi"/>
          <w:sz w:val="24"/>
          <w:szCs w:val="24"/>
        </w:rPr>
        <w:t>.</w:t>
      </w:r>
    </w:p>
    <w:p w14:paraId="7C79EA6B" w14:textId="77777777" w:rsidR="00074BD3" w:rsidRPr="007B667D" w:rsidRDefault="00074BD3" w:rsidP="00755B43">
      <w:pPr>
        <w:jc w:val="both"/>
        <w:rPr>
          <w:rFonts w:cstheme="minorHAnsi"/>
          <w:b/>
          <w:bCs/>
        </w:rPr>
      </w:pPr>
      <w:r w:rsidRPr="007B667D">
        <w:rPr>
          <w:rFonts w:cstheme="minorHAnsi"/>
          <w:b/>
          <w:bCs/>
        </w:rPr>
        <w:t>CHIPRE (6 planes)</w:t>
      </w:r>
    </w:p>
    <w:p w14:paraId="6C230B85" w14:textId="5B4121B8"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SPORTS FOR ALL (1985)</w:t>
      </w:r>
      <w:r w:rsidR="00CF11BD">
        <w:rPr>
          <w:rFonts w:asciiTheme="minorHAnsi" w:hAnsiTheme="minorHAnsi" w:cstheme="minorHAnsi"/>
          <w:sz w:val="24"/>
          <w:szCs w:val="24"/>
        </w:rPr>
        <w:t>,</w:t>
      </w:r>
    </w:p>
    <w:p w14:paraId="177DE8E0" w14:textId="03D58F36"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TACKLING DEPENDENCE ON LEGAL AND ILLEGAL SUBSTANCES (2022)</w:t>
      </w:r>
      <w:r w:rsidR="00CF11BD">
        <w:rPr>
          <w:rFonts w:asciiTheme="minorHAnsi" w:hAnsiTheme="minorHAnsi" w:cstheme="minorHAnsi"/>
          <w:sz w:val="24"/>
          <w:szCs w:val="24"/>
        </w:rPr>
        <w:t>,</w:t>
      </w:r>
    </w:p>
    <w:p w14:paraId="545BA115" w14:textId="7CDD2EE5"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STRATEGIC PROGRAMME FOR INCLUSION OF FOREIGNERS AND IMMIGRANTS (2022)</w:t>
      </w:r>
      <w:r w:rsidR="00CF11BD">
        <w:rPr>
          <w:rFonts w:asciiTheme="minorHAnsi" w:hAnsiTheme="minorHAnsi" w:cstheme="minorHAnsi"/>
          <w:sz w:val="24"/>
          <w:szCs w:val="24"/>
        </w:rPr>
        <w:t>,</w:t>
      </w:r>
    </w:p>
    <w:p w14:paraId="5A3F75F3" w14:textId="55CBA564"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PLAN FOR SUPPORTING MINORITY RELIGIOUS GROUPS (</w:t>
      </w:r>
      <w:r w:rsidR="00CF11BD">
        <w:rPr>
          <w:rFonts w:asciiTheme="minorHAnsi" w:hAnsiTheme="minorHAnsi" w:cstheme="minorHAnsi"/>
          <w:sz w:val="24"/>
          <w:szCs w:val="24"/>
        </w:rPr>
        <w:t>,</w:t>
      </w:r>
    </w:p>
    <w:p w14:paraId="4F9CC484" w14:textId="0094C5E6"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PLAN FOR SUPPORTING INSTITUTIONS’ SPORT ACTIVITIES</w:t>
      </w:r>
      <w:r w:rsidR="00CF11BD">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4C2BE29B" w14:textId="6678B07D" w:rsidR="00074BD3" w:rsidRPr="0051709F" w:rsidRDefault="00074BD3" w:rsidP="00755B43">
      <w:pPr>
        <w:pStyle w:val="Prrafodelista"/>
        <w:numPr>
          <w:ilvl w:val="0"/>
          <w:numId w:val="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PLAN TO SUPPORT VULNERABLE POPULATION GROUPS</w:t>
      </w:r>
      <w:r w:rsidR="00CF11BD">
        <w:rPr>
          <w:rFonts w:asciiTheme="minorHAnsi" w:hAnsiTheme="minorHAnsi" w:cstheme="minorHAnsi"/>
          <w:sz w:val="24"/>
          <w:szCs w:val="24"/>
        </w:rPr>
        <w:t>.</w:t>
      </w:r>
    </w:p>
    <w:p w14:paraId="4AA1284E" w14:textId="77777777" w:rsidR="00074BD3" w:rsidRPr="007B667D" w:rsidRDefault="00074BD3" w:rsidP="00755B43">
      <w:pPr>
        <w:jc w:val="both"/>
        <w:rPr>
          <w:rFonts w:cstheme="minorHAnsi"/>
          <w:b/>
          <w:bCs/>
        </w:rPr>
      </w:pPr>
      <w:r w:rsidRPr="007B667D">
        <w:rPr>
          <w:rFonts w:cstheme="minorHAnsi"/>
          <w:b/>
          <w:bCs/>
        </w:rPr>
        <w:t>CROACIA (6 planes)</w:t>
      </w:r>
    </w:p>
    <w:p w14:paraId="23940391" w14:textId="4CAE30F4"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CARE STRATEGY 2012-2020 (2012)</w:t>
      </w:r>
      <w:r w:rsidR="000A5C61">
        <w:rPr>
          <w:rFonts w:asciiTheme="minorHAnsi" w:hAnsiTheme="minorHAnsi" w:cstheme="minorHAnsi"/>
          <w:sz w:val="24"/>
          <w:szCs w:val="24"/>
        </w:rPr>
        <w:t>,</w:t>
      </w:r>
    </w:p>
    <w:p w14:paraId="0059933E" w14:textId="0D65ECC0"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“HEALTHY LIVING” (2015)</w:t>
      </w:r>
      <w:r w:rsidR="000A5C61">
        <w:rPr>
          <w:rFonts w:asciiTheme="minorHAnsi" w:hAnsiTheme="minorHAnsi" w:cstheme="minorHAnsi"/>
          <w:sz w:val="24"/>
          <w:szCs w:val="24"/>
        </w:rPr>
        <w:t>,</w:t>
      </w:r>
    </w:p>
    <w:p w14:paraId="07726288" w14:textId="6B3E5F37"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ACTION PLAN FOR PREVENTION AND CONTROL OF NONCOMMUNICABLE DISEASES 2020-2026 (2020)</w:t>
      </w:r>
      <w:r w:rsidR="000A5C61">
        <w:rPr>
          <w:rFonts w:asciiTheme="minorHAnsi" w:hAnsiTheme="minorHAnsi" w:cstheme="minorHAnsi"/>
          <w:sz w:val="24"/>
          <w:szCs w:val="24"/>
        </w:rPr>
        <w:t>,</w:t>
      </w:r>
    </w:p>
    <w:p w14:paraId="4A3AA6F1" w14:textId="7E820E9C"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SPORTS PROGRAM 2019-2026 (2019)</w:t>
      </w:r>
      <w:r w:rsidR="000A5C61">
        <w:rPr>
          <w:rFonts w:asciiTheme="minorHAnsi" w:hAnsiTheme="minorHAnsi" w:cstheme="minorHAnsi"/>
          <w:sz w:val="24"/>
          <w:szCs w:val="24"/>
        </w:rPr>
        <w:t>,</w:t>
      </w:r>
    </w:p>
    <w:p w14:paraId="472341DC" w14:textId="718C22AB"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SPORTS ACT (2006)</w:t>
      </w:r>
      <w:r w:rsidR="000A5C61">
        <w:rPr>
          <w:rFonts w:asciiTheme="minorHAnsi" w:hAnsiTheme="minorHAnsi" w:cstheme="minorHAnsi"/>
          <w:sz w:val="24"/>
          <w:szCs w:val="24"/>
          <w:lang w:val="es-ES"/>
        </w:rPr>
        <w:t>,</w:t>
      </w:r>
    </w:p>
    <w:p w14:paraId="2EA26911" w14:textId="6F54C35A" w:rsidR="00074BD3" w:rsidRPr="0051709F" w:rsidRDefault="00074BD3" w:rsidP="00755B43">
      <w:pPr>
        <w:pStyle w:val="Prrafodelista"/>
        <w:numPr>
          <w:ilvl w:val="0"/>
          <w:numId w:val="29"/>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THE NATIONAL DEVELOPMENT STRATEGY 2030 (2020)</w:t>
      </w:r>
      <w:r w:rsidR="000A5C61">
        <w:rPr>
          <w:rFonts w:asciiTheme="minorHAnsi" w:hAnsiTheme="minorHAnsi" w:cstheme="minorHAnsi"/>
          <w:sz w:val="24"/>
          <w:szCs w:val="24"/>
          <w:lang w:val="es-ES"/>
        </w:rPr>
        <w:t>.</w:t>
      </w:r>
    </w:p>
    <w:p w14:paraId="27A58A58" w14:textId="77777777" w:rsidR="00074BD3" w:rsidRPr="007B667D" w:rsidRDefault="00074BD3" w:rsidP="00755B43">
      <w:pPr>
        <w:jc w:val="both"/>
        <w:rPr>
          <w:rFonts w:cstheme="minorHAnsi"/>
          <w:b/>
          <w:bCs/>
        </w:rPr>
      </w:pPr>
      <w:r w:rsidRPr="007B667D">
        <w:rPr>
          <w:rFonts w:cstheme="minorHAnsi"/>
          <w:b/>
          <w:bCs/>
        </w:rPr>
        <w:t>DINAMARCA (10 planes)</w:t>
      </w:r>
    </w:p>
    <w:p w14:paraId="14B90B4B" w14:textId="72A7AB9B"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POLITICAL AGREEMENT ON SPORT (2014)</w:t>
      </w:r>
      <w:r w:rsidR="000A5C61">
        <w:rPr>
          <w:rFonts w:asciiTheme="minorHAnsi" w:hAnsiTheme="minorHAnsi" w:cstheme="minorHAnsi"/>
          <w:sz w:val="24"/>
          <w:szCs w:val="24"/>
        </w:rPr>
        <w:t>,</w:t>
      </w:r>
    </w:p>
    <w:p w14:paraId="19F2EE00" w14:textId="1B86B47E"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DANISH SPORT POLICY AIMS (2016)</w:t>
      </w:r>
      <w:r w:rsidR="000A5C61">
        <w:rPr>
          <w:rFonts w:asciiTheme="minorHAnsi" w:hAnsiTheme="minorHAnsi" w:cstheme="minorHAnsi"/>
          <w:sz w:val="24"/>
          <w:szCs w:val="24"/>
        </w:rPr>
        <w:t>,</w:t>
      </w:r>
    </w:p>
    <w:p w14:paraId="17A140DB" w14:textId="77777777"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MOVE FOR LIFE (2015)</w:t>
      </w:r>
    </w:p>
    <w:p w14:paraId="2041D6A5" w14:textId="19D672D7"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LGBTI PARTICIPATION IN DANISH SPORTS ASSOCIATIONS (2020)</w:t>
      </w:r>
      <w:r w:rsidR="000A5C61">
        <w:rPr>
          <w:rFonts w:asciiTheme="minorHAnsi" w:hAnsiTheme="minorHAnsi" w:cstheme="minorHAnsi"/>
          <w:sz w:val="24"/>
          <w:szCs w:val="24"/>
        </w:rPr>
        <w:t>,</w:t>
      </w:r>
    </w:p>
    <w:p w14:paraId="18D43D8D" w14:textId="70FFA26C"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POOL FOR INCLUSION IN LOCAL COMMUNITIES THROUGH SPORTS (2019)</w:t>
      </w:r>
      <w:r w:rsidR="000A5C61">
        <w:rPr>
          <w:rFonts w:asciiTheme="minorHAnsi" w:hAnsiTheme="minorHAnsi" w:cstheme="minorHAnsi"/>
          <w:sz w:val="24"/>
          <w:szCs w:val="24"/>
        </w:rPr>
        <w:t>,</w:t>
      </w:r>
    </w:p>
    <w:p w14:paraId="214A1A40" w14:textId="73BDF339"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 ON PRIMARY AND LOWER SECONDARY SCHOOLS (2014)</w:t>
      </w:r>
      <w:r w:rsidR="000A5C61">
        <w:rPr>
          <w:rFonts w:asciiTheme="minorHAnsi" w:hAnsiTheme="minorHAnsi" w:cstheme="minorHAnsi"/>
          <w:sz w:val="24"/>
          <w:szCs w:val="24"/>
        </w:rPr>
        <w:t>,</w:t>
      </w:r>
    </w:p>
    <w:p w14:paraId="32DDBC6D" w14:textId="72237CF5"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EXAMINATIONS ON PHYSICAL EDUCATION AND SPORT (2019)</w:t>
      </w:r>
      <w:r w:rsidR="000A5C61">
        <w:rPr>
          <w:rFonts w:asciiTheme="minorHAnsi" w:hAnsiTheme="minorHAnsi" w:cstheme="minorHAnsi"/>
          <w:sz w:val="24"/>
          <w:szCs w:val="24"/>
        </w:rPr>
        <w:t>,</w:t>
      </w:r>
    </w:p>
    <w:p w14:paraId="7F927DC2" w14:textId="25B2CCC4"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AGREEMENT ON IMPLEMENTATION OF FUNDS FOR CYCLING (AFTALE OM GRØN OMSTILLING AF VEJTRANSPORTEN) (2020)</w:t>
      </w:r>
      <w:r w:rsidR="000A5C61">
        <w:rPr>
          <w:rFonts w:asciiTheme="minorHAnsi" w:hAnsiTheme="minorHAnsi" w:cstheme="minorHAnsi"/>
          <w:sz w:val="24"/>
          <w:szCs w:val="24"/>
        </w:rPr>
        <w:t>,</w:t>
      </w:r>
    </w:p>
    <w:p w14:paraId="31EF655A" w14:textId="1126C127"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CYKELPULJE 2020 </w:t>
      </w:r>
      <w:r w:rsidRPr="0051709F">
        <w:rPr>
          <w:rFonts w:asciiTheme="minorHAnsi" w:hAnsiTheme="minorHAnsi" w:cstheme="minorHAnsi"/>
          <w:sz w:val="24"/>
          <w:szCs w:val="24"/>
        </w:rPr>
        <w:t>(2020)</w:t>
      </w:r>
      <w:r w:rsidR="000A5C61">
        <w:rPr>
          <w:rFonts w:asciiTheme="minorHAnsi" w:hAnsiTheme="minorHAnsi" w:cstheme="minorHAnsi"/>
          <w:sz w:val="24"/>
          <w:szCs w:val="24"/>
        </w:rPr>
        <w:t>,</w:t>
      </w:r>
    </w:p>
    <w:p w14:paraId="480FFA7F" w14:textId="63AA09CF" w:rsidR="00074BD3" w:rsidRPr="0051709F" w:rsidRDefault="00074BD3" w:rsidP="00755B43">
      <w:pPr>
        <w:pStyle w:val="Prrafodelista"/>
        <w:numPr>
          <w:ilvl w:val="0"/>
          <w:numId w:val="2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COMPREHENSIVE CYCLING COUNCIL (VEJDIREKTORATETS CYKELRÅD) (2021)</w:t>
      </w:r>
      <w:r w:rsidR="000A5C61">
        <w:rPr>
          <w:rFonts w:asciiTheme="minorHAnsi" w:hAnsiTheme="minorHAnsi" w:cstheme="minorHAnsi"/>
          <w:sz w:val="24"/>
          <w:szCs w:val="24"/>
        </w:rPr>
        <w:t>.</w:t>
      </w:r>
    </w:p>
    <w:p w14:paraId="2809BAF2" w14:textId="77777777" w:rsidR="00074BD3" w:rsidRPr="007B667D" w:rsidRDefault="00074BD3" w:rsidP="00755B43">
      <w:pPr>
        <w:jc w:val="both"/>
        <w:rPr>
          <w:rFonts w:cstheme="minorHAnsi"/>
          <w:b/>
          <w:bCs/>
        </w:rPr>
      </w:pPr>
      <w:r w:rsidRPr="007B667D">
        <w:rPr>
          <w:rFonts w:cstheme="minorHAnsi"/>
          <w:b/>
          <w:bCs/>
        </w:rPr>
        <w:t>ESLOVAQUIA (2 planes)</w:t>
      </w:r>
    </w:p>
    <w:p w14:paraId="1855A378" w14:textId="5DCFAB62" w:rsidR="00074BD3" w:rsidRPr="0051709F" w:rsidRDefault="00074BD3" w:rsidP="00755B43">
      <w:pPr>
        <w:pStyle w:val="Prrafodelista"/>
        <w:numPr>
          <w:ilvl w:val="0"/>
          <w:numId w:val="2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ACTION PLAN TO PROMOTE PHYSICAL ACTIVITY FOR YEARS 2017–2020 (2017)</w:t>
      </w:r>
      <w:r w:rsidR="000A5C61">
        <w:rPr>
          <w:rFonts w:asciiTheme="minorHAnsi" w:hAnsiTheme="minorHAnsi" w:cstheme="minorHAnsi"/>
          <w:sz w:val="24"/>
          <w:szCs w:val="24"/>
        </w:rPr>
        <w:t>,</w:t>
      </w:r>
    </w:p>
    <w:p w14:paraId="286CE5FF" w14:textId="593422CC" w:rsidR="00074BD3" w:rsidRPr="0051709F" w:rsidRDefault="00074BD3" w:rsidP="00755B43">
      <w:pPr>
        <w:pStyle w:val="Prrafodelista"/>
        <w:numPr>
          <w:ilvl w:val="0"/>
          <w:numId w:val="2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UPDATED NATIONAL ACTION PLAN FOR THE SUPPORT OF PHYSICAL ACTIVITY (2021)</w:t>
      </w:r>
      <w:r w:rsidR="000A5C61">
        <w:rPr>
          <w:rFonts w:asciiTheme="minorHAnsi" w:hAnsiTheme="minorHAnsi" w:cstheme="minorHAnsi"/>
          <w:sz w:val="24"/>
          <w:szCs w:val="24"/>
        </w:rPr>
        <w:t>.</w:t>
      </w:r>
    </w:p>
    <w:p w14:paraId="74C03256" w14:textId="77777777" w:rsidR="00074BD3" w:rsidRPr="007B667D" w:rsidRDefault="00074BD3" w:rsidP="00755B43">
      <w:pPr>
        <w:jc w:val="both"/>
        <w:rPr>
          <w:rFonts w:cstheme="minorHAnsi"/>
          <w:b/>
          <w:bCs/>
        </w:rPr>
      </w:pPr>
      <w:r w:rsidRPr="007B667D">
        <w:rPr>
          <w:rFonts w:cstheme="minorHAnsi"/>
          <w:b/>
          <w:bCs/>
        </w:rPr>
        <w:t>ESLOVENIA (4 planes)</w:t>
      </w:r>
    </w:p>
    <w:p w14:paraId="0C58111F" w14:textId="3B121E28" w:rsidR="00074BD3" w:rsidRPr="0051709F" w:rsidRDefault="00074BD3" w:rsidP="00755B43">
      <w:pPr>
        <w:pStyle w:val="Prrafodelista"/>
        <w:numPr>
          <w:ilvl w:val="0"/>
          <w:numId w:val="2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AND ACTION PLAN FOR SPORTS 2014–2023 (2014)</w:t>
      </w:r>
      <w:r w:rsidR="000A5C61">
        <w:rPr>
          <w:rFonts w:asciiTheme="minorHAnsi" w:hAnsiTheme="minorHAnsi" w:cstheme="minorHAnsi"/>
          <w:sz w:val="24"/>
          <w:szCs w:val="24"/>
        </w:rPr>
        <w:t>,</w:t>
      </w:r>
    </w:p>
    <w:p w14:paraId="299579C0" w14:textId="032FA4AC" w:rsidR="00074BD3" w:rsidRPr="0051709F" w:rsidRDefault="00074BD3" w:rsidP="00755B43">
      <w:pPr>
        <w:pStyle w:val="Prrafodelista"/>
        <w:numPr>
          <w:ilvl w:val="0"/>
          <w:numId w:val="2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FOR NUTRITION AND PHYSICAL ACTIVITY FOR HEALTH 2015–2025 (2015)</w:t>
      </w:r>
      <w:r w:rsidR="000A5C61">
        <w:rPr>
          <w:rFonts w:asciiTheme="minorHAnsi" w:hAnsiTheme="minorHAnsi" w:cstheme="minorHAnsi"/>
          <w:sz w:val="24"/>
          <w:szCs w:val="24"/>
        </w:rPr>
        <w:t>,</w:t>
      </w:r>
    </w:p>
    <w:p w14:paraId="666C8A06" w14:textId="5A9E04A5" w:rsidR="00074BD3" w:rsidRPr="0051709F" w:rsidRDefault="00074BD3" w:rsidP="00755B43">
      <w:pPr>
        <w:pStyle w:val="Prrafodelista"/>
        <w:numPr>
          <w:ilvl w:val="0"/>
          <w:numId w:val="2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RESOLUTION AND ACTION PLAN FOR THE DISABLED (2004)</w:t>
      </w:r>
      <w:r w:rsidR="000A5C61">
        <w:rPr>
          <w:rFonts w:asciiTheme="minorHAnsi" w:hAnsiTheme="minorHAnsi" w:cstheme="minorHAnsi"/>
          <w:sz w:val="24"/>
          <w:szCs w:val="24"/>
        </w:rPr>
        <w:t>,</w:t>
      </w:r>
    </w:p>
    <w:p w14:paraId="6CF7E8C3" w14:textId="1147F413" w:rsidR="00074BD3" w:rsidRPr="0051709F" w:rsidRDefault="00074BD3" w:rsidP="00755B43">
      <w:pPr>
        <w:pStyle w:val="Prrafodelista"/>
        <w:numPr>
          <w:ilvl w:val="0"/>
          <w:numId w:val="2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GUIDELINES FOR WORKPLACE HEALTH PROMOTION IN THE OCCUPATIONAL SAFETY AND HEALTH ACT 2011 (2011)</w:t>
      </w:r>
      <w:r w:rsidR="000A5C61">
        <w:rPr>
          <w:rFonts w:asciiTheme="minorHAnsi" w:hAnsiTheme="minorHAnsi" w:cstheme="minorHAnsi"/>
          <w:sz w:val="24"/>
          <w:szCs w:val="24"/>
        </w:rPr>
        <w:t>.</w:t>
      </w:r>
    </w:p>
    <w:p w14:paraId="19ABDBE7" w14:textId="77777777" w:rsidR="009D0B15" w:rsidRPr="00C13402" w:rsidRDefault="009D0B15" w:rsidP="00755B43">
      <w:pPr>
        <w:jc w:val="both"/>
        <w:rPr>
          <w:rFonts w:cstheme="minorHAnsi"/>
          <w:b/>
          <w:bCs/>
          <w:lang w:val="de-DE"/>
        </w:rPr>
      </w:pPr>
    </w:p>
    <w:p w14:paraId="703245E0" w14:textId="77777777" w:rsidR="009D0B15" w:rsidRPr="00C13402" w:rsidRDefault="009D0B15" w:rsidP="00755B43">
      <w:pPr>
        <w:jc w:val="both"/>
        <w:rPr>
          <w:rFonts w:cstheme="minorHAnsi"/>
          <w:b/>
          <w:bCs/>
          <w:lang w:val="de-DE"/>
        </w:rPr>
      </w:pPr>
    </w:p>
    <w:p w14:paraId="7DA95FD8" w14:textId="711FE8C8" w:rsidR="00074BD3" w:rsidRPr="009D0B15" w:rsidRDefault="00074BD3" w:rsidP="00755B43">
      <w:pPr>
        <w:jc w:val="both"/>
        <w:rPr>
          <w:rFonts w:cstheme="minorHAnsi"/>
          <w:b/>
          <w:bCs/>
        </w:rPr>
      </w:pPr>
      <w:r w:rsidRPr="009D0B15">
        <w:rPr>
          <w:rFonts w:cstheme="minorHAnsi"/>
          <w:b/>
          <w:bCs/>
        </w:rPr>
        <w:t>ESPAÑA (</w:t>
      </w:r>
      <w:r w:rsidR="009D0B15">
        <w:rPr>
          <w:rFonts w:cstheme="minorHAnsi"/>
          <w:b/>
          <w:bCs/>
        </w:rPr>
        <w:t>7</w:t>
      </w:r>
      <w:r w:rsidRPr="009D0B15">
        <w:rPr>
          <w:rFonts w:cstheme="minorHAnsi"/>
          <w:b/>
          <w:bCs/>
        </w:rPr>
        <w:t xml:space="preserve"> planes)</w:t>
      </w:r>
    </w:p>
    <w:p w14:paraId="429F63D8" w14:textId="77777777" w:rsidR="009D0B15" w:rsidRPr="009D0B15" w:rsidRDefault="009D0B15" w:rsidP="00755B43">
      <w:pPr>
        <w:jc w:val="both"/>
        <w:rPr>
          <w:rFonts w:cstheme="minorHAnsi"/>
          <w:b/>
          <w:bCs/>
        </w:rPr>
      </w:pPr>
    </w:p>
    <w:p w14:paraId="0157AABC" w14:textId="534934C9"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
        </w:rPr>
        <w:t>E</w:t>
      </w:r>
      <w:r w:rsidRPr="009D0B15">
        <w:rPr>
          <w:rFonts w:asciiTheme="minorHAnsi" w:hAnsiTheme="minorHAnsi" w:cstheme="minorHAnsi"/>
          <w:color w:val="000000" w:themeColor="text1"/>
          <w:sz w:val="24"/>
          <w:szCs w:val="24"/>
          <w:shd w:val="clear" w:color="auto" w:fill="FFFFFF"/>
          <w:lang w:val="es-ES"/>
        </w:rPr>
        <w:t>STRATEGIA NAOS, ESTRATEGIA PARA LA NUTRICIÓN, ACTIVIDAD FÍSICA Y PREVENCIÓN DE LA OBESIDAD (2005),</w:t>
      </w:r>
    </w:p>
    <w:p w14:paraId="7DB9C693" w14:textId="5C643CE4"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
        </w:rPr>
        <w:t>PLAN INTEGRAL PARA LA ACTIVIDAD FÍSICA Y EL DEPORTE 2010-2020 (2010),</w:t>
      </w:r>
    </w:p>
    <w:p w14:paraId="5B03FB26" w14:textId="4744A59A"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
        </w:rPr>
        <w:t>ESTRATEGIA DE PROMOCIÓN DE LA SALUD Y PREVENCIÓN EN EL SISTEMA NACIONAL DE SALUD (2013),</w:t>
      </w:r>
    </w:p>
    <w:p w14:paraId="0A0050A4" w14:textId="18B84412"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
        </w:rPr>
        <w:t>LEY 17/2011 DE SEGURIDAD ALIMENTARIA Y NUTRICIÓN (2011)</w:t>
      </w:r>
      <w:r w:rsidR="00711B86">
        <w:rPr>
          <w:rFonts w:asciiTheme="minorHAnsi" w:hAnsiTheme="minorHAnsi" w:cstheme="minorHAnsi"/>
          <w:color w:val="000000" w:themeColor="text1"/>
          <w:sz w:val="24"/>
          <w:szCs w:val="24"/>
          <w:lang w:val="es-ES"/>
        </w:rPr>
        <w:t>,</w:t>
      </w:r>
    </w:p>
    <w:p w14:paraId="304864D0" w14:textId="70183386"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shd w:val="clear" w:color="auto" w:fill="FFFFFF"/>
          <w:lang w:val="es-ES"/>
        </w:rPr>
        <w:t>RECOMENDACIONES NACIONALES SOBRE ACTIVIDAD FÍSICA PARA LA SALUD Y REDUCCIÓN DEL SEDENTARISMO Y DEL TIEMPO DE PANTALLA PARA LA POBLACIÓN (2015, ACTUALIZADAS EN 2022)</w:t>
      </w:r>
      <w:r w:rsidR="00711B86">
        <w:rPr>
          <w:rFonts w:asciiTheme="minorHAnsi" w:hAnsiTheme="minorHAnsi" w:cstheme="minorHAnsi"/>
          <w:color w:val="000000" w:themeColor="text1"/>
          <w:sz w:val="24"/>
          <w:szCs w:val="24"/>
          <w:shd w:val="clear" w:color="auto" w:fill="FFFFFF"/>
          <w:lang w:val="es-ES"/>
        </w:rPr>
        <w:t>,</w:t>
      </w:r>
    </w:p>
    <w:p w14:paraId="708B1FCF" w14:textId="6B7DA116"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_tradnl"/>
        </w:rPr>
        <w:t>ESTRATEGIA DE MOVILIDAD SEGURA, SOSTENIBLE Y CONECTADA 2030 (2021)</w:t>
      </w:r>
      <w:r w:rsidR="00711B86">
        <w:rPr>
          <w:rFonts w:asciiTheme="minorHAnsi" w:hAnsiTheme="minorHAnsi" w:cstheme="minorHAnsi"/>
          <w:color w:val="000000" w:themeColor="text1"/>
          <w:sz w:val="24"/>
          <w:szCs w:val="24"/>
          <w:lang w:val="es-ES_tradnl"/>
        </w:rPr>
        <w:t>,</w:t>
      </w:r>
    </w:p>
    <w:p w14:paraId="055AFAA8" w14:textId="40DDBDDB" w:rsidR="009D0B15" w:rsidRPr="009D0B15" w:rsidRDefault="009D0B15" w:rsidP="009D0B15">
      <w:pPr>
        <w:pStyle w:val="Prrafodelista"/>
        <w:numPr>
          <w:ilvl w:val="0"/>
          <w:numId w:val="158"/>
        </w:numPr>
        <w:jc w:val="both"/>
        <w:rPr>
          <w:rFonts w:asciiTheme="minorHAnsi" w:hAnsiTheme="minorHAnsi" w:cstheme="minorHAnsi"/>
          <w:color w:val="000000" w:themeColor="text1"/>
          <w:sz w:val="24"/>
          <w:szCs w:val="24"/>
          <w:lang w:val="es-ES"/>
        </w:rPr>
      </w:pPr>
      <w:r w:rsidRPr="009D0B15">
        <w:rPr>
          <w:rFonts w:asciiTheme="minorHAnsi" w:hAnsiTheme="minorHAnsi" w:cstheme="minorHAnsi"/>
          <w:color w:val="000000" w:themeColor="text1"/>
          <w:sz w:val="24"/>
          <w:szCs w:val="24"/>
          <w:lang w:val="es-ES_tradnl"/>
        </w:rPr>
        <w:t>ESTRATEGIA ESTATAL POR LA BICICLETA (2021)</w:t>
      </w:r>
      <w:r w:rsidR="004A25DB">
        <w:rPr>
          <w:rFonts w:asciiTheme="minorHAnsi" w:hAnsiTheme="minorHAnsi" w:cstheme="minorHAnsi"/>
          <w:color w:val="000000" w:themeColor="text1"/>
          <w:sz w:val="24"/>
          <w:szCs w:val="24"/>
          <w:lang w:val="es-ES_tradnl"/>
        </w:rPr>
        <w:t>.</w:t>
      </w:r>
    </w:p>
    <w:p w14:paraId="72E3F189" w14:textId="77777777" w:rsidR="009D0B15" w:rsidRPr="009D0B15" w:rsidRDefault="009D0B15" w:rsidP="00755B43">
      <w:pPr>
        <w:jc w:val="both"/>
        <w:rPr>
          <w:rFonts w:cstheme="minorHAnsi"/>
          <w:b/>
          <w:bCs/>
        </w:rPr>
      </w:pPr>
    </w:p>
    <w:p w14:paraId="0F73CF1B" w14:textId="51B39EE7" w:rsidR="00074BD3" w:rsidRPr="007B667D" w:rsidRDefault="00074BD3" w:rsidP="00755B43">
      <w:pPr>
        <w:jc w:val="both"/>
        <w:rPr>
          <w:rFonts w:cstheme="minorHAnsi"/>
          <w:b/>
          <w:bCs/>
        </w:rPr>
      </w:pPr>
      <w:r w:rsidRPr="007B667D">
        <w:rPr>
          <w:rFonts w:cstheme="minorHAnsi"/>
          <w:b/>
          <w:bCs/>
        </w:rPr>
        <w:t>ESTONIA (3 planes)</w:t>
      </w:r>
    </w:p>
    <w:p w14:paraId="68DD08D6" w14:textId="528FD53F" w:rsidR="00074BD3" w:rsidRPr="0051709F" w:rsidRDefault="00074BD3" w:rsidP="00755B43">
      <w:pPr>
        <w:pStyle w:val="Prrafodelista"/>
        <w:numPr>
          <w:ilvl w:val="0"/>
          <w:numId w:val="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FUNDAMENTALS OF THE ESTONIAN SPORTS POLICY TO 2030 (2021)</w:t>
      </w:r>
      <w:r w:rsidR="000A5C61">
        <w:rPr>
          <w:rFonts w:asciiTheme="minorHAnsi" w:hAnsiTheme="minorHAnsi" w:cstheme="minorHAnsi"/>
          <w:sz w:val="24"/>
          <w:szCs w:val="24"/>
        </w:rPr>
        <w:t>,</w:t>
      </w:r>
    </w:p>
    <w:p w14:paraId="02A8E545" w14:textId="68B7E09A" w:rsidR="00074BD3" w:rsidRPr="0051709F" w:rsidRDefault="00074BD3" w:rsidP="00755B43">
      <w:pPr>
        <w:pStyle w:val="Prrafodelista"/>
        <w:numPr>
          <w:ilvl w:val="0"/>
          <w:numId w:val="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DEVELOPMENT PLAN 2020-2030 (2020)</w:t>
      </w:r>
      <w:r w:rsidR="000A5C61">
        <w:rPr>
          <w:rFonts w:asciiTheme="minorHAnsi" w:hAnsiTheme="minorHAnsi" w:cstheme="minorHAnsi"/>
          <w:sz w:val="24"/>
          <w:szCs w:val="24"/>
        </w:rPr>
        <w:t>,</w:t>
      </w:r>
    </w:p>
    <w:p w14:paraId="24702E48" w14:textId="7EEC6289" w:rsidR="00074BD3" w:rsidRPr="0051709F" w:rsidRDefault="00074BD3" w:rsidP="00755B43">
      <w:pPr>
        <w:pStyle w:val="Prrafodelista"/>
        <w:numPr>
          <w:ilvl w:val="0"/>
          <w:numId w:val="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GREEN PAPER ON NUTRITION AND PHYSICAL ACTIVITY (2016)</w:t>
      </w:r>
      <w:r w:rsidR="000A5C61">
        <w:rPr>
          <w:rFonts w:asciiTheme="minorHAnsi" w:hAnsiTheme="minorHAnsi" w:cstheme="minorHAnsi"/>
          <w:sz w:val="24"/>
          <w:szCs w:val="24"/>
        </w:rPr>
        <w:t>.</w:t>
      </w:r>
    </w:p>
    <w:p w14:paraId="7EAC4C0F" w14:textId="77777777" w:rsidR="00074BD3" w:rsidRPr="007B667D" w:rsidRDefault="00074BD3" w:rsidP="00755B43">
      <w:pPr>
        <w:jc w:val="both"/>
        <w:rPr>
          <w:rFonts w:cstheme="minorHAnsi"/>
          <w:b/>
          <w:bCs/>
        </w:rPr>
      </w:pPr>
      <w:r w:rsidRPr="007B667D">
        <w:rPr>
          <w:rFonts w:cstheme="minorHAnsi"/>
          <w:b/>
          <w:bCs/>
        </w:rPr>
        <w:t>FINLANDIA (11 planes)</w:t>
      </w:r>
    </w:p>
    <w:p w14:paraId="32EECC5E" w14:textId="5AFC13C4"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GOVERNMENT REPORT ON SPORTS POLICY (2018)</w:t>
      </w:r>
      <w:r w:rsidR="000A5C61">
        <w:rPr>
          <w:rFonts w:asciiTheme="minorHAnsi" w:hAnsiTheme="minorHAnsi" w:cstheme="minorHAnsi"/>
          <w:sz w:val="24"/>
          <w:szCs w:val="24"/>
        </w:rPr>
        <w:t>,</w:t>
      </w:r>
    </w:p>
    <w:p w14:paraId="0E2301CD" w14:textId="1539F6A5"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GOVERNMENT RESOLUTION FOR PROMOTING HEALTH AND WELLBEING (2021)</w:t>
      </w:r>
      <w:r w:rsidR="000A5C61">
        <w:rPr>
          <w:rFonts w:asciiTheme="minorHAnsi" w:hAnsiTheme="minorHAnsi" w:cstheme="minorHAnsi"/>
          <w:sz w:val="24"/>
          <w:szCs w:val="24"/>
        </w:rPr>
        <w:t>,</w:t>
      </w:r>
    </w:p>
    <w:p w14:paraId="7008CC2B" w14:textId="044CA83E"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NATIONAL PROGRAM ON AGING 2030: FOR AN AGE-COMPETENT FINLAND (2020)</w:t>
      </w:r>
      <w:r w:rsidR="000A5C61">
        <w:rPr>
          <w:rFonts w:asciiTheme="minorHAnsi" w:hAnsiTheme="minorHAnsi" w:cstheme="minorHAnsi"/>
          <w:sz w:val="24"/>
          <w:szCs w:val="24"/>
        </w:rPr>
        <w:t>,</w:t>
      </w:r>
    </w:p>
    <w:p w14:paraId="1C8D7E64" w14:textId="16B301BC"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ON THE MOVE PROGRAMMES (2022)</w:t>
      </w:r>
      <w:r w:rsidR="000A5C61">
        <w:rPr>
          <w:rFonts w:asciiTheme="minorHAnsi" w:hAnsiTheme="minorHAnsi" w:cstheme="minorHAnsi"/>
          <w:sz w:val="24"/>
          <w:szCs w:val="24"/>
        </w:rPr>
        <w:t>,</w:t>
      </w:r>
    </w:p>
    <w:p w14:paraId="7B368409" w14:textId="6FC967A0"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FINNISH MODEL ON LEISURE ACTIVITIES (2020)</w:t>
      </w:r>
      <w:r w:rsidR="000A5C61">
        <w:rPr>
          <w:rFonts w:asciiTheme="minorHAnsi" w:hAnsiTheme="minorHAnsi" w:cstheme="minorHAnsi"/>
          <w:sz w:val="24"/>
          <w:szCs w:val="24"/>
        </w:rPr>
        <w:t>,</w:t>
      </w:r>
    </w:p>
    <w:p w14:paraId="757458EF" w14:textId="7CC7CB05"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STRATEGY FOR RECREATIONAL USE OF NATURE (2022)</w:t>
      </w:r>
      <w:r w:rsidR="000A5C61">
        <w:rPr>
          <w:rFonts w:asciiTheme="minorHAnsi" w:hAnsiTheme="minorHAnsi" w:cstheme="minorHAnsi"/>
          <w:sz w:val="24"/>
          <w:szCs w:val="24"/>
        </w:rPr>
        <w:t>,</w:t>
      </w:r>
    </w:p>
    <w:p w14:paraId="0B84B8D8" w14:textId="791F8FAD"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RESOLUTION ON PROMOTING WALKING AND CYCLING (2018)</w:t>
      </w:r>
      <w:r w:rsidR="000A5C61">
        <w:rPr>
          <w:rFonts w:asciiTheme="minorHAnsi" w:hAnsiTheme="minorHAnsi" w:cstheme="minorHAnsi"/>
          <w:sz w:val="24"/>
          <w:szCs w:val="24"/>
        </w:rPr>
        <w:t>,</w:t>
      </w:r>
    </w:p>
    <w:p w14:paraId="7DB3FF38" w14:textId="03877ED0"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HEALTHY PARKS, HEALTHY PEOPLE FINLAND (2017)</w:t>
      </w:r>
      <w:r w:rsidR="000A5C61">
        <w:rPr>
          <w:rFonts w:asciiTheme="minorHAnsi" w:hAnsiTheme="minorHAnsi" w:cstheme="minorHAnsi"/>
          <w:sz w:val="24"/>
          <w:szCs w:val="24"/>
        </w:rPr>
        <w:t>,</w:t>
      </w:r>
    </w:p>
    <w:p w14:paraId="7D5315DB" w14:textId="7C59F63B"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NUTRITION RECOMMENDATIONS (2014)</w:t>
      </w:r>
      <w:r w:rsidR="000A5C61">
        <w:rPr>
          <w:rFonts w:asciiTheme="minorHAnsi" w:hAnsiTheme="minorHAnsi" w:cstheme="minorHAnsi"/>
          <w:sz w:val="24"/>
          <w:szCs w:val="24"/>
        </w:rPr>
        <w:t>,</w:t>
      </w:r>
    </w:p>
    <w:p w14:paraId="777A5EFA" w14:textId="6CE57E14"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EUROPEAN AGRICULTURAL FUND FOR RURAL DEVELOPMENT EAFRD (2014)</w:t>
      </w:r>
      <w:r w:rsidR="000A5C61">
        <w:rPr>
          <w:rFonts w:asciiTheme="minorHAnsi" w:hAnsiTheme="minorHAnsi" w:cstheme="minorHAnsi"/>
          <w:sz w:val="24"/>
          <w:szCs w:val="24"/>
        </w:rPr>
        <w:t>,</w:t>
      </w:r>
    </w:p>
    <w:p w14:paraId="2C9A96BB" w14:textId="3CFF0FAB" w:rsidR="00074BD3" w:rsidRPr="0051709F" w:rsidRDefault="00074BD3" w:rsidP="00755B43">
      <w:pPr>
        <w:pStyle w:val="Prrafodelista"/>
        <w:numPr>
          <w:ilvl w:val="0"/>
          <w:numId w:val="10"/>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SPORTS LAW (LIIKUNTALAKI) </w:t>
      </w:r>
      <w:r w:rsidRPr="0051709F">
        <w:rPr>
          <w:rFonts w:asciiTheme="minorHAnsi" w:hAnsiTheme="minorHAnsi" w:cstheme="minorHAnsi"/>
          <w:sz w:val="24"/>
          <w:szCs w:val="24"/>
        </w:rPr>
        <w:t>(2015)</w:t>
      </w:r>
      <w:r w:rsidR="000A5C61">
        <w:rPr>
          <w:rFonts w:asciiTheme="minorHAnsi" w:hAnsiTheme="minorHAnsi" w:cstheme="minorHAnsi"/>
          <w:sz w:val="24"/>
          <w:szCs w:val="24"/>
        </w:rPr>
        <w:t>.</w:t>
      </w:r>
    </w:p>
    <w:p w14:paraId="41954BCA" w14:textId="77777777" w:rsidR="00074BD3" w:rsidRPr="007B667D" w:rsidRDefault="00074BD3" w:rsidP="00755B43">
      <w:pPr>
        <w:jc w:val="both"/>
        <w:rPr>
          <w:rFonts w:cstheme="minorHAnsi"/>
          <w:b/>
          <w:bCs/>
        </w:rPr>
      </w:pPr>
      <w:r w:rsidRPr="007B667D">
        <w:rPr>
          <w:rFonts w:cstheme="minorHAnsi"/>
          <w:b/>
          <w:bCs/>
        </w:rPr>
        <w:t>FRANCIA (5 planes)</w:t>
      </w:r>
    </w:p>
    <w:p w14:paraId="178965A4" w14:textId="3F17A47F" w:rsidR="00074BD3" w:rsidRPr="0051709F" w:rsidRDefault="00074BD3" w:rsidP="00755B43">
      <w:pPr>
        <w:pStyle w:val="Prrafodelista"/>
        <w:numPr>
          <w:ilvl w:val="0"/>
          <w:numId w:val="1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 HEALTH STRATEGY (STRATÉGIE NATIONALE SPORT SANTÉ 2019-2024) (2019)</w:t>
      </w:r>
      <w:r w:rsidR="006B243B">
        <w:rPr>
          <w:rFonts w:asciiTheme="minorHAnsi" w:hAnsiTheme="minorHAnsi" w:cstheme="minorHAnsi"/>
          <w:sz w:val="24"/>
          <w:szCs w:val="24"/>
        </w:rPr>
        <w:t>,</w:t>
      </w:r>
    </w:p>
    <w:p w14:paraId="0D0D1594" w14:textId="2152D666" w:rsidR="00074BD3" w:rsidRPr="0051709F" w:rsidRDefault="00074BD3" w:rsidP="00755B43">
      <w:pPr>
        <w:pStyle w:val="Prrafodelista"/>
        <w:numPr>
          <w:ilvl w:val="0"/>
          <w:numId w:val="1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4TH NATIONAL HEALTH AND ENVIRONMENT PLAN (2021–2025) (2021)</w:t>
      </w:r>
      <w:r w:rsidR="006B243B">
        <w:rPr>
          <w:rFonts w:asciiTheme="minorHAnsi" w:hAnsiTheme="minorHAnsi" w:cstheme="minorHAnsi"/>
          <w:sz w:val="24"/>
          <w:szCs w:val="24"/>
        </w:rPr>
        <w:t>,</w:t>
      </w:r>
    </w:p>
    <w:p w14:paraId="4A018FCE" w14:textId="0F8A8DBC" w:rsidR="00074BD3" w:rsidRPr="0051709F" w:rsidRDefault="00074BD3" w:rsidP="00755B43">
      <w:pPr>
        <w:pStyle w:val="Prrafodelista"/>
        <w:numPr>
          <w:ilvl w:val="0"/>
          <w:numId w:val="1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BICYCLE AND ACTIVE MOBILITY PLAN, 2018 (PLAN VÉLO ET MOBILITÉS ACTIVES 2018) (2018)</w:t>
      </w:r>
      <w:r w:rsidR="006B243B">
        <w:rPr>
          <w:rFonts w:asciiTheme="minorHAnsi" w:hAnsiTheme="minorHAnsi" w:cstheme="minorHAnsi"/>
          <w:sz w:val="24"/>
          <w:szCs w:val="24"/>
        </w:rPr>
        <w:t>,</w:t>
      </w:r>
    </w:p>
    <w:p w14:paraId="38F69ECA" w14:textId="41EB3619" w:rsidR="00074BD3" w:rsidRPr="0051709F" w:rsidRDefault="00074BD3" w:rsidP="00755B43">
      <w:pPr>
        <w:pStyle w:val="Prrafodelista"/>
        <w:numPr>
          <w:ilvl w:val="0"/>
          <w:numId w:val="1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NUTRITION PROGRAMME 2019–2023 (PROGRAMME NATIONALE NUTRITION SANTÉ 2019–2023) (2019)</w:t>
      </w:r>
      <w:r w:rsidR="006B243B">
        <w:rPr>
          <w:rFonts w:asciiTheme="minorHAnsi" w:hAnsiTheme="minorHAnsi" w:cstheme="minorHAnsi"/>
          <w:sz w:val="24"/>
          <w:szCs w:val="24"/>
        </w:rPr>
        <w:t>,</w:t>
      </w:r>
    </w:p>
    <w:p w14:paraId="683673C3" w14:textId="266F52B7" w:rsidR="00074BD3" w:rsidRPr="0051709F" w:rsidRDefault="00074BD3" w:rsidP="00755B43">
      <w:pPr>
        <w:pStyle w:val="Prrafodelista"/>
        <w:numPr>
          <w:ilvl w:val="0"/>
          <w:numId w:val="1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THIRD HEALTH AT WORK PLAN 2016–2020 (TROISIÈME PLAN SANTÉ TRAVAIL 2016–2020) (2016)</w:t>
      </w:r>
      <w:r w:rsidR="006B243B">
        <w:rPr>
          <w:rFonts w:asciiTheme="minorHAnsi" w:hAnsiTheme="minorHAnsi" w:cstheme="minorHAnsi"/>
          <w:sz w:val="24"/>
          <w:szCs w:val="24"/>
        </w:rPr>
        <w:t>.</w:t>
      </w:r>
    </w:p>
    <w:p w14:paraId="0C03EB84" w14:textId="77777777" w:rsidR="00074BD3" w:rsidRPr="007B667D" w:rsidRDefault="00074BD3" w:rsidP="00755B43">
      <w:pPr>
        <w:jc w:val="both"/>
        <w:rPr>
          <w:rFonts w:cstheme="minorHAnsi"/>
          <w:b/>
          <w:bCs/>
        </w:rPr>
      </w:pPr>
      <w:r w:rsidRPr="007B667D">
        <w:rPr>
          <w:rFonts w:cstheme="minorHAnsi"/>
          <w:b/>
          <w:bCs/>
        </w:rPr>
        <w:t>GRECIA (5 planes)</w:t>
      </w:r>
    </w:p>
    <w:p w14:paraId="0D6EDB1B" w14:textId="439C5EBC" w:rsidR="00074BD3" w:rsidRPr="0051709F" w:rsidRDefault="00074BD3" w:rsidP="00755B43">
      <w:pPr>
        <w:pStyle w:val="Prrafodelista"/>
        <w:numPr>
          <w:ilvl w:val="0"/>
          <w:numId w:val="3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lastRenderedPageBreak/>
        <w:t>NATIONAL PROGRAMME FOR THE PROMOTION OF PHYSICAL ACTIVITY AND HEALTHY NUTRITION (2020)</w:t>
      </w:r>
      <w:r w:rsidR="006B243B">
        <w:rPr>
          <w:rFonts w:asciiTheme="minorHAnsi" w:hAnsiTheme="minorHAnsi" w:cstheme="minorHAnsi"/>
          <w:sz w:val="24"/>
          <w:szCs w:val="24"/>
        </w:rPr>
        <w:t>,</w:t>
      </w:r>
    </w:p>
    <w:p w14:paraId="70D85E77" w14:textId="0B312E49" w:rsidR="00074BD3" w:rsidRPr="0051709F" w:rsidRDefault="00074BD3" w:rsidP="00755B43">
      <w:pPr>
        <w:pStyle w:val="Prrafodelista"/>
        <w:numPr>
          <w:ilvl w:val="0"/>
          <w:numId w:val="30"/>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rPr>
        <w:t>NATIONAL BICYCLE STRATEGY (2020)</w:t>
      </w:r>
      <w:r w:rsidR="006B243B">
        <w:rPr>
          <w:rFonts w:asciiTheme="minorHAnsi" w:hAnsiTheme="minorHAnsi" w:cstheme="minorHAnsi"/>
          <w:sz w:val="24"/>
          <w:szCs w:val="24"/>
        </w:rPr>
        <w:t>,</w:t>
      </w:r>
    </w:p>
    <w:p w14:paraId="37ACFC42" w14:textId="556DFCC9" w:rsidR="00074BD3" w:rsidRPr="0051709F" w:rsidRDefault="00074BD3" w:rsidP="00755B43">
      <w:pPr>
        <w:pStyle w:val="Prrafodelista"/>
        <w:numPr>
          <w:ilvl w:val="0"/>
          <w:numId w:val="3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PLAN FOR ACCESSIBILITY, WITH EMPHASIS ON CLIMATE CHANGE (2021)</w:t>
      </w:r>
      <w:r w:rsidR="006B243B">
        <w:rPr>
          <w:rFonts w:asciiTheme="minorHAnsi" w:hAnsiTheme="minorHAnsi" w:cstheme="minorHAnsi"/>
          <w:sz w:val="24"/>
          <w:szCs w:val="24"/>
        </w:rPr>
        <w:t>,</w:t>
      </w:r>
    </w:p>
    <w:p w14:paraId="025641BA" w14:textId="1EA7079E" w:rsidR="00074BD3" w:rsidRPr="0051709F" w:rsidRDefault="00074BD3" w:rsidP="00755B43">
      <w:pPr>
        <w:pStyle w:val="Prrafodelista"/>
        <w:numPr>
          <w:ilvl w:val="0"/>
          <w:numId w:val="3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PLAN FOR ENERGY AND CLIMATE (2019)</w:t>
      </w:r>
      <w:r w:rsidR="006B243B">
        <w:rPr>
          <w:rFonts w:asciiTheme="minorHAnsi" w:hAnsiTheme="minorHAnsi" w:cstheme="minorHAnsi"/>
          <w:sz w:val="24"/>
          <w:szCs w:val="24"/>
        </w:rPr>
        <w:t>,</w:t>
      </w:r>
    </w:p>
    <w:p w14:paraId="42243691" w14:textId="35348787" w:rsidR="00074BD3" w:rsidRPr="0051709F" w:rsidRDefault="00074BD3" w:rsidP="00755B43">
      <w:pPr>
        <w:pStyle w:val="Prrafodelista"/>
        <w:numPr>
          <w:ilvl w:val="0"/>
          <w:numId w:val="30"/>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SPORTS FOR ALL PROGRAMME (2020)</w:t>
      </w:r>
      <w:r w:rsidR="006B243B">
        <w:rPr>
          <w:rFonts w:asciiTheme="minorHAnsi" w:hAnsiTheme="minorHAnsi" w:cstheme="minorHAnsi"/>
          <w:sz w:val="24"/>
          <w:szCs w:val="24"/>
          <w:lang w:val="es-ES"/>
        </w:rPr>
        <w:t>.</w:t>
      </w:r>
    </w:p>
    <w:p w14:paraId="024E22C9" w14:textId="77777777" w:rsidR="00074BD3" w:rsidRPr="007B667D" w:rsidRDefault="00074BD3" w:rsidP="00755B43">
      <w:pPr>
        <w:jc w:val="both"/>
        <w:rPr>
          <w:rFonts w:cstheme="minorHAnsi"/>
          <w:b/>
          <w:bCs/>
        </w:rPr>
      </w:pPr>
      <w:r w:rsidRPr="007B667D">
        <w:rPr>
          <w:rFonts w:cstheme="minorHAnsi"/>
          <w:b/>
          <w:bCs/>
        </w:rPr>
        <w:t>HOLANDA (4 planes)</w:t>
      </w:r>
    </w:p>
    <w:p w14:paraId="0A9935CA" w14:textId="5BB8F850" w:rsidR="00074BD3" w:rsidRPr="0051709F" w:rsidRDefault="00074BD3" w:rsidP="00755B43">
      <w:pPr>
        <w:pStyle w:val="Prrafodelista"/>
        <w:numPr>
          <w:ilvl w:val="0"/>
          <w:numId w:val="2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PREVENTING SPORTS INJURIES (BLESSUREPREVENTIE) (2018)</w:t>
      </w:r>
      <w:r w:rsidR="00A14CBA">
        <w:rPr>
          <w:rFonts w:asciiTheme="minorHAnsi" w:hAnsiTheme="minorHAnsi" w:cstheme="minorHAnsi"/>
          <w:sz w:val="24"/>
          <w:szCs w:val="24"/>
        </w:rPr>
        <w:t>,</w:t>
      </w:r>
    </w:p>
    <w:p w14:paraId="32B145C7" w14:textId="042E57B5" w:rsidR="00074BD3" w:rsidRPr="0051709F" w:rsidRDefault="00074BD3" w:rsidP="00755B43">
      <w:pPr>
        <w:pStyle w:val="Prrafodelista"/>
        <w:numPr>
          <w:ilvl w:val="0"/>
          <w:numId w:val="2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SPORTS AGREEMENT (NATIONAAL SPORTAKKOORD) (2022)</w:t>
      </w:r>
      <w:r w:rsidR="00A14CBA">
        <w:rPr>
          <w:rFonts w:asciiTheme="minorHAnsi" w:hAnsiTheme="minorHAnsi" w:cstheme="minorHAnsi"/>
          <w:sz w:val="24"/>
          <w:szCs w:val="24"/>
        </w:rPr>
        <w:t>,</w:t>
      </w:r>
    </w:p>
    <w:p w14:paraId="55CEA106" w14:textId="512037DE" w:rsidR="00074BD3" w:rsidRPr="0051709F" w:rsidRDefault="00074BD3" w:rsidP="00755B43">
      <w:pPr>
        <w:pStyle w:val="Prrafodelista"/>
        <w:numPr>
          <w:ilvl w:val="0"/>
          <w:numId w:val="2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PREVENTION AGREEMENT (NATIONAAL PREVENTIEAKKOORD) (2018)</w:t>
      </w:r>
      <w:r w:rsidR="00A14CBA">
        <w:rPr>
          <w:rFonts w:asciiTheme="minorHAnsi" w:hAnsiTheme="minorHAnsi" w:cstheme="minorHAnsi"/>
          <w:sz w:val="24"/>
          <w:szCs w:val="24"/>
        </w:rPr>
        <w:t>,</w:t>
      </w:r>
    </w:p>
    <w:p w14:paraId="7304478B" w14:textId="5743A3C3" w:rsidR="00074BD3" w:rsidRPr="0051709F" w:rsidRDefault="00074BD3" w:rsidP="00755B43">
      <w:pPr>
        <w:pStyle w:val="Prrafodelista"/>
        <w:numPr>
          <w:ilvl w:val="0"/>
          <w:numId w:val="20"/>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TOUR DE FORCE BIKE AGENDA (SCHAALSPRONG FIETS) (2017)</w:t>
      </w:r>
      <w:r w:rsidR="00A14CBA">
        <w:rPr>
          <w:rFonts w:asciiTheme="minorHAnsi" w:hAnsiTheme="minorHAnsi" w:cstheme="minorHAnsi"/>
          <w:sz w:val="24"/>
          <w:szCs w:val="24"/>
        </w:rPr>
        <w:t>.</w:t>
      </w:r>
    </w:p>
    <w:p w14:paraId="06399849" w14:textId="77777777" w:rsidR="00074BD3" w:rsidRPr="007B667D" w:rsidRDefault="00074BD3" w:rsidP="00755B43">
      <w:pPr>
        <w:jc w:val="both"/>
        <w:rPr>
          <w:rFonts w:cstheme="minorHAnsi"/>
          <w:b/>
          <w:bCs/>
        </w:rPr>
      </w:pPr>
      <w:r w:rsidRPr="007B667D">
        <w:rPr>
          <w:rFonts w:cstheme="minorHAnsi"/>
          <w:b/>
          <w:bCs/>
        </w:rPr>
        <w:t>HUNGRÍA (10 planes)</w:t>
      </w:r>
    </w:p>
    <w:p w14:paraId="6A93D480" w14:textId="1CA67585"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NATIONAL STANDARD PROGRAMME FOR KINDERGARTEN EDUCATION (2018)</w:t>
      </w:r>
      <w:r w:rsidR="00A14CBA">
        <w:rPr>
          <w:rFonts w:asciiTheme="minorHAnsi" w:hAnsiTheme="minorHAnsi" w:cstheme="minorHAnsi"/>
          <w:sz w:val="24"/>
          <w:szCs w:val="24"/>
        </w:rPr>
        <w:t>,</w:t>
      </w:r>
    </w:p>
    <w:p w14:paraId="444C243E" w14:textId="582BBBD6"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T.E.S.I. 2020 STRATEGY (NATIONAL STRATEGY ON PHYSICAL EDUCATION) (2020)</w:t>
      </w:r>
      <w:r w:rsidR="00A14CBA">
        <w:rPr>
          <w:rFonts w:asciiTheme="minorHAnsi" w:hAnsiTheme="minorHAnsi" w:cstheme="minorHAnsi"/>
          <w:sz w:val="24"/>
          <w:szCs w:val="24"/>
        </w:rPr>
        <w:t>,</w:t>
      </w:r>
    </w:p>
    <w:p w14:paraId="38172E06" w14:textId="78C7C57E"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PUBLIC EDUCATION STRATEGY (2014)</w:t>
      </w:r>
      <w:r w:rsidR="00A14CBA">
        <w:rPr>
          <w:rFonts w:asciiTheme="minorHAnsi" w:hAnsiTheme="minorHAnsi" w:cstheme="minorHAnsi"/>
          <w:sz w:val="24"/>
          <w:szCs w:val="24"/>
        </w:rPr>
        <w:t>,</w:t>
      </w:r>
    </w:p>
    <w:p w14:paraId="6C4D6B4D" w14:textId="090E6F76"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CHANGING THE SPEED IN HIGHER EDUCATION 2016- (FOKOZATVÁLTÁS A FELSŐOKTATÁSBAN KÖZÉPTÁVÚ SZAKPOLITIKAI STRATÉGIA 2016-) (2016)</w:t>
      </w:r>
      <w:r w:rsidR="00A14CBA">
        <w:rPr>
          <w:rFonts w:asciiTheme="minorHAnsi" w:hAnsiTheme="minorHAnsi" w:cstheme="minorHAnsi"/>
          <w:sz w:val="24"/>
          <w:szCs w:val="24"/>
        </w:rPr>
        <w:t>,</w:t>
      </w:r>
    </w:p>
    <w:p w14:paraId="711A61FB" w14:textId="648F6FD0"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HEALTHY HUNGARY 2014–2020 (2014)</w:t>
      </w:r>
      <w:r w:rsidR="00A14CBA">
        <w:rPr>
          <w:rFonts w:asciiTheme="minorHAnsi" w:hAnsiTheme="minorHAnsi" w:cstheme="minorHAnsi"/>
          <w:sz w:val="24"/>
          <w:szCs w:val="24"/>
        </w:rPr>
        <w:t>,</w:t>
      </w:r>
    </w:p>
    <w:p w14:paraId="1C2DC183" w14:textId="3BE3D1FB"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POLICY ON AGING (RESOLUTION 81/2009 – OGY HATÁROZAT AZ IDŐSÜGYI NEMZETI STRATÉGIÁRÓL) (2009)</w:t>
      </w:r>
      <w:r w:rsidR="00A14CBA">
        <w:rPr>
          <w:rFonts w:asciiTheme="minorHAnsi" w:hAnsiTheme="minorHAnsi" w:cstheme="minorHAnsi"/>
          <w:sz w:val="24"/>
          <w:szCs w:val="24"/>
        </w:rPr>
        <w:t>,</w:t>
      </w:r>
    </w:p>
    <w:p w14:paraId="226584A6" w14:textId="35FDFDB8"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DISABILITY PROGRAMME 2015–2025 (2015)</w:t>
      </w:r>
      <w:r w:rsidR="00A14CBA">
        <w:rPr>
          <w:rFonts w:asciiTheme="minorHAnsi" w:hAnsiTheme="minorHAnsi" w:cstheme="minorHAnsi"/>
          <w:sz w:val="24"/>
          <w:szCs w:val="24"/>
        </w:rPr>
        <w:t>,</w:t>
      </w:r>
    </w:p>
    <w:p w14:paraId="2B9EA7C7" w14:textId="425D117E"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HAJÓS ALFRÉD PLAN 3.0 FOR PROGRESS IN SPORTS IN HIGHER EDUCATION -(FOKOZATVÁLTÁS A FELSŐOKTATÁSI SPORTBAN – HAJÓS ALFRÉD TERV 3.0) (2012)</w:t>
      </w:r>
      <w:r w:rsidR="00A14CBA">
        <w:rPr>
          <w:rFonts w:asciiTheme="minorHAnsi" w:hAnsiTheme="minorHAnsi" w:cstheme="minorHAnsi"/>
          <w:sz w:val="24"/>
          <w:szCs w:val="24"/>
        </w:rPr>
        <w:t>,</w:t>
      </w:r>
    </w:p>
    <w:p w14:paraId="00973E1C" w14:textId="20390FB4"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CYCLING STRATEGY UNTIL 2030 (2013)</w:t>
      </w:r>
      <w:r w:rsidR="00A14CBA">
        <w:rPr>
          <w:rFonts w:asciiTheme="minorHAnsi" w:hAnsiTheme="minorHAnsi" w:cstheme="minorHAnsi"/>
          <w:sz w:val="24"/>
          <w:szCs w:val="24"/>
        </w:rPr>
        <w:t>,</w:t>
      </w:r>
    </w:p>
    <w:p w14:paraId="45367038" w14:textId="78568256" w:rsidR="00074BD3" w:rsidRPr="0051709F" w:rsidRDefault="00074BD3" w:rsidP="00755B43">
      <w:pPr>
        <w:pStyle w:val="Prrafodelista"/>
        <w:numPr>
          <w:ilvl w:val="0"/>
          <w:numId w:val="1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STRATEGY ON ACTIVE TOURISM (NEMZETI AKTÍV TURISZTIKAI STRATÉGIA) (2022)</w:t>
      </w:r>
      <w:r w:rsidR="00A14CBA">
        <w:rPr>
          <w:rFonts w:asciiTheme="minorHAnsi" w:hAnsiTheme="minorHAnsi" w:cstheme="minorHAnsi"/>
          <w:sz w:val="24"/>
          <w:szCs w:val="24"/>
        </w:rPr>
        <w:t>.</w:t>
      </w:r>
    </w:p>
    <w:p w14:paraId="547BE917" w14:textId="77777777" w:rsidR="00074BD3" w:rsidRPr="007B667D" w:rsidRDefault="00074BD3" w:rsidP="00755B43">
      <w:pPr>
        <w:jc w:val="both"/>
        <w:rPr>
          <w:rFonts w:cstheme="minorHAnsi"/>
          <w:b/>
          <w:bCs/>
        </w:rPr>
      </w:pPr>
      <w:r w:rsidRPr="007B667D">
        <w:rPr>
          <w:rFonts w:cstheme="minorHAnsi"/>
          <w:b/>
          <w:bCs/>
        </w:rPr>
        <w:t>IRLANDA (7 planes)</w:t>
      </w:r>
    </w:p>
    <w:p w14:paraId="30A9E701" w14:textId="73512709"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GET IRELAND ACTIVE; NATIONAL PHYSICAL ACTIVITY PLAN (2016)</w:t>
      </w:r>
      <w:r w:rsidR="00A14CBA">
        <w:rPr>
          <w:rFonts w:asciiTheme="minorHAnsi" w:hAnsiTheme="minorHAnsi" w:cstheme="minorHAnsi"/>
          <w:sz w:val="24"/>
          <w:szCs w:val="24"/>
        </w:rPr>
        <w:t>,</w:t>
      </w:r>
    </w:p>
    <w:p w14:paraId="010FEE6E" w14:textId="41B4F683"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SPORTS POLICY, 2018–2027 (2019)</w:t>
      </w:r>
      <w:r w:rsidR="00A14CBA">
        <w:rPr>
          <w:rFonts w:asciiTheme="minorHAnsi" w:hAnsiTheme="minorHAnsi" w:cstheme="minorHAnsi"/>
          <w:sz w:val="24"/>
          <w:szCs w:val="24"/>
        </w:rPr>
        <w:t>,</w:t>
      </w:r>
    </w:p>
    <w:p w14:paraId="5B3A9600" w14:textId="03A43860"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THE HEALTHY IRELAND STRATEGIC ACTION PLAN 2021–2025 (2021)</w:t>
      </w:r>
      <w:r w:rsidR="00A14CBA">
        <w:rPr>
          <w:rFonts w:asciiTheme="minorHAnsi" w:hAnsiTheme="minorHAnsi" w:cstheme="minorHAnsi"/>
          <w:sz w:val="24"/>
          <w:szCs w:val="24"/>
        </w:rPr>
        <w:t>,</w:t>
      </w:r>
    </w:p>
    <w:p w14:paraId="71996600" w14:textId="15117BCF"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 HEALTHY WEIGHT FOR IRELAND: OBESITY POLICY AND ACTION PLAN (2016)</w:t>
      </w:r>
      <w:r w:rsidR="00A14CBA">
        <w:rPr>
          <w:rFonts w:asciiTheme="minorHAnsi" w:hAnsiTheme="minorHAnsi" w:cstheme="minorHAnsi"/>
          <w:sz w:val="24"/>
          <w:szCs w:val="24"/>
        </w:rPr>
        <w:t>,</w:t>
      </w:r>
    </w:p>
    <w:p w14:paraId="24EAF7CD" w14:textId="6A2760FC"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CYCLING POLICY FRAMEWORK (2009)</w:t>
      </w:r>
      <w:r w:rsidR="00A14CBA">
        <w:rPr>
          <w:rFonts w:asciiTheme="minorHAnsi" w:hAnsiTheme="minorHAnsi" w:cstheme="minorHAnsi"/>
          <w:sz w:val="24"/>
          <w:szCs w:val="24"/>
        </w:rPr>
        <w:t>,</w:t>
      </w:r>
    </w:p>
    <w:p w14:paraId="6531393B" w14:textId="5BBA22D8"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PHYSICAL EDUCATION CURRICULUM SPECIFICATION (2003)</w:t>
      </w:r>
      <w:r w:rsidR="00A14CBA">
        <w:rPr>
          <w:rFonts w:asciiTheme="minorHAnsi" w:hAnsiTheme="minorHAnsi" w:cstheme="minorHAnsi"/>
          <w:sz w:val="24"/>
          <w:szCs w:val="24"/>
        </w:rPr>
        <w:t>,</w:t>
      </w:r>
    </w:p>
    <w:p w14:paraId="2C6D6A65" w14:textId="0640A3B5" w:rsidR="00074BD3" w:rsidRPr="0051709F" w:rsidRDefault="00074BD3" w:rsidP="00755B43">
      <w:pPr>
        <w:pStyle w:val="Prrafodelista"/>
        <w:numPr>
          <w:ilvl w:val="0"/>
          <w:numId w:val="14"/>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PHYSICAL EDUCATION FRAMEWORK </w:t>
      </w:r>
      <w:r w:rsidRPr="0051709F">
        <w:rPr>
          <w:rFonts w:asciiTheme="minorHAnsi" w:hAnsiTheme="minorHAnsi" w:cstheme="minorHAnsi"/>
          <w:sz w:val="24"/>
          <w:szCs w:val="24"/>
        </w:rPr>
        <w:t>(2012)</w:t>
      </w:r>
      <w:r w:rsidR="00A14CBA">
        <w:rPr>
          <w:rFonts w:asciiTheme="minorHAnsi" w:hAnsiTheme="minorHAnsi" w:cstheme="minorHAnsi"/>
          <w:sz w:val="24"/>
          <w:szCs w:val="24"/>
        </w:rPr>
        <w:t>.</w:t>
      </w:r>
    </w:p>
    <w:p w14:paraId="7C9775FC" w14:textId="77777777" w:rsidR="00074BD3" w:rsidRPr="007B667D" w:rsidRDefault="00074BD3" w:rsidP="00755B43">
      <w:pPr>
        <w:jc w:val="both"/>
        <w:rPr>
          <w:rFonts w:cstheme="minorHAnsi"/>
          <w:b/>
          <w:bCs/>
        </w:rPr>
      </w:pPr>
      <w:r w:rsidRPr="007B667D">
        <w:rPr>
          <w:rFonts w:cstheme="minorHAnsi"/>
          <w:b/>
          <w:bCs/>
        </w:rPr>
        <w:t>ITALIA (4 planes)</w:t>
      </w:r>
    </w:p>
    <w:p w14:paraId="599647D2" w14:textId="61F6667F" w:rsidR="00074BD3" w:rsidRPr="0051709F" w:rsidRDefault="00074BD3" w:rsidP="00755B43">
      <w:pPr>
        <w:pStyle w:val="Prrafodelista"/>
        <w:numPr>
          <w:ilvl w:val="0"/>
          <w:numId w:val="1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PREVENTION PLANS (2014–2019 AND NEW 2020–2025) (2020)</w:t>
      </w:r>
      <w:r w:rsidR="00A14CBA">
        <w:rPr>
          <w:rFonts w:asciiTheme="minorHAnsi" w:hAnsiTheme="minorHAnsi" w:cstheme="minorHAnsi"/>
          <w:sz w:val="24"/>
          <w:szCs w:val="24"/>
        </w:rPr>
        <w:t>,</w:t>
      </w:r>
    </w:p>
    <w:p w14:paraId="754E261E" w14:textId="3F83444C" w:rsidR="00074BD3" w:rsidRPr="0051709F" w:rsidRDefault="00074BD3" w:rsidP="00755B43">
      <w:pPr>
        <w:pStyle w:val="Prrafodelista"/>
        <w:numPr>
          <w:ilvl w:val="0"/>
          <w:numId w:val="1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GAINING HEALTH PROGRAMME (GUADAGNARE SALUTE 2007) (2007)</w:t>
      </w:r>
      <w:r w:rsidR="00A14CBA">
        <w:rPr>
          <w:rFonts w:asciiTheme="minorHAnsi" w:hAnsiTheme="minorHAnsi" w:cstheme="minorHAnsi"/>
          <w:sz w:val="24"/>
          <w:szCs w:val="24"/>
        </w:rPr>
        <w:t>,</w:t>
      </w:r>
    </w:p>
    <w:p w14:paraId="52193D24" w14:textId="537C3EA7" w:rsidR="00074BD3" w:rsidRPr="0051709F" w:rsidRDefault="00074BD3" w:rsidP="00755B43">
      <w:pPr>
        <w:pStyle w:val="Prrafodelista"/>
        <w:numPr>
          <w:ilvl w:val="0"/>
          <w:numId w:val="1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RECOMMENDATIONS GUIDELINES ON PHYSICAL ACTIVITY (2019)</w:t>
      </w:r>
      <w:r w:rsidR="00A14CBA">
        <w:rPr>
          <w:rFonts w:asciiTheme="minorHAnsi" w:hAnsiTheme="minorHAnsi" w:cstheme="minorHAnsi"/>
          <w:sz w:val="24"/>
          <w:szCs w:val="24"/>
        </w:rPr>
        <w:t>,</w:t>
      </w:r>
    </w:p>
    <w:p w14:paraId="2D4B6BD1" w14:textId="09D6B4BF" w:rsidR="00074BD3" w:rsidRPr="0051709F" w:rsidRDefault="00074BD3" w:rsidP="00755B43">
      <w:pPr>
        <w:pStyle w:val="Prrafodelista"/>
        <w:numPr>
          <w:ilvl w:val="0"/>
          <w:numId w:val="15"/>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lastRenderedPageBreak/>
        <w:t>SPORTS CLASS NOTEBOOKS (SPORTI DI CLASSE)</w:t>
      </w:r>
      <w:r w:rsidR="00A14CBA">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4739C1A0" w14:textId="77777777" w:rsidR="002757BC" w:rsidRPr="00C13402" w:rsidRDefault="002757BC" w:rsidP="00755B43">
      <w:pPr>
        <w:jc w:val="both"/>
        <w:rPr>
          <w:rFonts w:cstheme="minorHAnsi"/>
          <w:b/>
          <w:bCs/>
          <w:lang w:val="de-DE"/>
        </w:rPr>
      </w:pPr>
    </w:p>
    <w:p w14:paraId="4173ED51" w14:textId="1C035753" w:rsidR="00074BD3" w:rsidRPr="007B667D" w:rsidRDefault="00074BD3" w:rsidP="00755B43">
      <w:pPr>
        <w:jc w:val="both"/>
        <w:rPr>
          <w:rFonts w:cstheme="minorHAnsi"/>
          <w:b/>
          <w:bCs/>
        </w:rPr>
      </w:pPr>
      <w:r w:rsidRPr="007B667D">
        <w:rPr>
          <w:rFonts w:cstheme="minorHAnsi"/>
          <w:b/>
          <w:bCs/>
        </w:rPr>
        <w:t>LETONIA (2 planes)</w:t>
      </w:r>
    </w:p>
    <w:p w14:paraId="176425B4" w14:textId="710E474D" w:rsidR="00074BD3" w:rsidRPr="0051709F" w:rsidRDefault="00074BD3" w:rsidP="00755B43">
      <w:pPr>
        <w:pStyle w:val="Prrafodelista"/>
        <w:numPr>
          <w:ilvl w:val="0"/>
          <w:numId w:val="1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PUBLIC HEALTH GUIDELINES 2014–2020 (2014)</w:t>
      </w:r>
      <w:r w:rsidR="00A14CBA">
        <w:rPr>
          <w:rFonts w:asciiTheme="minorHAnsi" w:hAnsiTheme="minorHAnsi" w:cstheme="minorHAnsi"/>
          <w:sz w:val="24"/>
          <w:szCs w:val="24"/>
        </w:rPr>
        <w:t>,</w:t>
      </w:r>
    </w:p>
    <w:p w14:paraId="780725BB" w14:textId="2ADAB52D" w:rsidR="00074BD3" w:rsidRPr="0051709F" w:rsidRDefault="00074BD3" w:rsidP="00755B43">
      <w:pPr>
        <w:pStyle w:val="Prrafodelista"/>
        <w:numPr>
          <w:ilvl w:val="0"/>
          <w:numId w:val="16"/>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SPORTS POLICY GUIDELINES 2014—2020 (2013)</w:t>
      </w:r>
      <w:r w:rsidR="00A14CBA">
        <w:rPr>
          <w:rFonts w:asciiTheme="minorHAnsi" w:hAnsiTheme="minorHAnsi" w:cstheme="minorHAnsi"/>
          <w:sz w:val="24"/>
          <w:szCs w:val="24"/>
        </w:rPr>
        <w:t>.</w:t>
      </w:r>
    </w:p>
    <w:p w14:paraId="453F71BE" w14:textId="77777777" w:rsidR="00074BD3" w:rsidRPr="007B667D" w:rsidRDefault="00074BD3" w:rsidP="00755B43">
      <w:pPr>
        <w:jc w:val="both"/>
        <w:rPr>
          <w:rFonts w:cstheme="minorHAnsi"/>
          <w:b/>
          <w:bCs/>
        </w:rPr>
      </w:pPr>
      <w:r w:rsidRPr="007B667D">
        <w:rPr>
          <w:rFonts w:cstheme="minorHAnsi"/>
          <w:b/>
          <w:bCs/>
        </w:rPr>
        <w:t>LITUANIA (10 planes)</w:t>
      </w:r>
    </w:p>
    <w:p w14:paraId="2DFB54C6" w14:textId="407CF575"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LITHUANIAN HEALTH STRATEGY FOR 2014–2025 (2014)</w:t>
      </w:r>
      <w:r w:rsidR="00A14CBA">
        <w:rPr>
          <w:rFonts w:asciiTheme="minorHAnsi" w:hAnsiTheme="minorHAnsi" w:cstheme="minorHAnsi"/>
          <w:sz w:val="24"/>
          <w:szCs w:val="24"/>
        </w:rPr>
        <w:t>,</w:t>
      </w:r>
    </w:p>
    <w:p w14:paraId="1DF0061A" w14:textId="5D70F5AA"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PROGRAMME FOR THE DEVELOPMENT OF PUBLIC HEALTH CARE 2016–2023 (2016)</w:t>
      </w:r>
      <w:r w:rsidR="00A14CBA">
        <w:rPr>
          <w:rFonts w:asciiTheme="minorHAnsi" w:hAnsiTheme="minorHAnsi" w:cstheme="minorHAnsi"/>
          <w:sz w:val="24"/>
          <w:szCs w:val="24"/>
        </w:rPr>
        <w:t>,</w:t>
      </w:r>
    </w:p>
    <w:p w14:paraId="1C26C294" w14:textId="2A94E34F"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 DEVELOPMENT STRATEGY FOR 2011–2020 (2011)</w:t>
      </w:r>
      <w:r w:rsidR="00A14CBA">
        <w:rPr>
          <w:rFonts w:asciiTheme="minorHAnsi" w:hAnsiTheme="minorHAnsi" w:cstheme="minorHAnsi"/>
          <w:sz w:val="24"/>
          <w:szCs w:val="24"/>
        </w:rPr>
        <w:t>,</w:t>
      </w:r>
    </w:p>
    <w:p w14:paraId="160364E9" w14:textId="6BA6B684"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INTER-INSTITUTIONAL ACTION PLAN FOR IMPLEMENTATIONOF THE NATIONAL SPORT DEVELOPMENT STRATEGY FOR 2011–2020 (2014)</w:t>
      </w:r>
      <w:r w:rsidR="00A14CBA">
        <w:rPr>
          <w:rFonts w:asciiTheme="minorHAnsi" w:hAnsiTheme="minorHAnsi" w:cstheme="minorHAnsi"/>
          <w:sz w:val="24"/>
          <w:szCs w:val="24"/>
        </w:rPr>
        <w:t>,</w:t>
      </w:r>
    </w:p>
    <w:p w14:paraId="1B42FA84" w14:textId="2C3FF2C8"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GUIDELINES FOR MAINTAINING AND STRENGTHENING HEALTH (2019)</w:t>
      </w:r>
      <w:r w:rsidR="00A14CBA">
        <w:rPr>
          <w:rFonts w:asciiTheme="minorHAnsi" w:hAnsiTheme="minorHAnsi" w:cstheme="minorHAnsi"/>
          <w:sz w:val="24"/>
          <w:szCs w:val="24"/>
        </w:rPr>
        <w:t>,</w:t>
      </w:r>
    </w:p>
    <w:p w14:paraId="73915272" w14:textId="2D7324E9"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ACTION PLAN OF THE GUIDELINES FOR MAINTAINING AND STRENGTHENING HEALTH 2020–2022 (2020)</w:t>
      </w:r>
      <w:r w:rsidR="00A14CBA">
        <w:rPr>
          <w:rFonts w:asciiTheme="minorHAnsi" w:hAnsiTheme="minorHAnsi" w:cstheme="minorHAnsi"/>
          <w:sz w:val="24"/>
          <w:szCs w:val="24"/>
        </w:rPr>
        <w:t>,</w:t>
      </w:r>
    </w:p>
    <w:p w14:paraId="2914DDF8" w14:textId="0CE0C3AE"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REGULATIONS OF SPORTS SUPPORT FUND</w:t>
      </w:r>
      <w:r w:rsidR="00A14CBA">
        <w:rPr>
          <w:rFonts w:asciiTheme="minorHAnsi" w:hAnsiTheme="minorHAnsi" w:cstheme="minorHAnsi"/>
          <w:sz w:val="24"/>
          <w:szCs w:val="24"/>
        </w:rPr>
        <w:t>,</w:t>
      </w:r>
    </w:p>
    <w:p w14:paraId="209444FE" w14:textId="0AE986AB"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PROMOTION OF ENERGY EFFICIENCY AND RENEWABLE ENERGY PRODUCTION AND USE OF RENEWABLE ENERGY SOURCES: RECONSTRUCTION AND DEVELOPMENT OF PEDESTRIANS AND BICYCLE TRAILS (2021)</w:t>
      </w:r>
      <w:r w:rsidR="00A14CBA">
        <w:rPr>
          <w:rFonts w:asciiTheme="minorHAnsi" w:hAnsiTheme="minorHAnsi" w:cstheme="minorHAnsi"/>
          <w:sz w:val="24"/>
          <w:szCs w:val="24"/>
        </w:rPr>
        <w:t>,</w:t>
      </w:r>
    </w:p>
    <w:p w14:paraId="73278C34" w14:textId="6F0744B0"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CONSTRUCTION TECHNICAL REGULATION STR 2.06.04: 2014 ON STREET AND LOCAL GENERAL REQUIREMENTS (2011)</w:t>
      </w:r>
      <w:r w:rsidR="00A14CBA">
        <w:rPr>
          <w:rFonts w:asciiTheme="minorHAnsi" w:hAnsiTheme="minorHAnsi" w:cstheme="minorHAnsi"/>
          <w:sz w:val="24"/>
          <w:szCs w:val="24"/>
        </w:rPr>
        <w:t>,</w:t>
      </w:r>
    </w:p>
    <w:p w14:paraId="4F3A8F1E" w14:textId="33C0BE2C" w:rsidR="00074BD3" w:rsidRPr="0051709F" w:rsidRDefault="00074BD3" w:rsidP="00755B43">
      <w:pPr>
        <w:pStyle w:val="Prrafodelista"/>
        <w:numPr>
          <w:ilvl w:val="0"/>
          <w:numId w:val="1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METHOD FOR PRIORITIZING INSTALLATION OF PEDESTRIAN AND CYCLING INFRASTRUCTURE (ORDER NO. 194) (2012)</w:t>
      </w:r>
      <w:r w:rsidR="00A14CBA">
        <w:rPr>
          <w:rFonts w:asciiTheme="minorHAnsi" w:hAnsiTheme="minorHAnsi" w:cstheme="minorHAnsi"/>
          <w:sz w:val="24"/>
          <w:szCs w:val="24"/>
        </w:rPr>
        <w:t>.</w:t>
      </w:r>
    </w:p>
    <w:p w14:paraId="14913EDA" w14:textId="77777777" w:rsidR="00074BD3" w:rsidRPr="007B667D" w:rsidRDefault="00074BD3" w:rsidP="00755B43">
      <w:pPr>
        <w:jc w:val="both"/>
        <w:rPr>
          <w:rFonts w:cstheme="minorHAnsi"/>
          <w:b/>
          <w:bCs/>
        </w:rPr>
      </w:pPr>
      <w:r w:rsidRPr="007B667D">
        <w:rPr>
          <w:rFonts w:cstheme="minorHAnsi"/>
          <w:b/>
          <w:bCs/>
        </w:rPr>
        <w:t>LUXEMBURGO (1 plan)</w:t>
      </w:r>
    </w:p>
    <w:p w14:paraId="2324F994" w14:textId="6C5F0FAA" w:rsidR="00074BD3" w:rsidRPr="0051709F" w:rsidRDefault="00074BD3" w:rsidP="00755B43">
      <w:pPr>
        <w:pStyle w:val="Prrafodelista"/>
        <w:numPr>
          <w:ilvl w:val="0"/>
          <w:numId w:val="1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FRAMEWORK PLAN EAT HEALTHY, MOVE MORE (GESOND IESSEN, MÉI BEWEEGEN) 2018–2025 (2018)</w:t>
      </w:r>
      <w:r w:rsidR="00A14CBA">
        <w:rPr>
          <w:rFonts w:asciiTheme="minorHAnsi" w:hAnsiTheme="minorHAnsi" w:cstheme="minorHAnsi"/>
          <w:sz w:val="24"/>
          <w:szCs w:val="24"/>
        </w:rPr>
        <w:t>.</w:t>
      </w:r>
    </w:p>
    <w:p w14:paraId="5C876813" w14:textId="77777777" w:rsidR="00074BD3" w:rsidRPr="007B667D" w:rsidRDefault="00074BD3" w:rsidP="00755B43">
      <w:pPr>
        <w:jc w:val="both"/>
        <w:rPr>
          <w:rFonts w:cstheme="minorHAnsi"/>
          <w:b/>
          <w:bCs/>
        </w:rPr>
      </w:pPr>
      <w:r w:rsidRPr="007B667D">
        <w:rPr>
          <w:rFonts w:cstheme="minorHAnsi"/>
          <w:b/>
          <w:bCs/>
        </w:rPr>
        <w:t>MALTA (3 planes)</w:t>
      </w:r>
    </w:p>
    <w:p w14:paraId="51B07B6A" w14:textId="486E91A0" w:rsidR="00074BD3" w:rsidRPr="0051709F" w:rsidRDefault="00074BD3" w:rsidP="00755B43">
      <w:pPr>
        <w:pStyle w:val="Prrafodelista"/>
        <w:numPr>
          <w:ilvl w:val="0"/>
          <w:numId w:val="1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WHOLE-SCHOOL APPROACH TO A HEALTHY LIFESTYLE: HEALTHY EATING AND PHYSICAL ACTIVITY POLICY (2015)</w:t>
      </w:r>
      <w:r w:rsidR="00A14CBA">
        <w:rPr>
          <w:rFonts w:asciiTheme="minorHAnsi" w:hAnsiTheme="minorHAnsi" w:cstheme="minorHAnsi"/>
          <w:sz w:val="24"/>
          <w:szCs w:val="24"/>
        </w:rPr>
        <w:t>,</w:t>
      </w:r>
    </w:p>
    <w:p w14:paraId="7A7B7B87" w14:textId="3A69BE01" w:rsidR="00074BD3" w:rsidRPr="0051709F" w:rsidRDefault="00074BD3" w:rsidP="00755B43">
      <w:pPr>
        <w:pStyle w:val="Prrafodelista"/>
        <w:numPr>
          <w:ilvl w:val="0"/>
          <w:numId w:val="1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 HEALTHY WEIGHT FOR LIFE: A NATIONAL STRATEGY FOR MALTA (2012)</w:t>
      </w:r>
      <w:r w:rsidR="00A14CBA">
        <w:rPr>
          <w:rFonts w:asciiTheme="minorHAnsi" w:hAnsiTheme="minorHAnsi" w:cstheme="minorHAnsi"/>
          <w:sz w:val="24"/>
          <w:szCs w:val="24"/>
        </w:rPr>
        <w:t>,</w:t>
      </w:r>
    </w:p>
    <w:p w14:paraId="6E3EEB11" w14:textId="4F4CD011" w:rsidR="00074BD3" w:rsidRPr="0051709F" w:rsidRDefault="00074BD3" w:rsidP="00755B43">
      <w:pPr>
        <w:pStyle w:val="Prrafodelista"/>
        <w:numPr>
          <w:ilvl w:val="0"/>
          <w:numId w:val="19"/>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AIMING HIGHER: AN OVERVIEW OF THE NATIONAL STRATEGY FOR SPORT AND PHYSICAL ACTIVITY IN MALTA (2016)</w:t>
      </w:r>
      <w:r w:rsidR="00A14CBA">
        <w:rPr>
          <w:rFonts w:asciiTheme="minorHAnsi" w:hAnsiTheme="minorHAnsi" w:cstheme="minorHAnsi"/>
          <w:sz w:val="24"/>
          <w:szCs w:val="24"/>
        </w:rPr>
        <w:t>.</w:t>
      </w:r>
    </w:p>
    <w:p w14:paraId="7ECCE348" w14:textId="77777777" w:rsidR="00074BD3" w:rsidRPr="007B667D" w:rsidRDefault="00074BD3" w:rsidP="00755B43">
      <w:pPr>
        <w:jc w:val="both"/>
        <w:rPr>
          <w:rFonts w:cstheme="minorHAnsi"/>
          <w:b/>
          <w:bCs/>
        </w:rPr>
      </w:pPr>
      <w:r w:rsidRPr="007B667D">
        <w:rPr>
          <w:rFonts w:cstheme="minorHAnsi"/>
          <w:b/>
          <w:bCs/>
        </w:rPr>
        <w:t>POLONIA (3 planes)</w:t>
      </w:r>
    </w:p>
    <w:p w14:paraId="153847F5" w14:textId="43AF9F55" w:rsidR="00074BD3" w:rsidRPr="0051709F" w:rsidRDefault="00074BD3" w:rsidP="00755B43">
      <w:pPr>
        <w:pStyle w:val="Prrafodelista"/>
        <w:numPr>
          <w:ilvl w:val="0"/>
          <w:numId w:val="21"/>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STRATEGY FOR THE DEVELOPMENT OF HUMAN CAPITAL (2020)</w:t>
      </w:r>
      <w:r w:rsidR="00A14CBA">
        <w:rPr>
          <w:rFonts w:asciiTheme="minorHAnsi" w:hAnsiTheme="minorHAnsi" w:cstheme="minorHAnsi"/>
          <w:sz w:val="24"/>
          <w:szCs w:val="24"/>
        </w:rPr>
        <w:t>,</w:t>
      </w:r>
    </w:p>
    <w:p w14:paraId="2B2D2CCA" w14:textId="59B79C0E" w:rsidR="00074BD3" w:rsidRPr="0051709F" w:rsidRDefault="00074BD3" w:rsidP="00755B43">
      <w:pPr>
        <w:pStyle w:val="Prrafodelista"/>
        <w:numPr>
          <w:ilvl w:val="0"/>
          <w:numId w:val="21"/>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SPORTS DEVELOPMENT PROGRAMME 2020 (2020)</w:t>
      </w:r>
      <w:r w:rsidR="00A14CBA">
        <w:rPr>
          <w:rFonts w:asciiTheme="minorHAnsi" w:hAnsiTheme="minorHAnsi" w:cstheme="minorHAnsi"/>
          <w:sz w:val="24"/>
          <w:szCs w:val="24"/>
          <w:lang w:val="es-ES"/>
        </w:rPr>
        <w:t>,</w:t>
      </w:r>
    </w:p>
    <w:p w14:paraId="7F1C105B" w14:textId="5CEE827C" w:rsidR="00074BD3" w:rsidRPr="0051709F" w:rsidRDefault="00074BD3" w:rsidP="00755B43">
      <w:pPr>
        <w:pStyle w:val="Prrafodelista"/>
        <w:numPr>
          <w:ilvl w:val="0"/>
          <w:numId w:val="21"/>
        </w:numPr>
        <w:spacing w:after="160" w:line="259" w:lineRule="auto"/>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NATIONAL HEALTH PROGRAMME 2021–2025 (2021)</w:t>
      </w:r>
      <w:r w:rsidR="00A14CBA">
        <w:rPr>
          <w:rFonts w:asciiTheme="minorHAnsi" w:hAnsiTheme="minorHAnsi" w:cstheme="minorHAnsi"/>
          <w:sz w:val="24"/>
          <w:szCs w:val="24"/>
          <w:lang w:val="es-ES"/>
        </w:rPr>
        <w:t>.</w:t>
      </w:r>
    </w:p>
    <w:p w14:paraId="72AC5E21" w14:textId="77777777" w:rsidR="00074BD3" w:rsidRPr="007B667D" w:rsidRDefault="00074BD3" w:rsidP="00755B43">
      <w:pPr>
        <w:jc w:val="both"/>
        <w:rPr>
          <w:rFonts w:cstheme="minorHAnsi"/>
          <w:b/>
          <w:bCs/>
        </w:rPr>
      </w:pPr>
      <w:r w:rsidRPr="007B667D">
        <w:rPr>
          <w:rFonts w:cstheme="minorHAnsi"/>
          <w:b/>
          <w:bCs/>
        </w:rPr>
        <w:t>PORTUGAL (7 planes)</w:t>
      </w:r>
    </w:p>
    <w:p w14:paraId="59A4078E" w14:textId="25BF97D8"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SPORTS FOR ALL PROGRAMME</w:t>
      </w:r>
      <w:r w:rsidR="00A14CBA">
        <w:rPr>
          <w:rFonts w:asciiTheme="minorHAnsi" w:hAnsiTheme="minorHAnsi" w:cstheme="minorHAnsi"/>
          <w:sz w:val="24"/>
          <w:szCs w:val="24"/>
        </w:rPr>
        <w:t>,</w:t>
      </w:r>
    </w:p>
    <w:p w14:paraId="04C2BE43" w14:textId="6D8E0896"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SPORTS ROAD MAP</w:t>
      </w:r>
      <w:r w:rsidR="00A14CBA">
        <w:rPr>
          <w:rFonts w:asciiTheme="minorHAnsi" w:hAnsiTheme="minorHAnsi" w:cstheme="minorHAnsi"/>
          <w:sz w:val="24"/>
          <w:szCs w:val="24"/>
        </w:rPr>
        <w:t>,</w:t>
      </w:r>
    </w:p>
    <w:p w14:paraId="3E09C47E" w14:textId="7CEC6038"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ACTION PLAN FOR PHYSICAL ACTIVITY</w:t>
      </w:r>
      <w:r w:rsidR="00A14CBA">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17C3D970" w14:textId="6650F13D"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STRATEGY FOR ACTIVE MOBILITY 2020–2030 (2019)</w:t>
      </w:r>
      <w:r w:rsidR="00A14CBA">
        <w:rPr>
          <w:rFonts w:asciiTheme="minorHAnsi" w:hAnsiTheme="minorHAnsi" w:cstheme="minorHAnsi"/>
          <w:sz w:val="24"/>
          <w:szCs w:val="24"/>
        </w:rPr>
        <w:t>,</w:t>
      </w:r>
    </w:p>
    <w:p w14:paraId="4F7951FD" w14:textId="13343CC2"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lastRenderedPageBreak/>
        <w:t>NATIONAL WALK AND RUN PROGRAMME</w:t>
      </w:r>
      <w:r w:rsidR="00A14CBA">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7C4B2881" w14:textId="210041A6"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INTERSECTORAL COMMISSION FOR THE PROMOTION OF PHYSICAL ACTIVITY (2017)</w:t>
      </w:r>
      <w:r w:rsidR="00A14CBA">
        <w:rPr>
          <w:rFonts w:asciiTheme="minorHAnsi" w:hAnsiTheme="minorHAnsi" w:cstheme="minorHAnsi"/>
          <w:sz w:val="24"/>
          <w:szCs w:val="24"/>
        </w:rPr>
        <w:t>,</w:t>
      </w:r>
    </w:p>
    <w:p w14:paraId="6A5DD5A5" w14:textId="1455960A" w:rsidR="00074BD3" w:rsidRPr="0051709F" w:rsidRDefault="00074BD3" w:rsidP="00755B43">
      <w:pPr>
        <w:pStyle w:val="Prrafodelista"/>
        <w:numPr>
          <w:ilvl w:val="0"/>
          <w:numId w:val="22"/>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PORTUGUESE EUROPEAN WEEK OF SPORT</w:t>
      </w:r>
      <w:r w:rsidR="00A14CBA">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2CDA13A7" w14:textId="77777777" w:rsidR="00074BD3" w:rsidRPr="007B667D" w:rsidRDefault="00074BD3" w:rsidP="00755B43">
      <w:pPr>
        <w:jc w:val="both"/>
        <w:rPr>
          <w:rFonts w:cstheme="minorHAnsi"/>
          <w:b/>
          <w:bCs/>
        </w:rPr>
      </w:pPr>
      <w:r w:rsidRPr="007B667D">
        <w:rPr>
          <w:rFonts w:cstheme="minorHAnsi"/>
          <w:b/>
          <w:bCs/>
        </w:rPr>
        <w:t>REPÚBLICA CHECA (3 planes)</w:t>
      </w:r>
    </w:p>
    <w:p w14:paraId="4530B90C" w14:textId="15563B17" w:rsidR="00074BD3" w:rsidRPr="0051709F" w:rsidRDefault="00074BD3" w:rsidP="00755B43">
      <w:pPr>
        <w:pStyle w:val="Prrafodelista"/>
        <w:numPr>
          <w:ilvl w:val="0"/>
          <w:numId w:val="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SPORTS CONCEPT FOR 2016-2025 (2016)</w:t>
      </w:r>
      <w:r w:rsidR="00C20DD8">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7937D0DB" w14:textId="5C20CBCD" w:rsidR="00074BD3" w:rsidRPr="0051709F" w:rsidRDefault="00074BD3" w:rsidP="00755B43">
      <w:pPr>
        <w:pStyle w:val="Prrafodelista"/>
        <w:numPr>
          <w:ilvl w:val="0"/>
          <w:numId w:val="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STRATEGY FOR HEALTH PROTECTION AND PROMOTION AND DISEASE PREVENTION (2014)</w:t>
      </w:r>
      <w:r w:rsidR="00C20DD8">
        <w:rPr>
          <w:rFonts w:asciiTheme="minorHAnsi" w:hAnsiTheme="minorHAnsi" w:cstheme="minorHAnsi"/>
          <w:sz w:val="24"/>
          <w:szCs w:val="24"/>
        </w:rPr>
        <w:t>,</w:t>
      </w:r>
    </w:p>
    <w:p w14:paraId="6D54570B" w14:textId="751AC8E6" w:rsidR="00074BD3" w:rsidRPr="0051709F" w:rsidRDefault="00074BD3" w:rsidP="00755B43">
      <w:pPr>
        <w:pStyle w:val="Prrafodelista"/>
        <w:numPr>
          <w:ilvl w:val="0"/>
          <w:numId w:val="8"/>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ACTION PLAN FOR SPORTS (2018)</w:t>
      </w:r>
      <w:r w:rsidR="00C20DD8">
        <w:rPr>
          <w:rFonts w:asciiTheme="minorHAnsi" w:hAnsiTheme="minorHAnsi" w:cstheme="minorHAnsi"/>
          <w:sz w:val="24"/>
          <w:szCs w:val="24"/>
        </w:rPr>
        <w:t>.</w:t>
      </w:r>
    </w:p>
    <w:p w14:paraId="579C3A01" w14:textId="77777777" w:rsidR="00074BD3" w:rsidRPr="007B667D" w:rsidRDefault="00074BD3" w:rsidP="00755B43">
      <w:pPr>
        <w:jc w:val="both"/>
        <w:rPr>
          <w:rFonts w:cstheme="minorHAnsi"/>
          <w:b/>
          <w:bCs/>
        </w:rPr>
      </w:pPr>
      <w:r w:rsidRPr="007B667D">
        <w:rPr>
          <w:rFonts w:cstheme="minorHAnsi"/>
          <w:b/>
          <w:bCs/>
        </w:rPr>
        <w:t>RUMANÍA (6 planes)</w:t>
      </w:r>
    </w:p>
    <w:p w14:paraId="1F6A1FB1" w14:textId="10D08069"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STRATEGY 2014–2020 “HEALTH FOR PROSPERITY” (2014)</w:t>
      </w:r>
      <w:r w:rsidR="00C20DD8">
        <w:rPr>
          <w:rFonts w:asciiTheme="minorHAnsi" w:hAnsiTheme="minorHAnsi" w:cstheme="minorHAnsi"/>
          <w:sz w:val="24"/>
          <w:szCs w:val="24"/>
        </w:rPr>
        <w:t>,</w:t>
      </w:r>
    </w:p>
    <w:p w14:paraId="454E8F49" w14:textId="4F5895A4"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HEALTH PROGRAMME 2017–2018 (MINISTRY OF HEALTH ORDER NO. 377) (2017)</w:t>
      </w:r>
      <w:r w:rsidR="00C20DD8">
        <w:rPr>
          <w:rFonts w:asciiTheme="minorHAnsi" w:hAnsiTheme="minorHAnsi" w:cstheme="minorHAnsi"/>
          <w:sz w:val="24"/>
          <w:szCs w:val="24"/>
        </w:rPr>
        <w:t>,</w:t>
      </w:r>
    </w:p>
    <w:p w14:paraId="71DBB005" w14:textId="1E6FE0C4"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MILLENNIUM ROMANIA: A DIFFERENT LIFESTYLE (ROMANIAN SPORTS FEDERATION FOR ALL) (2000)</w:t>
      </w:r>
      <w:r w:rsidR="00C20DD8">
        <w:rPr>
          <w:rFonts w:asciiTheme="minorHAnsi" w:hAnsiTheme="minorHAnsi" w:cstheme="minorHAnsi"/>
          <w:sz w:val="24"/>
          <w:szCs w:val="24"/>
        </w:rPr>
        <w:t>,</w:t>
      </w:r>
    </w:p>
    <w:p w14:paraId="13FC9B1E" w14:textId="74FA6A2A"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SPORTS DEVELOPMENT STRATEGY IN ROMANIA – PERIOD 2016–2032 (2016)</w:t>
      </w:r>
      <w:r w:rsidR="00C20DD8">
        <w:rPr>
          <w:rFonts w:asciiTheme="minorHAnsi" w:hAnsiTheme="minorHAnsi" w:cstheme="minorHAnsi"/>
          <w:sz w:val="24"/>
          <w:szCs w:val="24"/>
        </w:rPr>
        <w:t>,</w:t>
      </w:r>
    </w:p>
    <w:p w14:paraId="5CD78592" w14:textId="26B3EC8C"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STRATEGY FOR YOUTH POLICY 2015–2020 (2015)</w:t>
      </w:r>
      <w:r w:rsidR="00C20DD8">
        <w:rPr>
          <w:rFonts w:asciiTheme="minorHAnsi" w:hAnsiTheme="minorHAnsi" w:cstheme="minorHAnsi"/>
          <w:sz w:val="24"/>
          <w:szCs w:val="24"/>
        </w:rPr>
        <w:t>,</w:t>
      </w:r>
    </w:p>
    <w:p w14:paraId="532C0A4E" w14:textId="6153E737" w:rsidR="00074BD3" w:rsidRPr="0051709F" w:rsidRDefault="00074BD3" w:rsidP="00755B43">
      <w:pPr>
        <w:pStyle w:val="Prrafodelista"/>
        <w:numPr>
          <w:ilvl w:val="0"/>
          <w:numId w:val="23"/>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SUSTAINABLE URBAN MOBILITY PLANS 2016–2030 AT LOCAL LEVEL (2016)</w:t>
      </w:r>
      <w:r w:rsidR="00C20DD8">
        <w:rPr>
          <w:rFonts w:asciiTheme="minorHAnsi" w:hAnsiTheme="minorHAnsi" w:cstheme="minorHAnsi"/>
          <w:sz w:val="24"/>
          <w:szCs w:val="24"/>
        </w:rPr>
        <w:t>.</w:t>
      </w:r>
    </w:p>
    <w:p w14:paraId="5B942B20" w14:textId="77777777" w:rsidR="00074BD3" w:rsidRPr="007B667D" w:rsidRDefault="00074BD3" w:rsidP="00755B43">
      <w:pPr>
        <w:jc w:val="both"/>
        <w:rPr>
          <w:rFonts w:cstheme="minorHAnsi"/>
          <w:b/>
          <w:bCs/>
        </w:rPr>
      </w:pPr>
      <w:r w:rsidRPr="007B667D">
        <w:rPr>
          <w:rFonts w:cstheme="minorHAnsi"/>
          <w:b/>
          <w:bCs/>
        </w:rPr>
        <w:t>SUECIA (20 planes)</w:t>
      </w:r>
    </w:p>
    <w:p w14:paraId="5E474DD4" w14:textId="6E199256"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PUBLIC HEALTH POLICY (2003)</w:t>
      </w:r>
      <w:r w:rsidR="00C20DD8">
        <w:rPr>
          <w:rFonts w:asciiTheme="minorHAnsi" w:hAnsiTheme="minorHAnsi" w:cstheme="minorHAnsi"/>
          <w:sz w:val="24"/>
          <w:szCs w:val="24"/>
        </w:rPr>
        <w:t>,</w:t>
      </w:r>
    </w:p>
    <w:p w14:paraId="7081AABC" w14:textId="68365B85"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EDUCATION ACT (2010)</w:t>
      </w:r>
      <w:r w:rsidR="00C20DD8">
        <w:rPr>
          <w:rFonts w:asciiTheme="minorHAnsi" w:hAnsiTheme="minorHAnsi" w:cstheme="minorHAnsi"/>
          <w:sz w:val="24"/>
          <w:szCs w:val="24"/>
        </w:rPr>
        <w:t>,</w:t>
      </w:r>
    </w:p>
    <w:p w14:paraId="397FDDA4" w14:textId="50CF70C3"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REGULATION ON GOVERNMENT GRANTS FOR SPORTS ACTIVITIES (2009)</w:t>
      </w:r>
      <w:r w:rsidR="00C20DD8">
        <w:rPr>
          <w:rFonts w:asciiTheme="minorHAnsi" w:hAnsiTheme="minorHAnsi" w:cstheme="minorHAnsi"/>
          <w:sz w:val="24"/>
          <w:szCs w:val="24"/>
        </w:rPr>
        <w:t>,</w:t>
      </w:r>
    </w:p>
    <w:p w14:paraId="7966B36B" w14:textId="62C5B891"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STRATEGY 2025 FOR SWEDISH SPORTS (2022)</w:t>
      </w:r>
      <w:r w:rsidR="00C20DD8">
        <w:rPr>
          <w:rFonts w:asciiTheme="minorHAnsi" w:hAnsiTheme="minorHAnsi" w:cstheme="minorHAnsi"/>
          <w:sz w:val="24"/>
          <w:szCs w:val="24"/>
        </w:rPr>
        <w:t>,</w:t>
      </w:r>
    </w:p>
    <w:p w14:paraId="73FDFDB7" w14:textId="3177772E"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PLANNING AND BUILDING ACT 2010 (2010)</w:t>
      </w:r>
      <w:r w:rsidR="00C20DD8">
        <w:rPr>
          <w:rFonts w:asciiTheme="minorHAnsi" w:hAnsiTheme="minorHAnsi" w:cstheme="minorHAnsi"/>
          <w:sz w:val="24"/>
          <w:szCs w:val="24"/>
        </w:rPr>
        <w:t>,</w:t>
      </w:r>
    </w:p>
    <w:p w14:paraId="71FB3A68" w14:textId="3269C723"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GUIDELINES FOR SCHOOLS AND PRESCHOOLS – ARCHITECTURE AND OUTDOOR ENVIRONMENT</w:t>
      </w:r>
      <w:r w:rsidR="00C20DD8">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4DFC9B65" w14:textId="1F096AD3"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GUIDELINES FOR GREEN STRUCTURE PLANNING</w:t>
      </w:r>
      <w:r w:rsidR="00C20DD8">
        <w:rPr>
          <w:rFonts w:asciiTheme="minorHAnsi" w:hAnsiTheme="minorHAnsi" w:cstheme="minorHAnsi"/>
          <w:sz w:val="24"/>
          <w:szCs w:val="24"/>
        </w:rPr>
        <w:t>,</w:t>
      </w:r>
    </w:p>
    <w:p w14:paraId="6EE25605" w14:textId="4753E3B7"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BOARD OF HOUSING, BUILDING AND PLANNING</w:t>
      </w:r>
      <w:r w:rsidR="00C20DD8">
        <w:rPr>
          <w:rFonts w:asciiTheme="minorHAnsi" w:hAnsiTheme="minorHAnsi" w:cstheme="minorHAnsi"/>
          <w:sz w:val="24"/>
          <w:szCs w:val="24"/>
        </w:rPr>
        <w:t>,</w:t>
      </w:r>
    </w:p>
    <w:p w14:paraId="7C0ADFF8" w14:textId="1C02D3CF"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STRATEGY FOR LIVING CITIES – POLICY FOR SUSTAINABLE URBAN DEVELOPMENT (2018)</w:t>
      </w:r>
      <w:r w:rsidR="00C20DD8">
        <w:rPr>
          <w:rFonts w:asciiTheme="minorHAnsi" w:hAnsiTheme="minorHAnsi" w:cstheme="minorHAnsi"/>
          <w:sz w:val="24"/>
          <w:szCs w:val="24"/>
        </w:rPr>
        <w:t>,</w:t>
      </w:r>
    </w:p>
    <w:p w14:paraId="483F2B7F" w14:textId="594EEC65"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OUTDOOR RECREATION POLICY (2012)</w:t>
      </w:r>
      <w:r w:rsidR="00C20DD8">
        <w:rPr>
          <w:rFonts w:asciiTheme="minorHAnsi" w:hAnsiTheme="minorHAnsi" w:cstheme="minorHAnsi"/>
          <w:sz w:val="24"/>
          <w:szCs w:val="24"/>
        </w:rPr>
        <w:t>,</w:t>
      </w:r>
    </w:p>
    <w:p w14:paraId="3A749176" w14:textId="09CF298F"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SWEDEN’S ENVIRONMENTAL OBJECTIVES 1999 (16TH VERSION IN 2005)</w:t>
      </w:r>
      <w:r w:rsidR="00C20DD8">
        <w:rPr>
          <w:rFonts w:asciiTheme="minorHAnsi" w:hAnsiTheme="minorHAnsi" w:cstheme="minorHAnsi"/>
          <w:sz w:val="24"/>
          <w:szCs w:val="24"/>
        </w:rPr>
        <w:t>,</w:t>
      </w:r>
    </w:p>
    <w:p w14:paraId="24FD2C0B" w14:textId="0F7DE179"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AGENDA 2030 – PLAN TO STIMULATE WORK IN SWEDEN (2018)</w:t>
      </w:r>
      <w:r w:rsidR="00C20DD8">
        <w:rPr>
          <w:rFonts w:asciiTheme="minorHAnsi" w:hAnsiTheme="minorHAnsi" w:cstheme="minorHAnsi"/>
          <w:sz w:val="24"/>
          <w:szCs w:val="24"/>
        </w:rPr>
        <w:t>,</w:t>
      </w:r>
    </w:p>
    <w:p w14:paraId="1F8F631C" w14:textId="0CB42D01"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GUIDELINES FOR THE PREVENTION AND TREATMENT OF UNHEALTHY LIVING HABITS (2018)</w:t>
      </w:r>
      <w:r w:rsidR="00C20DD8">
        <w:rPr>
          <w:rFonts w:asciiTheme="minorHAnsi" w:hAnsiTheme="minorHAnsi" w:cstheme="minorHAnsi"/>
          <w:sz w:val="24"/>
          <w:szCs w:val="24"/>
        </w:rPr>
        <w:t>,</w:t>
      </w:r>
    </w:p>
    <w:p w14:paraId="5AD9FD17" w14:textId="77777777"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GUIDELINES ON PREVENTION OF CHRONIC DISEASES (2014)</w:t>
      </w:r>
    </w:p>
    <w:p w14:paraId="77CF45FA" w14:textId="6E94B368"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TRANSPORT POLICY GOALS (2022)</w:t>
      </w:r>
      <w:r w:rsidR="00C20DD8">
        <w:rPr>
          <w:rFonts w:asciiTheme="minorHAnsi" w:hAnsiTheme="minorHAnsi" w:cstheme="minorHAnsi"/>
          <w:sz w:val="24"/>
          <w:szCs w:val="24"/>
        </w:rPr>
        <w:t>,</w:t>
      </w:r>
    </w:p>
    <w:p w14:paraId="65BC73DD" w14:textId="7D7E9F4F"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NATIONAL STRATEGY FOR INCREASED AND SAFE CYCLING (2017)</w:t>
      </w:r>
      <w:r w:rsidR="00C20DD8">
        <w:rPr>
          <w:rFonts w:asciiTheme="minorHAnsi" w:hAnsiTheme="minorHAnsi" w:cstheme="minorHAnsi"/>
          <w:sz w:val="24"/>
          <w:szCs w:val="24"/>
        </w:rPr>
        <w:t>,</w:t>
      </w:r>
    </w:p>
    <w:p w14:paraId="09B5E2CB" w14:textId="4FF9E510"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REQUIREMENTS FOR ROAD AND STREET DESIGN (2022)</w:t>
      </w:r>
      <w:r w:rsidR="00C20DD8">
        <w:rPr>
          <w:rFonts w:asciiTheme="minorHAnsi" w:hAnsiTheme="minorHAnsi" w:cstheme="minorHAnsi"/>
          <w:sz w:val="24"/>
          <w:szCs w:val="24"/>
        </w:rPr>
        <w:t>,</w:t>
      </w:r>
    </w:p>
    <w:p w14:paraId="21CA42BD" w14:textId="06A84442"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TRAFFIC FOR AN ATTRACTIVE CITY (2022)</w:t>
      </w:r>
      <w:r w:rsidR="00C20DD8">
        <w:rPr>
          <w:rFonts w:asciiTheme="minorHAnsi" w:hAnsiTheme="minorHAnsi" w:cstheme="minorHAnsi"/>
          <w:sz w:val="24"/>
          <w:szCs w:val="24"/>
        </w:rPr>
        <w:t>,</w:t>
      </w:r>
    </w:p>
    <w:p w14:paraId="676F20F4" w14:textId="11BD91D6" w:rsidR="00074BD3"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ACT ON IMPRISONMENT 2010 (SWEDISH CODE OF STATUTES 610) (2010)</w:t>
      </w:r>
      <w:r w:rsidR="00C20DD8">
        <w:rPr>
          <w:rFonts w:asciiTheme="minorHAnsi" w:hAnsiTheme="minorHAnsi" w:cstheme="minorHAnsi"/>
          <w:sz w:val="24"/>
          <w:szCs w:val="24"/>
        </w:rPr>
        <w:t>,</w:t>
      </w:r>
    </w:p>
    <w:p w14:paraId="2D5017BE" w14:textId="7853ACC2" w:rsidR="00DF3DF5" w:rsidRPr="0051709F" w:rsidRDefault="00074BD3" w:rsidP="00755B43">
      <w:pPr>
        <w:pStyle w:val="Prrafodelista"/>
        <w:numPr>
          <w:ilvl w:val="0"/>
          <w:numId w:val="27"/>
        </w:numPr>
        <w:spacing w:after="160" w:line="259" w:lineRule="auto"/>
        <w:jc w:val="both"/>
        <w:rPr>
          <w:rFonts w:asciiTheme="minorHAnsi" w:hAnsiTheme="minorHAnsi" w:cstheme="minorHAnsi"/>
          <w:sz w:val="24"/>
          <w:szCs w:val="24"/>
        </w:rPr>
      </w:pPr>
      <w:r w:rsidRPr="0051709F">
        <w:rPr>
          <w:rFonts w:asciiTheme="minorHAnsi" w:hAnsiTheme="minorHAnsi" w:cstheme="minorHAnsi"/>
          <w:sz w:val="24"/>
          <w:szCs w:val="24"/>
        </w:rPr>
        <w:t>GUIDELINES ON MUNICIPAL OUTDOOR LIFE PLANNING</w:t>
      </w:r>
      <w:r w:rsidR="00C20DD8">
        <w:rPr>
          <w:rFonts w:asciiTheme="minorHAnsi" w:hAnsiTheme="minorHAnsi" w:cstheme="minorHAnsi"/>
          <w:sz w:val="24"/>
          <w:szCs w:val="24"/>
        </w:rPr>
        <w:t>.</w:t>
      </w:r>
      <w:r w:rsidR="00DF3DF5" w:rsidRPr="0051709F">
        <w:rPr>
          <w:rFonts w:asciiTheme="minorHAnsi" w:hAnsiTheme="minorHAnsi" w:cstheme="minorHAnsi"/>
          <w:sz w:val="24"/>
          <w:szCs w:val="24"/>
        </w:rPr>
        <w:br w:type="page"/>
      </w:r>
    </w:p>
    <w:p w14:paraId="2AE17EF7" w14:textId="77777777" w:rsidR="0029197A" w:rsidRDefault="0029197A" w:rsidP="006A6D22">
      <w:pPr>
        <w:pStyle w:val="Ttulo1"/>
        <w:jc w:val="both"/>
        <w:rPr>
          <w:rFonts w:asciiTheme="minorHAnsi" w:hAnsiTheme="minorHAnsi" w:cstheme="minorHAnsi"/>
          <w:sz w:val="28"/>
          <w:szCs w:val="28"/>
        </w:rPr>
      </w:pPr>
    </w:p>
    <w:p w14:paraId="05A21D72" w14:textId="77777777" w:rsidR="0029197A" w:rsidRDefault="0029197A" w:rsidP="006A6D22">
      <w:pPr>
        <w:pStyle w:val="Ttulo1"/>
        <w:jc w:val="both"/>
        <w:rPr>
          <w:rFonts w:asciiTheme="minorHAnsi" w:hAnsiTheme="minorHAnsi" w:cstheme="minorHAnsi"/>
          <w:sz w:val="28"/>
          <w:szCs w:val="28"/>
        </w:rPr>
      </w:pPr>
    </w:p>
    <w:p w14:paraId="1F232C59" w14:textId="77777777" w:rsidR="0029197A" w:rsidRDefault="0029197A" w:rsidP="006A6D22">
      <w:pPr>
        <w:pStyle w:val="Ttulo1"/>
        <w:jc w:val="both"/>
        <w:rPr>
          <w:rFonts w:asciiTheme="minorHAnsi" w:hAnsiTheme="minorHAnsi" w:cstheme="minorHAnsi"/>
          <w:sz w:val="28"/>
          <w:szCs w:val="28"/>
        </w:rPr>
      </w:pPr>
    </w:p>
    <w:p w14:paraId="11161098" w14:textId="77777777" w:rsidR="0029197A" w:rsidRDefault="0029197A" w:rsidP="006A6D22">
      <w:pPr>
        <w:pStyle w:val="Ttulo1"/>
        <w:jc w:val="both"/>
        <w:rPr>
          <w:rFonts w:asciiTheme="minorHAnsi" w:hAnsiTheme="minorHAnsi" w:cstheme="minorHAnsi"/>
          <w:sz w:val="28"/>
          <w:szCs w:val="28"/>
        </w:rPr>
      </w:pPr>
    </w:p>
    <w:p w14:paraId="63097524" w14:textId="77777777" w:rsidR="0029197A" w:rsidRDefault="0029197A" w:rsidP="006A6D22">
      <w:pPr>
        <w:pStyle w:val="Ttulo1"/>
        <w:jc w:val="both"/>
        <w:rPr>
          <w:rFonts w:asciiTheme="minorHAnsi" w:hAnsiTheme="minorHAnsi" w:cstheme="minorHAnsi"/>
          <w:sz w:val="28"/>
          <w:szCs w:val="28"/>
        </w:rPr>
      </w:pPr>
    </w:p>
    <w:p w14:paraId="2F7364CD" w14:textId="77777777" w:rsidR="0029197A" w:rsidRDefault="0029197A" w:rsidP="006A6D22">
      <w:pPr>
        <w:pStyle w:val="Ttulo1"/>
        <w:jc w:val="both"/>
        <w:rPr>
          <w:rFonts w:asciiTheme="minorHAnsi" w:hAnsiTheme="minorHAnsi" w:cstheme="minorHAnsi"/>
          <w:sz w:val="28"/>
          <w:szCs w:val="28"/>
        </w:rPr>
      </w:pPr>
    </w:p>
    <w:p w14:paraId="7FE3DE48" w14:textId="77777777" w:rsidR="0029197A" w:rsidRDefault="0029197A" w:rsidP="006A6D22">
      <w:pPr>
        <w:pStyle w:val="Ttulo1"/>
        <w:jc w:val="both"/>
        <w:rPr>
          <w:rFonts w:asciiTheme="minorHAnsi" w:hAnsiTheme="minorHAnsi" w:cstheme="minorHAnsi"/>
          <w:sz w:val="28"/>
          <w:szCs w:val="28"/>
        </w:rPr>
      </w:pPr>
    </w:p>
    <w:p w14:paraId="4328388C" w14:textId="77777777" w:rsidR="0029197A" w:rsidRDefault="0029197A" w:rsidP="006A6D22">
      <w:pPr>
        <w:pStyle w:val="Ttulo1"/>
        <w:jc w:val="both"/>
        <w:rPr>
          <w:rFonts w:asciiTheme="minorHAnsi" w:hAnsiTheme="minorHAnsi" w:cstheme="minorHAnsi"/>
          <w:sz w:val="28"/>
          <w:szCs w:val="28"/>
        </w:rPr>
      </w:pPr>
    </w:p>
    <w:p w14:paraId="2E1DD47D" w14:textId="77777777" w:rsidR="0029197A" w:rsidRDefault="0029197A" w:rsidP="006A6D22">
      <w:pPr>
        <w:pStyle w:val="Ttulo1"/>
        <w:jc w:val="both"/>
        <w:rPr>
          <w:rFonts w:asciiTheme="minorHAnsi" w:hAnsiTheme="minorHAnsi" w:cstheme="minorHAnsi"/>
          <w:sz w:val="28"/>
          <w:szCs w:val="28"/>
        </w:rPr>
      </w:pPr>
    </w:p>
    <w:p w14:paraId="094FE3F3" w14:textId="77777777" w:rsidR="0029197A" w:rsidRDefault="0029197A" w:rsidP="006A6D22">
      <w:pPr>
        <w:pStyle w:val="Ttulo1"/>
        <w:jc w:val="both"/>
        <w:rPr>
          <w:rFonts w:asciiTheme="minorHAnsi" w:hAnsiTheme="minorHAnsi" w:cstheme="minorHAnsi"/>
          <w:sz w:val="28"/>
          <w:szCs w:val="28"/>
        </w:rPr>
      </w:pPr>
    </w:p>
    <w:p w14:paraId="6B271E3C" w14:textId="77777777" w:rsidR="0029197A" w:rsidRDefault="0029197A" w:rsidP="006A6D22">
      <w:pPr>
        <w:pStyle w:val="Ttulo1"/>
        <w:jc w:val="both"/>
        <w:rPr>
          <w:rFonts w:asciiTheme="minorHAnsi" w:hAnsiTheme="minorHAnsi" w:cstheme="minorHAnsi"/>
          <w:sz w:val="28"/>
          <w:szCs w:val="28"/>
        </w:rPr>
      </w:pPr>
    </w:p>
    <w:p w14:paraId="186CFED7" w14:textId="77777777" w:rsidR="0029197A" w:rsidRDefault="0029197A" w:rsidP="006A6D22">
      <w:pPr>
        <w:pStyle w:val="Ttulo1"/>
        <w:jc w:val="both"/>
        <w:rPr>
          <w:rFonts w:asciiTheme="minorHAnsi" w:hAnsiTheme="minorHAnsi" w:cstheme="minorHAnsi"/>
          <w:sz w:val="28"/>
          <w:szCs w:val="28"/>
        </w:rPr>
      </w:pPr>
    </w:p>
    <w:p w14:paraId="6D7F0521" w14:textId="77777777" w:rsidR="0029197A" w:rsidRDefault="0029197A" w:rsidP="0029197A"/>
    <w:p w14:paraId="1524BE39" w14:textId="77777777" w:rsidR="0029197A" w:rsidRPr="0029197A" w:rsidRDefault="0029197A" w:rsidP="0029197A"/>
    <w:p w14:paraId="27F963B4" w14:textId="77777777" w:rsidR="0029197A" w:rsidRDefault="0029197A" w:rsidP="0029197A">
      <w:pPr>
        <w:pStyle w:val="Ttulo1"/>
        <w:jc w:val="right"/>
        <w:rPr>
          <w:rFonts w:asciiTheme="minorHAnsi" w:hAnsiTheme="minorHAnsi" w:cstheme="minorHAnsi"/>
        </w:rPr>
      </w:pPr>
      <w:r w:rsidRPr="0029197A">
        <w:rPr>
          <w:rFonts w:asciiTheme="minorHAnsi" w:hAnsiTheme="minorHAnsi" w:cstheme="minorHAnsi"/>
        </w:rPr>
        <w:t xml:space="preserve">#4. La sociedad española: </w:t>
      </w:r>
    </w:p>
    <w:p w14:paraId="3C751142" w14:textId="566A4818" w:rsidR="0029197A" w:rsidRDefault="0029197A" w:rsidP="0029197A">
      <w:pPr>
        <w:pStyle w:val="Ttulo1"/>
        <w:jc w:val="right"/>
        <w:rPr>
          <w:rFonts w:asciiTheme="minorHAnsi" w:hAnsiTheme="minorHAnsi" w:cstheme="minorHAnsi"/>
        </w:rPr>
      </w:pPr>
      <w:r>
        <w:rPr>
          <w:rFonts w:asciiTheme="minorHAnsi" w:hAnsiTheme="minorHAnsi" w:cstheme="minorHAnsi"/>
        </w:rPr>
        <w:t>U</w:t>
      </w:r>
      <w:r w:rsidRPr="0029197A">
        <w:rPr>
          <w:rFonts w:asciiTheme="minorHAnsi" w:hAnsiTheme="minorHAnsi" w:cstheme="minorHAnsi"/>
        </w:rPr>
        <w:t xml:space="preserve">na estructura sociodemográfica, socioeconómica </w:t>
      </w:r>
    </w:p>
    <w:p w14:paraId="6519DAEF" w14:textId="77777777" w:rsidR="0029197A" w:rsidRDefault="0029197A" w:rsidP="0029197A">
      <w:pPr>
        <w:pStyle w:val="Ttulo1"/>
        <w:jc w:val="right"/>
        <w:rPr>
          <w:rFonts w:asciiTheme="minorHAnsi" w:hAnsiTheme="minorHAnsi" w:cstheme="minorHAnsi"/>
        </w:rPr>
      </w:pPr>
      <w:r w:rsidRPr="0029197A">
        <w:rPr>
          <w:rFonts w:asciiTheme="minorHAnsi" w:hAnsiTheme="minorHAnsi" w:cstheme="minorHAnsi"/>
        </w:rPr>
        <w:t xml:space="preserve">y cultural diversa, y sus implicaciones </w:t>
      </w:r>
    </w:p>
    <w:p w14:paraId="7DC2B091" w14:textId="7223DE73" w:rsidR="0029197A" w:rsidRPr="0029197A" w:rsidRDefault="0029197A" w:rsidP="0029197A">
      <w:pPr>
        <w:pStyle w:val="Ttulo1"/>
        <w:jc w:val="right"/>
        <w:rPr>
          <w:rFonts w:asciiTheme="minorHAnsi" w:hAnsiTheme="minorHAnsi" w:cstheme="minorHAnsi"/>
        </w:rPr>
      </w:pPr>
      <w:r w:rsidRPr="0029197A">
        <w:rPr>
          <w:rFonts w:asciiTheme="minorHAnsi" w:hAnsiTheme="minorHAnsi" w:cstheme="minorHAnsi"/>
        </w:rPr>
        <w:t>para el ecosistema del deporte y sus agentes</w:t>
      </w:r>
    </w:p>
    <w:p w14:paraId="483D967A" w14:textId="77777777" w:rsidR="0029197A" w:rsidRPr="0029197A" w:rsidRDefault="0029197A" w:rsidP="0029197A">
      <w:pPr>
        <w:jc w:val="right"/>
        <w:rPr>
          <w:sz w:val="32"/>
          <w:szCs w:val="32"/>
        </w:rPr>
      </w:pPr>
    </w:p>
    <w:p w14:paraId="4C7E5227" w14:textId="77777777" w:rsidR="0029197A" w:rsidRPr="0029197A" w:rsidRDefault="0029197A" w:rsidP="0029197A">
      <w:pPr>
        <w:pStyle w:val="Ttulo1"/>
        <w:jc w:val="right"/>
        <w:rPr>
          <w:rFonts w:asciiTheme="minorHAnsi" w:hAnsiTheme="minorHAnsi" w:cstheme="minorHAnsi"/>
        </w:rPr>
      </w:pPr>
    </w:p>
    <w:p w14:paraId="39942C86" w14:textId="77777777" w:rsidR="0029197A" w:rsidRDefault="0029197A" w:rsidP="006A6D22">
      <w:pPr>
        <w:pStyle w:val="Ttulo1"/>
        <w:jc w:val="both"/>
        <w:rPr>
          <w:rFonts w:asciiTheme="minorHAnsi" w:hAnsiTheme="minorHAnsi" w:cstheme="minorHAnsi"/>
          <w:sz w:val="28"/>
          <w:szCs w:val="28"/>
        </w:rPr>
      </w:pPr>
    </w:p>
    <w:p w14:paraId="167A611A" w14:textId="77777777" w:rsidR="0029197A" w:rsidRDefault="0029197A" w:rsidP="0029197A"/>
    <w:p w14:paraId="456C310E" w14:textId="77777777" w:rsidR="0029197A" w:rsidRDefault="0029197A" w:rsidP="0029197A"/>
    <w:p w14:paraId="15F21812" w14:textId="77777777" w:rsidR="0029197A" w:rsidRDefault="0029197A" w:rsidP="0029197A"/>
    <w:p w14:paraId="177F522A" w14:textId="77777777" w:rsidR="0029197A" w:rsidRDefault="0029197A" w:rsidP="0029197A"/>
    <w:p w14:paraId="6264700E" w14:textId="77777777" w:rsidR="0029197A" w:rsidRPr="0029197A" w:rsidRDefault="0029197A" w:rsidP="0029197A"/>
    <w:p w14:paraId="106940BB" w14:textId="25228D51" w:rsidR="00DA5768" w:rsidRPr="005145E0" w:rsidRDefault="00380C49" w:rsidP="006A6D22">
      <w:pPr>
        <w:pStyle w:val="Ttulo1"/>
        <w:jc w:val="both"/>
        <w:rPr>
          <w:rFonts w:asciiTheme="minorHAnsi" w:hAnsiTheme="minorHAnsi" w:cstheme="minorHAnsi"/>
          <w:sz w:val="28"/>
          <w:szCs w:val="28"/>
        </w:rPr>
      </w:pPr>
      <w:r w:rsidRPr="005145E0">
        <w:rPr>
          <w:rFonts w:asciiTheme="minorHAnsi" w:hAnsiTheme="minorHAnsi" w:cstheme="minorHAnsi"/>
          <w:sz w:val="28"/>
          <w:szCs w:val="28"/>
        </w:rPr>
        <w:lastRenderedPageBreak/>
        <w:t>#</w:t>
      </w:r>
      <w:r w:rsidR="00DB38F6" w:rsidRPr="005145E0">
        <w:rPr>
          <w:rFonts w:asciiTheme="minorHAnsi" w:hAnsiTheme="minorHAnsi" w:cstheme="minorHAnsi"/>
          <w:sz w:val="28"/>
          <w:szCs w:val="28"/>
        </w:rPr>
        <w:t>4</w:t>
      </w:r>
      <w:r w:rsidRPr="005145E0">
        <w:rPr>
          <w:rFonts w:asciiTheme="minorHAnsi" w:hAnsiTheme="minorHAnsi" w:cstheme="minorHAnsi"/>
          <w:sz w:val="28"/>
          <w:szCs w:val="28"/>
        </w:rPr>
        <w:t xml:space="preserve">. </w:t>
      </w:r>
      <w:r w:rsidR="00DA5768" w:rsidRPr="005145E0">
        <w:rPr>
          <w:rFonts w:asciiTheme="minorHAnsi" w:hAnsiTheme="minorHAnsi" w:cstheme="minorHAnsi"/>
          <w:sz w:val="28"/>
          <w:szCs w:val="28"/>
        </w:rPr>
        <w:t>La sociedad española: una estructura sociodemográfica, socioeconómica y cultural diversa, y sus implicaciones para el ecosistema del deporte y sus agentes</w:t>
      </w:r>
    </w:p>
    <w:p w14:paraId="2DE1FD74" w14:textId="77777777" w:rsidR="00DA5768" w:rsidRPr="0051709F" w:rsidRDefault="00DA5768" w:rsidP="00BF7D2E">
      <w:pPr>
        <w:rPr>
          <w:rFonts w:cstheme="minorHAnsi"/>
        </w:rPr>
      </w:pPr>
    </w:p>
    <w:p w14:paraId="6F4F5B09" w14:textId="77777777" w:rsidR="00BF7D2E" w:rsidRPr="0051709F" w:rsidRDefault="00BF7D2E" w:rsidP="00BF7D2E">
      <w:pPr>
        <w:jc w:val="both"/>
        <w:rPr>
          <w:rFonts w:cstheme="minorHAnsi"/>
          <w:spacing w:val="-2"/>
        </w:rPr>
      </w:pPr>
      <w:r w:rsidRPr="0051709F">
        <w:rPr>
          <w:rFonts w:cstheme="minorHAnsi"/>
        </w:rPr>
        <w:t xml:space="preserve">El deporte constituye un elemento de identidad en España. </w:t>
      </w:r>
      <w:proofErr w:type="gramStart"/>
      <w:r w:rsidRPr="0051709F">
        <w:rPr>
          <w:rFonts w:cstheme="minorHAnsi"/>
        </w:rPr>
        <w:t>Los ciudadanos y ciudadanas</w:t>
      </w:r>
      <w:proofErr w:type="gramEnd"/>
      <w:r w:rsidRPr="0051709F">
        <w:rPr>
          <w:rFonts w:cstheme="minorHAnsi"/>
        </w:rPr>
        <w:t xml:space="preserve"> españolas practican con asiduidad deporte y expresan su interés hacia esta actividad, vinculando su vida a los grandes eventos deportivos, la formación de los hijos a través de la educación física, el </w:t>
      </w:r>
      <w:r w:rsidRPr="0051709F">
        <w:rPr>
          <w:rFonts w:cstheme="minorHAnsi"/>
          <w:spacing w:val="-2"/>
        </w:rPr>
        <w:t>hábito saludable del ejercicio deportivo e, incluso, las relaciones sociales.</w:t>
      </w:r>
    </w:p>
    <w:p w14:paraId="7336F2CE" w14:textId="77777777" w:rsidR="00BF7D2E" w:rsidRPr="0051709F" w:rsidRDefault="00BF7D2E" w:rsidP="00BF7D2E">
      <w:pPr>
        <w:jc w:val="both"/>
        <w:rPr>
          <w:rFonts w:cstheme="minorHAnsi"/>
        </w:rPr>
      </w:pPr>
    </w:p>
    <w:p w14:paraId="52645870" w14:textId="77777777" w:rsidR="00BF7D2E" w:rsidRPr="0051709F" w:rsidRDefault="00BF7D2E" w:rsidP="00BF7D2E">
      <w:pPr>
        <w:jc w:val="both"/>
        <w:rPr>
          <w:rFonts w:cstheme="minorHAnsi"/>
        </w:rPr>
      </w:pPr>
      <w:r w:rsidRPr="0051709F">
        <w:rPr>
          <w:rFonts w:cstheme="minorHAnsi"/>
        </w:rPr>
        <w:t>La Unión Europea ha hecho acopio de este acervo cultural desde su origen. Su empeño por garantizar la presencia del deporte en nuestras vidas como un derecho ciudadano se remonta a la constitución del Tratado de Roma en 1957. Con su impulso, el Consejo de Europa inició una intensa actividad encaminada a la promoción del deporte, su tipificación en el sistema educativo y la regulación del deporte reglado. Expresión célebre del trabajo realizado por el Consejo de Europa en este trayecto ha sido la adopción de la Carta Europea del Deporte para Todos en 1975, la Carta Europea del Deporte en 1992 y, ya en el presente siglo, la aprobación del Libro Blanco del Deporte en 2007.</w:t>
      </w:r>
    </w:p>
    <w:p w14:paraId="1E0DC871" w14:textId="77777777" w:rsidR="00BF7D2E" w:rsidRPr="0051709F" w:rsidRDefault="00BF7D2E" w:rsidP="00BF7D2E">
      <w:pPr>
        <w:jc w:val="both"/>
        <w:rPr>
          <w:rFonts w:cstheme="minorHAnsi"/>
        </w:rPr>
      </w:pPr>
    </w:p>
    <w:p w14:paraId="6EA19761" w14:textId="5E1EA375" w:rsidR="00BF7D2E" w:rsidRPr="0051709F" w:rsidRDefault="008F39C0" w:rsidP="00BF7D2E">
      <w:pPr>
        <w:jc w:val="both"/>
        <w:rPr>
          <w:rFonts w:cstheme="minorHAnsi"/>
        </w:rPr>
      </w:pPr>
      <w:r w:rsidRPr="0051709F">
        <w:rPr>
          <w:rFonts w:cstheme="minorHAnsi"/>
        </w:rPr>
        <w:t>Pero,</w:t>
      </w:r>
      <w:r>
        <w:rPr>
          <w:rFonts w:cstheme="minorHAnsi"/>
        </w:rPr>
        <w:t xml:space="preserve"> además,</w:t>
      </w:r>
      <w:r w:rsidR="00BF7D2E" w:rsidRPr="0051709F">
        <w:rPr>
          <w:rFonts w:cstheme="minorHAnsi"/>
        </w:rPr>
        <w:t xml:space="preserve"> el deporte se mueve en tanto que la sociedad se transforma. Los cambios sociales, políticos y económicos experimentados en los últimos lustros, exigen examinar el deporte desde una nueva mirada, una mirada holística. El lugar que ocupa el deporte es siempre aquel que la sociedad le concede. De ahí que haya que centrar el acento de las políticas públicas en la sociedad, </w:t>
      </w:r>
      <w:r>
        <w:rPr>
          <w:rFonts w:cstheme="minorHAnsi"/>
        </w:rPr>
        <w:t>ya</w:t>
      </w:r>
      <w:r w:rsidR="00BF7D2E" w:rsidRPr="0051709F">
        <w:rPr>
          <w:rFonts w:cstheme="minorHAnsi"/>
        </w:rPr>
        <w:t xml:space="preserve"> que el deporte es expresión de </w:t>
      </w:r>
      <w:r w:rsidR="00BB0148">
        <w:rPr>
          <w:rFonts w:cstheme="minorHAnsi"/>
        </w:rPr>
        <w:t>é</w:t>
      </w:r>
      <w:r w:rsidR="00BB0148" w:rsidRPr="0051709F">
        <w:rPr>
          <w:rFonts w:cstheme="minorHAnsi"/>
        </w:rPr>
        <w:t>sta</w:t>
      </w:r>
      <w:r w:rsidR="00BF7D2E" w:rsidRPr="0051709F">
        <w:rPr>
          <w:rFonts w:cstheme="minorHAnsi"/>
        </w:rPr>
        <w:t>. Unas políticas públicas deportivas que aspiren a transformar la sociedad deben conocer previamente la estructura y los cambios sociales que la perfilan.</w:t>
      </w:r>
    </w:p>
    <w:p w14:paraId="11CF576B" w14:textId="77777777" w:rsidR="00BF7D2E" w:rsidRPr="0051709F" w:rsidRDefault="00BF7D2E" w:rsidP="00BF7D2E">
      <w:pPr>
        <w:jc w:val="both"/>
        <w:rPr>
          <w:rFonts w:cstheme="minorHAnsi"/>
        </w:rPr>
      </w:pPr>
    </w:p>
    <w:p w14:paraId="48394425" w14:textId="53B09245" w:rsidR="00BF7D2E" w:rsidRPr="0051709F" w:rsidRDefault="00BF7D2E" w:rsidP="00BF7D2E">
      <w:pPr>
        <w:jc w:val="both"/>
        <w:rPr>
          <w:rFonts w:cstheme="minorHAnsi"/>
        </w:rPr>
      </w:pPr>
      <w:r w:rsidRPr="0051709F">
        <w:rPr>
          <w:rFonts w:cstheme="minorHAnsi"/>
        </w:rPr>
        <w:t xml:space="preserve">Desde esta mirada, ha de reflexionarse sobre el nuevo contexto que marca la vida de la sociedad española. Los cambios señalados han dibujado un nuevo estilo de vida en la ciudadanía caracterizado por el sedentarismo. La última edición de la Encuesta Nacional de Salud (ENS), realizada en 2020, mostraba que 8 de cada 10 españoles pasan la mayor parte del tiempo diario sentados o de pie sin realizar esfuerzos ni desplazamientos. Al mismo tiempo, la Encuesta de Hábitos Deportivos de España (EHDE), cuya última edición se realizó en 2022, revela que sólo 5 de cada 10 ciudadanos practican deporte al menos un día a la semana. Asimismo, según el Estudio de Movilidad Diaria de la Población realizado por el Instituto Nacional de Estadística (INE) entre 2020 y 2021, el 16% de la población española se desplaza diariamente fuera de su área residencial, haciéndolo la mitad a través de medios mecánicos (principalmente automóvil, pero también transporte público y patinete eléctrico). </w:t>
      </w:r>
    </w:p>
    <w:p w14:paraId="5A595878" w14:textId="77777777" w:rsidR="00BF7D2E" w:rsidRPr="0051709F" w:rsidRDefault="00BF7D2E" w:rsidP="00BF7D2E">
      <w:pPr>
        <w:jc w:val="both"/>
        <w:rPr>
          <w:rFonts w:cstheme="minorHAnsi"/>
        </w:rPr>
      </w:pPr>
    </w:p>
    <w:p w14:paraId="57F82C76" w14:textId="44AAFFCC" w:rsidR="00BF7D2E" w:rsidRPr="0051709F" w:rsidRDefault="00BF7D2E" w:rsidP="00BF7D2E">
      <w:pPr>
        <w:jc w:val="both"/>
        <w:rPr>
          <w:rFonts w:cstheme="minorHAnsi"/>
        </w:rPr>
      </w:pPr>
      <w:r w:rsidRPr="0051709F">
        <w:rPr>
          <w:rFonts w:cstheme="minorHAnsi"/>
        </w:rPr>
        <w:t xml:space="preserve">Por otra parte, persiste una brecha deportiva marcada por el sexo, la edad, el nivel de estudios, la clase social, las capacidades físicas y psíquicas, el lugar de residencia, el origen nacional de las personas, que se expresa a todos los niveles y cuyas consecuencias se plasman en el disfrute de manera muy desigual de los beneficios para la salud y el bienestar derivados de esta actividad. Sigue practicándose más deporte entre la población joven que entre la adulta y mayor, entre los hombres que entre las mujeres, </w:t>
      </w:r>
      <w:r w:rsidRPr="0051709F">
        <w:rPr>
          <w:rFonts w:cstheme="minorHAnsi"/>
        </w:rPr>
        <w:lastRenderedPageBreak/>
        <w:t xml:space="preserve">entre las personas sin problemas funcionales que entre las personas con discapacidad, entre quienes tienen estudios universitarios que entre los que cuentan con estudios </w:t>
      </w:r>
      <w:r w:rsidR="008F39C0">
        <w:rPr>
          <w:rFonts w:cstheme="minorHAnsi"/>
        </w:rPr>
        <w:t>de primaria</w:t>
      </w:r>
      <w:r w:rsidRPr="0051709F">
        <w:rPr>
          <w:rFonts w:cstheme="minorHAnsi"/>
        </w:rPr>
        <w:t xml:space="preserve">, </w:t>
      </w:r>
      <w:r w:rsidR="008F39C0">
        <w:rPr>
          <w:rFonts w:cstheme="minorHAnsi"/>
        </w:rPr>
        <w:t xml:space="preserve">más </w:t>
      </w:r>
      <w:r w:rsidRPr="0051709F">
        <w:rPr>
          <w:rFonts w:cstheme="minorHAnsi"/>
        </w:rPr>
        <w:t>entre las clases altas que entre las clases bajas</w:t>
      </w:r>
      <w:r w:rsidR="008F39C0">
        <w:rPr>
          <w:rFonts w:cstheme="minorHAnsi"/>
        </w:rPr>
        <w:t xml:space="preserve"> en términos económicos</w:t>
      </w:r>
      <w:r w:rsidRPr="0051709F">
        <w:rPr>
          <w:rFonts w:cstheme="minorHAnsi"/>
        </w:rPr>
        <w:t>, entre quienes residen en el medio urbano que quienes lo hacen en el medio rural, o entre quienes lo hacen en barrios y distritos más acomodados que los que lo hacen en barrios y distritos con alto predominio de pobreza y exclusión social. Una brecha deportiva que es fruto de un modelo deportivo que no ha sabido integrar plenamente a la mayoría social.</w:t>
      </w:r>
    </w:p>
    <w:p w14:paraId="30A3E111" w14:textId="77777777" w:rsidR="00BF7D2E" w:rsidRPr="0051709F" w:rsidRDefault="00BF7D2E" w:rsidP="00BF7D2E">
      <w:pPr>
        <w:jc w:val="both"/>
        <w:rPr>
          <w:rFonts w:cstheme="minorHAnsi"/>
        </w:rPr>
      </w:pPr>
    </w:p>
    <w:p w14:paraId="66CE8FB8" w14:textId="6F241A7C" w:rsidR="00BF7D2E" w:rsidRPr="0051709F" w:rsidRDefault="00BF7D2E" w:rsidP="00BF7D2E">
      <w:pPr>
        <w:jc w:val="both"/>
        <w:rPr>
          <w:rFonts w:cstheme="minorHAnsi"/>
        </w:rPr>
      </w:pPr>
      <w:r w:rsidRPr="0051709F">
        <w:rPr>
          <w:rFonts w:cstheme="minorHAnsi"/>
        </w:rPr>
        <w:t>Bien es cierto que, por parte del Consejo de Europa y del Gobierno de España se han venido ejerciendo esfuerzos sobresalientes para mitigar los problemas asociados al</w:t>
      </w:r>
      <w:r w:rsidR="008F39C0">
        <w:rPr>
          <w:rFonts w:cstheme="minorHAnsi"/>
        </w:rPr>
        <w:t xml:space="preserve"> acceso al</w:t>
      </w:r>
      <w:r w:rsidRPr="0051709F">
        <w:rPr>
          <w:rFonts w:cstheme="minorHAnsi"/>
        </w:rPr>
        <w:t xml:space="preserve"> deporte. El Libro Verde </w:t>
      </w:r>
      <w:r w:rsidRPr="0051709F">
        <w:rPr>
          <w:rFonts w:cstheme="minorHAnsi"/>
          <w:i/>
          <w:iCs/>
        </w:rPr>
        <w:t xml:space="preserve">“Fomentar una alimentación sana y la actividad física: una dimensión europea para la prevención del exceso de peso, la obesidad y las enfermedades físicas” </w:t>
      </w:r>
      <w:r w:rsidRPr="0051709F">
        <w:rPr>
          <w:rFonts w:cstheme="minorHAnsi"/>
        </w:rPr>
        <w:t xml:space="preserve">(2005) o el propio </w:t>
      </w:r>
      <w:r w:rsidRPr="0051709F">
        <w:rPr>
          <w:rFonts w:cstheme="minorHAnsi"/>
          <w:i/>
          <w:iCs/>
        </w:rPr>
        <w:t>Plan de Acción “Pierre de Coubertin”</w:t>
      </w:r>
      <w:r w:rsidRPr="0051709F">
        <w:rPr>
          <w:rFonts w:cstheme="minorHAnsi"/>
        </w:rPr>
        <w:t xml:space="preserve">, que acompaña al Libro Blanco para el Deporte (2007), son un ejemplo </w:t>
      </w:r>
      <w:r w:rsidR="008F39C0">
        <w:rPr>
          <w:rFonts w:cstheme="minorHAnsi"/>
        </w:rPr>
        <w:t>que muestra</w:t>
      </w:r>
      <w:r w:rsidRPr="0051709F">
        <w:rPr>
          <w:rFonts w:cstheme="minorHAnsi"/>
        </w:rPr>
        <w:t xml:space="preserve"> tales esfuerzos, aunque no son los únicos instrumentos de actuación.</w:t>
      </w:r>
    </w:p>
    <w:p w14:paraId="19FE0B1E" w14:textId="77777777" w:rsidR="00BF7D2E" w:rsidRPr="0051709F" w:rsidRDefault="00BF7D2E" w:rsidP="00BF7D2E">
      <w:pPr>
        <w:jc w:val="both"/>
        <w:rPr>
          <w:rFonts w:cstheme="minorHAnsi"/>
        </w:rPr>
      </w:pPr>
    </w:p>
    <w:p w14:paraId="1D6C726B" w14:textId="2B0ECAA5" w:rsidR="00BF7D2E" w:rsidRPr="0051709F" w:rsidRDefault="00BF7D2E" w:rsidP="00BF7D2E">
      <w:pPr>
        <w:jc w:val="both"/>
        <w:rPr>
          <w:rFonts w:cstheme="minorHAnsi"/>
        </w:rPr>
      </w:pPr>
      <w:r w:rsidRPr="0051709F">
        <w:rPr>
          <w:rFonts w:cstheme="minorHAnsi"/>
        </w:rPr>
        <w:t xml:space="preserve">Pese a todo, la práctica del deporte en los países miembro de la Unión Europea sigue una tendencia de </w:t>
      </w:r>
      <w:r w:rsidR="008F39C0">
        <w:rPr>
          <w:rFonts w:cstheme="minorHAnsi"/>
        </w:rPr>
        <w:t>estancamiento</w:t>
      </w:r>
      <w:r w:rsidRPr="0051709F">
        <w:rPr>
          <w:rFonts w:cstheme="minorHAnsi"/>
        </w:rPr>
        <w:t>, cuando no negativa. Algo que pone de manifiesto que la estrategia europea para la promoción y la regulación del deporte ha de agenciarse desde una perspectiva más social que deportiva, tal como se promulga en este documento, lo cual insta a tener muy presente su dimensión transversal. Algo también de lo que han venido tomando nota otros países como Francia, Finlandia o Irlanda, habida cuenta de la implementación de planes y estrategias orientadas a afrontar el sedentarismo y la inactividad en su</w:t>
      </w:r>
      <w:r w:rsidR="00C728E8" w:rsidRPr="0051709F">
        <w:rPr>
          <w:rFonts w:cstheme="minorHAnsi"/>
        </w:rPr>
        <w:t xml:space="preserve">s </w:t>
      </w:r>
      <w:r w:rsidR="00CE3B19">
        <w:rPr>
          <w:rFonts w:cstheme="minorHAnsi"/>
        </w:rPr>
        <w:t>correspondiente</w:t>
      </w:r>
      <w:r w:rsidR="006658F3">
        <w:rPr>
          <w:rFonts w:cstheme="minorHAnsi"/>
        </w:rPr>
        <w:t>s</w:t>
      </w:r>
      <w:r w:rsidR="00CE3B19">
        <w:rPr>
          <w:rFonts w:cstheme="minorHAnsi"/>
        </w:rPr>
        <w:t xml:space="preserve"> ámbitos</w:t>
      </w:r>
      <w:r w:rsidRPr="0051709F">
        <w:rPr>
          <w:rStyle w:val="Refdenotaalpie"/>
          <w:rFonts w:cstheme="minorHAnsi"/>
        </w:rPr>
        <w:footnoteReference w:id="2"/>
      </w:r>
      <w:r w:rsidRPr="0051709F">
        <w:rPr>
          <w:rFonts w:cstheme="minorHAnsi"/>
        </w:rPr>
        <w:t>.</w:t>
      </w:r>
    </w:p>
    <w:p w14:paraId="41FD2B61" w14:textId="77777777" w:rsidR="00BF7D2E" w:rsidRPr="0051709F" w:rsidRDefault="00BF7D2E" w:rsidP="00BF7D2E">
      <w:pPr>
        <w:jc w:val="both"/>
        <w:rPr>
          <w:rFonts w:cstheme="minorHAnsi"/>
        </w:rPr>
      </w:pPr>
    </w:p>
    <w:p w14:paraId="646E2DEA" w14:textId="09ADCEFC" w:rsidR="00BF7D2E" w:rsidRPr="0051709F" w:rsidRDefault="003C03D6" w:rsidP="00C728E8">
      <w:pPr>
        <w:autoSpaceDE w:val="0"/>
        <w:autoSpaceDN w:val="0"/>
        <w:adjustRightInd w:val="0"/>
        <w:jc w:val="both"/>
        <w:rPr>
          <w:rFonts w:cstheme="minorHAnsi"/>
        </w:rPr>
      </w:pPr>
      <w:r>
        <w:rPr>
          <w:rFonts w:cstheme="minorHAnsi"/>
        </w:rPr>
        <w:t>T</w:t>
      </w:r>
      <w:r w:rsidR="00BF7D2E" w:rsidRPr="0051709F">
        <w:rPr>
          <w:rFonts w:cstheme="minorHAnsi"/>
        </w:rPr>
        <w:t xml:space="preserve">odas las administraciones españolas aspiran a construir conjuntamente una política deportiva integral y transversal, en la que participen las autoridades sanitarias, educativas, económicas, ambientales y de políticas sociales. </w:t>
      </w:r>
      <w:r>
        <w:rPr>
          <w:rFonts w:cstheme="minorHAnsi"/>
        </w:rPr>
        <w:t>Será</w:t>
      </w:r>
      <w:r w:rsidR="00BF7D2E" w:rsidRPr="0051709F">
        <w:rPr>
          <w:rFonts w:cstheme="minorHAnsi"/>
        </w:rPr>
        <w:t xml:space="preserve"> necesario un mayor esfuerzo por parte de las administraciones por sensibilizar y concienciar a la población sobre la necesidad de integrar la actividad física en las rutinas diarias de nuestra vida. E igualmente</w:t>
      </w:r>
      <w:r>
        <w:rPr>
          <w:rFonts w:cstheme="minorHAnsi"/>
        </w:rPr>
        <w:t>,</w:t>
      </w:r>
      <w:r w:rsidR="00BF7D2E" w:rsidRPr="0051709F">
        <w:rPr>
          <w:rFonts w:cstheme="minorHAnsi"/>
        </w:rPr>
        <w:t xml:space="preserve"> se</w:t>
      </w:r>
      <w:r>
        <w:rPr>
          <w:rFonts w:cstheme="minorHAnsi"/>
        </w:rPr>
        <w:t xml:space="preserve"> ha de trabajar en una </w:t>
      </w:r>
      <w:r w:rsidR="00BF7D2E" w:rsidRPr="0051709F">
        <w:rPr>
          <w:rFonts w:cstheme="minorHAnsi"/>
        </w:rPr>
        <w:t>cooperación</w:t>
      </w:r>
      <w:r>
        <w:rPr>
          <w:rFonts w:cstheme="minorHAnsi"/>
        </w:rPr>
        <w:t xml:space="preserve"> efectiva y diaria</w:t>
      </w:r>
      <w:r w:rsidR="00BF7D2E" w:rsidRPr="0051709F">
        <w:rPr>
          <w:rFonts w:cstheme="minorHAnsi"/>
        </w:rPr>
        <w:t xml:space="preserve"> entre tales administraciones para lograr este propósito común.</w:t>
      </w:r>
      <w:r w:rsidR="00C728E8" w:rsidRPr="0051709F">
        <w:rPr>
          <w:rFonts w:cstheme="minorHAnsi"/>
        </w:rPr>
        <w:t xml:space="preserve"> Algo sobre lo que ya ha sentado las bases la Ley 39/2022, de 30 de diciembre, del Deporte, en donde se expone en su Artículo 18. Criterios generales de la ordenación deportiva interadministrativa, la necesidad de </w:t>
      </w:r>
      <w:r w:rsidR="00C728E8" w:rsidRPr="007B667D">
        <w:rPr>
          <w:rFonts w:cstheme="minorHAnsi"/>
          <w:i/>
          <w:iCs/>
        </w:rPr>
        <w:t>“proponer programas comunes de actividad física y deporte vinculados a la prevención de la obesidad y el sedentarismo y a la adquisición de hábitos saludables entre la población, en coordinación con otros departamentos ministeriales con competencias en la materia, promoviendo el fomento de la actividad física y el deporte para la ciudadanía”</w:t>
      </w:r>
      <w:r w:rsidR="00C728E8" w:rsidRPr="0051709F">
        <w:rPr>
          <w:rFonts w:cstheme="minorHAnsi"/>
        </w:rPr>
        <w:t>.</w:t>
      </w:r>
    </w:p>
    <w:p w14:paraId="28760BE5" w14:textId="77777777" w:rsidR="00BF7D2E" w:rsidRPr="0051709F" w:rsidRDefault="00BF7D2E" w:rsidP="00BF7D2E">
      <w:pPr>
        <w:autoSpaceDE w:val="0"/>
        <w:autoSpaceDN w:val="0"/>
        <w:adjustRightInd w:val="0"/>
        <w:jc w:val="both"/>
        <w:rPr>
          <w:rFonts w:cstheme="minorHAnsi"/>
        </w:rPr>
      </w:pPr>
    </w:p>
    <w:p w14:paraId="71E448F0" w14:textId="01EEA157" w:rsidR="00BF7D2E" w:rsidRPr="0051709F" w:rsidRDefault="003C03D6" w:rsidP="00BF7D2E">
      <w:pPr>
        <w:autoSpaceDE w:val="0"/>
        <w:autoSpaceDN w:val="0"/>
        <w:adjustRightInd w:val="0"/>
        <w:jc w:val="both"/>
        <w:rPr>
          <w:rFonts w:cstheme="minorHAnsi"/>
        </w:rPr>
      </w:pPr>
      <w:r>
        <w:rPr>
          <w:rFonts w:cstheme="minorHAnsi"/>
        </w:rPr>
        <w:t>No se ha de permitir</w:t>
      </w:r>
      <w:r w:rsidR="00BF7D2E" w:rsidRPr="0051709F">
        <w:rPr>
          <w:rFonts w:cstheme="minorHAnsi"/>
        </w:rPr>
        <w:t xml:space="preserve"> que la edad y el sexo sigan constituyendo un freno a la práctica del deporte. No s</w:t>
      </w:r>
      <w:r>
        <w:rPr>
          <w:rFonts w:cstheme="minorHAnsi"/>
        </w:rPr>
        <w:t>e</w:t>
      </w:r>
      <w:r w:rsidR="00BF7D2E" w:rsidRPr="0051709F">
        <w:rPr>
          <w:rFonts w:cstheme="minorHAnsi"/>
        </w:rPr>
        <w:t xml:space="preserve"> </w:t>
      </w:r>
      <w:r>
        <w:rPr>
          <w:rFonts w:cstheme="minorHAnsi"/>
        </w:rPr>
        <w:t xml:space="preserve">permitirá </w:t>
      </w:r>
      <w:r w:rsidR="00BF7D2E" w:rsidRPr="0051709F">
        <w:rPr>
          <w:rFonts w:cstheme="minorHAnsi"/>
        </w:rPr>
        <w:t xml:space="preserve">que la falta de tiempo coarte el afán de práctica deportiva y de ejercicio físico entre los ciudadanos </w:t>
      </w:r>
      <w:r w:rsidR="00C728E8" w:rsidRPr="0051709F">
        <w:rPr>
          <w:rFonts w:cstheme="minorHAnsi"/>
        </w:rPr>
        <w:t>españoles</w:t>
      </w:r>
      <w:r w:rsidR="00BF7D2E" w:rsidRPr="0051709F">
        <w:rPr>
          <w:rFonts w:cstheme="minorHAnsi"/>
        </w:rPr>
        <w:t xml:space="preserve">. No </w:t>
      </w:r>
      <w:r>
        <w:rPr>
          <w:rFonts w:cstheme="minorHAnsi"/>
        </w:rPr>
        <w:t xml:space="preserve">se ha de </w:t>
      </w:r>
      <w:r w:rsidR="00BF7D2E" w:rsidRPr="0051709F">
        <w:rPr>
          <w:rFonts w:cstheme="minorHAnsi"/>
        </w:rPr>
        <w:t>toler</w:t>
      </w:r>
      <w:r>
        <w:rPr>
          <w:rFonts w:cstheme="minorHAnsi"/>
        </w:rPr>
        <w:t>ar el efecto en</w:t>
      </w:r>
      <w:r w:rsidR="00BF7D2E" w:rsidRPr="0051709F">
        <w:rPr>
          <w:rFonts w:cstheme="minorHAnsi"/>
        </w:rPr>
        <w:t xml:space="preserve"> las </w:t>
      </w:r>
      <w:r w:rsidR="00BF7D2E" w:rsidRPr="0051709F">
        <w:rPr>
          <w:rFonts w:cstheme="minorHAnsi"/>
        </w:rPr>
        <w:lastRenderedPageBreak/>
        <w:t xml:space="preserve">generaciones venideras </w:t>
      </w:r>
      <w:r>
        <w:rPr>
          <w:rFonts w:cstheme="minorHAnsi"/>
        </w:rPr>
        <w:t>d</w:t>
      </w:r>
      <w:r w:rsidR="00BF7D2E" w:rsidRPr="0051709F">
        <w:rPr>
          <w:rFonts w:cstheme="minorHAnsi"/>
        </w:rPr>
        <w:t xml:space="preserve">el perjuicio del ciclo de inactividad. </w:t>
      </w:r>
      <w:r>
        <w:rPr>
          <w:rFonts w:cstheme="minorHAnsi"/>
        </w:rPr>
        <w:t>Esta Estrategia promoverá</w:t>
      </w:r>
      <w:r w:rsidR="00BF7D2E" w:rsidRPr="0051709F">
        <w:rPr>
          <w:rFonts w:cstheme="minorHAnsi"/>
        </w:rPr>
        <w:t xml:space="preserve"> que la falta de ejercicio físico </w:t>
      </w:r>
      <w:r>
        <w:rPr>
          <w:rFonts w:cstheme="minorHAnsi"/>
        </w:rPr>
        <w:t>no representé</w:t>
      </w:r>
      <w:r w:rsidR="00BF7D2E" w:rsidRPr="0051709F">
        <w:rPr>
          <w:rFonts w:cstheme="minorHAnsi"/>
        </w:rPr>
        <w:t xml:space="preserve"> una de las principales causas de mortalidad en España </w:t>
      </w:r>
      <w:r>
        <w:rPr>
          <w:rFonts w:cstheme="minorHAnsi"/>
        </w:rPr>
        <w:t xml:space="preserve">debido a </w:t>
      </w:r>
      <w:r w:rsidR="00BF7D2E" w:rsidRPr="0051709F">
        <w:rPr>
          <w:rFonts w:cstheme="minorHAnsi"/>
        </w:rPr>
        <w:t xml:space="preserve">enfermedades cardio y cerebrovasculares, con todo el coste que ello supone no </w:t>
      </w:r>
      <w:r w:rsidR="00C728E8" w:rsidRPr="0051709F">
        <w:rPr>
          <w:rFonts w:cstheme="minorHAnsi"/>
        </w:rPr>
        <w:t xml:space="preserve">solo </w:t>
      </w:r>
      <w:r w:rsidR="00BF7D2E" w:rsidRPr="0051709F">
        <w:rPr>
          <w:rFonts w:cstheme="minorHAnsi"/>
        </w:rPr>
        <w:t>para la salud individual, sino también para el sistema sanitario.</w:t>
      </w:r>
    </w:p>
    <w:p w14:paraId="53B319FF" w14:textId="77777777" w:rsidR="00BF7D2E" w:rsidRPr="0051709F" w:rsidRDefault="00BF7D2E" w:rsidP="00BF7D2E">
      <w:pPr>
        <w:autoSpaceDE w:val="0"/>
        <w:autoSpaceDN w:val="0"/>
        <w:adjustRightInd w:val="0"/>
        <w:jc w:val="both"/>
        <w:rPr>
          <w:rFonts w:cstheme="minorHAnsi"/>
        </w:rPr>
      </w:pPr>
    </w:p>
    <w:p w14:paraId="5DCF24B5" w14:textId="3AB0331D" w:rsidR="00BF7D2E" w:rsidRPr="0051709F" w:rsidRDefault="00BF7D2E" w:rsidP="00BF7D2E">
      <w:pPr>
        <w:pStyle w:val="Default"/>
        <w:ind w:right="44"/>
        <w:jc w:val="both"/>
        <w:rPr>
          <w:rFonts w:asciiTheme="minorHAnsi" w:hAnsiTheme="minorHAnsi" w:cstheme="minorHAnsi"/>
        </w:rPr>
      </w:pPr>
      <w:r w:rsidRPr="0051709F">
        <w:rPr>
          <w:rFonts w:asciiTheme="minorHAnsi" w:hAnsiTheme="minorHAnsi" w:cstheme="minorHAnsi"/>
        </w:rPr>
        <w:t xml:space="preserve">Este desafío que anima la Estrategia Nacional de Fomento del Deporte contra la Inactividad Física y el Sedentarismo en España expresa la postura del </w:t>
      </w:r>
      <w:r w:rsidR="003C03D6">
        <w:rPr>
          <w:rFonts w:asciiTheme="minorHAnsi" w:hAnsiTheme="minorHAnsi" w:cstheme="minorHAnsi"/>
        </w:rPr>
        <w:t>conjunto de administraciones</w:t>
      </w:r>
      <w:r w:rsidRPr="0051709F">
        <w:rPr>
          <w:rFonts w:asciiTheme="minorHAnsi" w:hAnsiTheme="minorHAnsi" w:cstheme="minorHAnsi"/>
        </w:rPr>
        <w:t>, que siente</w:t>
      </w:r>
      <w:r w:rsidR="003C03D6">
        <w:rPr>
          <w:rFonts w:asciiTheme="minorHAnsi" w:hAnsiTheme="minorHAnsi" w:cstheme="minorHAnsi"/>
        </w:rPr>
        <w:t>n</w:t>
      </w:r>
      <w:r w:rsidRPr="0051709F">
        <w:rPr>
          <w:rFonts w:asciiTheme="minorHAnsi" w:hAnsiTheme="minorHAnsi" w:cstheme="minorHAnsi"/>
        </w:rPr>
        <w:t xml:space="preserve"> como propias las preocupaciones y los intereses de sus ciudadanos hacia el deporte. No en vano, la dimensión social del deporte ha constituido desde hace más de una década uno de los ejes centrales de su</w:t>
      </w:r>
      <w:r w:rsidR="003C03D6">
        <w:rPr>
          <w:rFonts w:asciiTheme="minorHAnsi" w:hAnsiTheme="minorHAnsi" w:cstheme="minorHAnsi"/>
        </w:rPr>
        <w:t>s</w:t>
      </w:r>
      <w:r w:rsidRPr="0051709F">
        <w:rPr>
          <w:rFonts w:asciiTheme="minorHAnsi" w:hAnsiTheme="minorHAnsi" w:cstheme="minorHAnsi"/>
        </w:rPr>
        <w:t xml:space="preserve"> política</w:t>
      </w:r>
      <w:r w:rsidR="003C03D6">
        <w:rPr>
          <w:rFonts w:asciiTheme="minorHAnsi" w:hAnsiTheme="minorHAnsi" w:cstheme="minorHAnsi"/>
        </w:rPr>
        <w:t>s</w:t>
      </w:r>
      <w:r w:rsidRPr="0051709F">
        <w:rPr>
          <w:rFonts w:asciiTheme="minorHAnsi" w:hAnsiTheme="minorHAnsi" w:cstheme="minorHAnsi"/>
        </w:rPr>
        <w:t xml:space="preserve"> deportiva</w:t>
      </w:r>
      <w:r w:rsidR="003C03D6">
        <w:rPr>
          <w:rFonts w:asciiTheme="minorHAnsi" w:hAnsiTheme="minorHAnsi" w:cstheme="minorHAnsi"/>
        </w:rPr>
        <w:t>s</w:t>
      </w:r>
      <w:r w:rsidRPr="0051709F">
        <w:rPr>
          <w:rFonts w:asciiTheme="minorHAnsi" w:hAnsiTheme="minorHAnsi" w:cstheme="minorHAnsi"/>
        </w:rPr>
        <w:t xml:space="preserve"> y el objetivo primordial de las actuaciones desarrolladas</w:t>
      </w:r>
      <w:r w:rsidR="000E6708">
        <w:rPr>
          <w:rFonts w:asciiTheme="minorHAnsi" w:hAnsiTheme="minorHAnsi" w:cstheme="minorHAnsi"/>
        </w:rPr>
        <w:t>, particularmente,</w:t>
      </w:r>
      <w:r w:rsidRPr="0051709F">
        <w:rPr>
          <w:rFonts w:asciiTheme="minorHAnsi" w:hAnsiTheme="minorHAnsi" w:cstheme="minorHAnsi"/>
        </w:rPr>
        <w:t xml:space="preserve"> por el Consejo Superior de Deportes. Expresión clara de esta apuesta es el Plan Integral para la Actividad Física y el Deporte, o Plan A+D, que se fijó un horizonte de diez años (2010-2020) para transformar los hábitos de estilo de vida de la población española a través del deporte, algo que contribuyó a un aumento significativo del número de practicantes de deporte en los años sucesivos.</w:t>
      </w:r>
    </w:p>
    <w:p w14:paraId="18F92242" w14:textId="77777777" w:rsidR="00BF7D2E" w:rsidRPr="0051709F" w:rsidRDefault="00BF7D2E" w:rsidP="00BF7D2E">
      <w:pPr>
        <w:pStyle w:val="Default"/>
        <w:ind w:right="44"/>
        <w:jc w:val="both"/>
        <w:rPr>
          <w:rFonts w:asciiTheme="minorHAnsi" w:hAnsiTheme="minorHAnsi" w:cstheme="minorHAnsi"/>
        </w:rPr>
      </w:pPr>
    </w:p>
    <w:p w14:paraId="10ABD01C" w14:textId="0CB4EBF6" w:rsidR="00BA55E0" w:rsidRPr="0051709F" w:rsidRDefault="00BF7D2E" w:rsidP="00BF7D2E">
      <w:pPr>
        <w:pStyle w:val="Default"/>
        <w:ind w:right="44"/>
        <w:jc w:val="both"/>
        <w:rPr>
          <w:rFonts w:asciiTheme="minorHAnsi" w:hAnsiTheme="minorHAnsi" w:cstheme="minorHAnsi"/>
        </w:rPr>
      </w:pPr>
      <w:r w:rsidRPr="0051709F">
        <w:rPr>
          <w:rFonts w:asciiTheme="minorHAnsi" w:hAnsiTheme="minorHAnsi" w:cstheme="minorHAnsi"/>
        </w:rPr>
        <w:t xml:space="preserve">La importante apuesta que significa </w:t>
      </w:r>
      <w:r w:rsidR="000E6708">
        <w:rPr>
          <w:rFonts w:asciiTheme="minorHAnsi" w:hAnsiTheme="minorHAnsi" w:cstheme="minorHAnsi"/>
        </w:rPr>
        <w:t>est</w:t>
      </w:r>
      <w:r w:rsidRPr="0051709F">
        <w:rPr>
          <w:rFonts w:asciiTheme="minorHAnsi" w:hAnsiTheme="minorHAnsi" w:cstheme="minorHAnsi"/>
        </w:rPr>
        <w:t xml:space="preserve">a Estrategia Nacional de Fomento del Deporte contra la Inactividad Física y el Sedentarismo exige partir de cimientos sólidos, para que también el resultado sea resistente a las vicisitudes del tiempo. El deporte precisa de análisis si deseamos hacer de la ciudadanía española una ciudadanía activa. Con lo cual, esta Estrategia supone el compromiso de España de posibilitar el análisis y la acción propositiva sobre los problemas sociales que transversalmente afectan al deporte y la actividad física. </w:t>
      </w:r>
      <w:r w:rsidR="000E6708">
        <w:rPr>
          <w:rFonts w:asciiTheme="minorHAnsi" w:hAnsiTheme="minorHAnsi" w:cstheme="minorHAnsi"/>
        </w:rPr>
        <w:t>En esta línea, s</w:t>
      </w:r>
      <w:r w:rsidRPr="0051709F">
        <w:rPr>
          <w:rFonts w:asciiTheme="minorHAnsi" w:hAnsiTheme="minorHAnsi" w:cstheme="minorHAnsi"/>
        </w:rPr>
        <w:t xml:space="preserve">e analizan a continuación las razones </w:t>
      </w:r>
      <w:r w:rsidR="000E6708">
        <w:rPr>
          <w:rFonts w:asciiTheme="minorHAnsi" w:hAnsiTheme="minorHAnsi" w:cstheme="minorHAnsi"/>
        </w:rPr>
        <w:t xml:space="preserve">que </w:t>
      </w:r>
      <w:r w:rsidRPr="0051709F">
        <w:rPr>
          <w:rFonts w:asciiTheme="minorHAnsi" w:hAnsiTheme="minorHAnsi" w:cstheme="minorHAnsi"/>
        </w:rPr>
        <w:t>explica</w:t>
      </w:r>
      <w:r w:rsidR="000E6708">
        <w:rPr>
          <w:rFonts w:asciiTheme="minorHAnsi" w:hAnsiTheme="minorHAnsi" w:cstheme="minorHAnsi"/>
        </w:rPr>
        <w:t xml:space="preserve">n </w:t>
      </w:r>
      <w:r w:rsidRPr="0051709F">
        <w:rPr>
          <w:rFonts w:asciiTheme="minorHAnsi" w:hAnsiTheme="minorHAnsi" w:cstheme="minorHAnsi"/>
        </w:rPr>
        <w:t xml:space="preserve">el modelo de vida sedentario extendido </w:t>
      </w:r>
      <w:r w:rsidR="000E6708">
        <w:rPr>
          <w:rFonts w:asciiTheme="minorHAnsi" w:hAnsiTheme="minorHAnsi" w:cstheme="minorHAnsi"/>
        </w:rPr>
        <w:t xml:space="preserve">tanto </w:t>
      </w:r>
      <w:r w:rsidRPr="0051709F">
        <w:rPr>
          <w:rFonts w:asciiTheme="minorHAnsi" w:hAnsiTheme="minorHAnsi" w:cstheme="minorHAnsi"/>
        </w:rPr>
        <w:t>en España, como en Europa, y se tratará de alcanzar cierto consenso sobre las acciones a implementar para transformarlo.</w:t>
      </w:r>
    </w:p>
    <w:p w14:paraId="15DD3B51" w14:textId="77777777" w:rsidR="00380C49" w:rsidRPr="0051709F" w:rsidRDefault="00380C49" w:rsidP="00C728E8">
      <w:pPr>
        <w:jc w:val="both"/>
        <w:rPr>
          <w:rFonts w:cstheme="minorHAnsi"/>
          <w:b/>
          <w:bCs/>
          <w:lang w:val="es-ES_tradnl"/>
        </w:rPr>
      </w:pPr>
    </w:p>
    <w:p w14:paraId="1EF07474" w14:textId="6FBB5881" w:rsidR="00C728E8" w:rsidRPr="0051709F" w:rsidRDefault="00C728E8" w:rsidP="00082F39">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 Transformaciones de la estructura poblacional española</w:t>
      </w:r>
    </w:p>
    <w:p w14:paraId="09B03859" w14:textId="3B7B3C37" w:rsidR="00C728E8" w:rsidRPr="0051709F" w:rsidRDefault="00C728E8" w:rsidP="00C728E8">
      <w:pPr>
        <w:jc w:val="both"/>
        <w:rPr>
          <w:rFonts w:cstheme="minorHAnsi"/>
        </w:rPr>
      </w:pPr>
      <w:r w:rsidRPr="0051709F">
        <w:rPr>
          <w:rFonts w:cstheme="minorHAnsi"/>
        </w:rPr>
        <w:br/>
        <w:t xml:space="preserve">Uno de los elementos esenciales que </w:t>
      </w:r>
      <w:r w:rsidR="00E634F8">
        <w:rPr>
          <w:rFonts w:cstheme="minorHAnsi"/>
        </w:rPr>
        <w:t>se ha</w:t>
      </w:r>
      <w:r w:rsidR="00E634F8" w:rsidRPr="0051709F">
        <w:rPr>
          <w:rFonts w:cstheme="minorHAnsi"/>
        </w:rPr>
        <w:t xml:space="preserve"> </w:t>
      </w:r>
      <w:r w:rsidRPr="0051709F">
        <w:rPr>
          <w:rFonts w:cstheme="minorHAnsi"/>
        </w:rPr>
        <w:t xml:space="preserve">de contemplar para afrontar una estrategia nacional </w:t>
      </w:r>
      <w:r w:rsidR="00BA55E0" w:rsidRPr="0051709F">
        <w:rPr>
          <w:rFonts w:cstheme="minorHAnsi"/>
        </w:rPr>
        <w:t>del fomento del deporte contra</w:t>
      </w:r>
      <w:r w:rsidRPr="0051709F">
        <w:rPr>
          <w:rFonts w:cstheme="minorHAnsi"/>
        </w:rPr>
        <w:t xml:space="preserve"> el sedentarismo</w:t>
      </w:r>
      <w:r w:rsidR="00BA55E0" w:rsidRPr="0051709F">
        <w:rPr>
          <w:rFonts w:cstheme="minorHAnsi"/>
        </w:rPr>
        <w:t xml:space="preserve"> y la inactividad física</w:t>
      </w:r>
      <w:r w:rsidRPr="0051709F">
        <w:rPr>
          <w:rFonts w:cstheme="minorHAnsi"/>
        </w:rPr>
        <w:t xml:space="preserve"> es su </w:t>
      </w:r>
      <w:r w:rsidRPr="0051709F">
        <w:rPr>
          <w:rFonts w:cstheme="minorHAnsi"/>
          <w:b/>
        </w:rPr>
        <w:t>estructura de población</w:t>
      </w:r>
      <w:r w:rsidRPr="0051709F">
        <w:rPr>
          <w:rFonts w:cstheme="minorHAnsi"/>
        </w:rPr>
        <w:t>. En efecto, la población representa la diana de cualquier política pública, pero su estructura es dinámica, en tanto que cambia a lo largo del tiempo, y diversa, porque varía entre grupos de edad y sexo, o por razones culturales, por lo que ha de realizarse un seguimiento de ésta para lograr su efectividad.</w:t>
      </w:r>
    </w:p>
    <w:p w14:paraId="423F0E4E" w14:textId="77777777" w:rsidR="00C728E8" w:rsidRPr="0051709F" w:rsidRDefault="00C728E8" w:rsidP="00C728E8">
      <w:pPr>
        <w:jc w:val="both"/>
        <w:rPr>
          <w:rFonts w:cstheme="minorHAnsi"/>
        </w:rPr>
      </w:pPr>
    </w:p>
    <w:p w14:paraId="486E5645" w14:textId="437D529F" w:rsidR="00C728E8" w:rsidRPr="0051709F" w:rsidRDefault="00C728E8" w:rsidP="00C728E8">
      <w:pPr>
        <w:jc w:val="both"/>
        <w:rPr>
          <w:rFonts w:cstheme="minorHAnsi"/>
        </w:rPr>
      </w:pPr>
      <w:r w:rsidRPr="0051709F">
        <w:rPr>
          <w:rFonts w:cstheme="minorHAnsi"/>
        </w:rPr>
        <w:t>El Censo Nacional de Población y Vivienda, que realiza cada diez años el Instituto Nacional de Estadística (INE), describe gráficamente los cambios que se han producido en la estructura de la población española a lo largo de nuestra democracia. Si acudimos al mismo y contrastamos la pirámide pobl</w:t>
      </w:r>
      <w:r w:rsidR="00DC3CB1" w:rsidRPr="0051709F">
        <w:rPr>
          <w:rFonts w:cstheme="minorHAnsi"/>
        </w:rPr>
        <w:t>acional entre 1981 y 2021 (ver Figura 3</w:t>
      </w:r>
      <w:r w:rsidRPr="0051709F">
        <w:rPr>
          <w:rFonts w:cstheme="minorHAnsi"/>
        </w:rPr>
        <w:t>), constatamos claramente un estrechamiento de su base, debido a la importante bajada de natalidad, y, a la vez, un engrosamiento progresivo de la parte central y superior de la pirámide, por el aumento de la esperanza de vida de la población.</w:t>
      </w:r>
    </w:p>
    <w:p w14:paraId="7E0F64DA" w14:textId="77777777" w:rsidR="00BF7D2E" w:rsidRPr="0051709F" w:rsidRDefault="00BF7D2E" w:rsidP="00C728E8">
      <w:pPr>
        <w:jc w:val="both"/>
        <w:rPr>
          <w:rFonts w:cstheme="minorHAnsi"/>
          <w:b/>
          <w:bCs/>
          <w:lang w:val="es-ES_tradnl"/>
        </w:rPr>
      </w:pPr>
    </w:p>
    <w:p w14:paraId="5D7D035B" w14:textId="17F1B8EF" w:rsidR="00C728E8" w:rsidRPr="0051709F" w:rsidRDefault="00C728E8" w:rsidP="00C728E8">
      <w:pPr>
        <w:spacing w:after="120"/>
        <w:jc w:val="both"/>
        <w:rPr>
          <w:rFonts w:cstheme="minorHAnsi"/>
        </w:rPr>
      </w:pPr>
      <w:r w:rsidRPr="0051709F">
        <w:rPr>
          <w:rFonts w:cstheme="minorHAnsi"/>
          <w:noProof/>
          <w:lang w:val="en-GB" w:eastAsia="en-GB"/>
        </w:rPr>
        <w:lastRenderedPageBreak/>
        <mc:AlternateContent>
          <mc:Choice Requires="wps">
            <w:drawing>
              <wp:anchor distT="0" distB="0" distL="114300" distR="114300" simplePos="0" relativeHeight="251667456" behindDoc="0" locked="0" layoutInCell="1" allowOverlap="1" wp14:anchorId="658182EB" wp14:editId="39798A74">
                <wp:simplePos x="0" y="0"/>
                <wp:positionH relativeFrom="column">
                  <wp:posOffset>4466555</wp:posOffset>
                </wp:positionH>
                <wp:positionV relativeFrom="paragraph">
                  <wp:posOffset>310124</wp:posOffset>
                </wp:positionV>
                <wp:extent cx="1512277" cy="607835"/>
                <wp:effectExtent l="0" t="0" r="12065" b="20955"/>
                <wp:wrapNone/>
                <wp:docPr id="28" name="Rectángulo redondeado 28"/>
                <wp:cNvGraphicFramePr/>
                <a:graphic xmlns:a="http://schemas.openxmlformats.org/drawingml/2006/main">
                  <a:graphicData uri="http://schemas.microsoft.com/office/word/2010/wordprocessingShape">
                    <wps:wsp>
                      <wps:cNvSpPr/>
                      <wps:spPr>
                        <a:xfrm>
                          <a:off x="0" y="0"/>
                          <a:ext cx="1512277" cy="607835"/>
                        </a:xfrm>
                        <a:prstGeom prst="roundRect">
                          <a:avLst/>
                        </a:prstGeom>
                        <a:noFill/>
                        <a:ln w="12700" cap="flat" cmpd="sng" algn="ctr">
                          <a:solidFill>
                            <a:schemeClr val="accent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A118E" id="Rectángulo redondeado 28" o:spid="_x0000_s1026" style="position:absolute;margin-left:351.7pt;margin-top:24.4pt;width:119.1pt;height:4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" filled="f" strokecolor="#4472c4 [3204]" strokeweight="1pt">
                <v:stroke joinstyle="miter"/>
              </v:roundrect>
            </w:pict>
          </mc:Fallback>
        </mc:AlternateContent>
      </w:r>
      <w:r w:rsidRPr="0051709F">
        <w:rPr>
          <w:rFonts w:cstheme="minorHAnsi"/>
          <w:noProof/>
          <w:lang w:val="en-GB" w:eastAsia="en-GB"/>
        </w:rPr>
        <mc:AlternateContent>
          <mc:Choice Requires="wps">
            <w:drawing>
              <wp:anchor distT="0" distB="0" distL="114300" distR="114300" simplePos="0" relativeHeight="251666432" behindDoc="0" locked="0" layoutInCell="1" allowOverlap="1" wp14:anchorId="70B94EBD" wp14:editId="4BB3E549">
                <wp:simplePos x="0" y="0"/>
                <wp:positionH relativeFrom="column">
                  <wp:posOffset>442190</wp:posOffset>
                </wp:positionH>
                <wp:positionV relativeFrom="paragraph">
                  <wp:posOffset>1129065</wp:posOffset>
                </wp:positionV>
                <wp:extent cx="1472084" cy="391886"/>
                <wp:effectExtent l="0" t="0" r="13970" b="27305"/>
                <wp:wrapNone/>
                <wp:docPr id="16" name="Rectángulo redondeado 16"/>
                <wp:cNvGraphicFramePr/>
                <a:graphic xmlns:a="http://schemas.openxmlformats.org/drawingml/2006/main">
                  <a:graphicData uri="http://schemas.microsoft.com/office/word/2010/wordprocessingShape">
                    <wps:wsp>
                      <wps:cNvSpPr/>
                      <wps:spPr>
                        <a:xfrm>
                          <a:off x="0" y="0"/>
                          <a:ext cx="1472084" cy="391886"/>
                        </a:xfrm>
                        <a:prstGeom prst="roundRect">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B0FA64" id="Rectángulo redondeado 16" o:spid="_x0000_s1026" style="position:absolute;margin-left:34.8pt;margin-top:88.9pt;width:115.9pt;height:30.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" filled="f" strokecolor="#2e74b5 [2408]" strokeweight="1pt">
                <v:stroke joinstyle="miter"/>
              </v:roundrect>
            </w:pict>
          </mc:Fallback>
        </mc:AlternateContent>
      </w:r>
      <w:r w:rsidRPr="0051709F">
        <w:rPr>
          <w:rFonts w:cstheme="minorHAnsi"/>
          <w:noProof/>
          <w:lang w:val="en-GB" w:eastAsia="en-GB"/>
        </w:rPr>
        <w:drawing>
          <wp:anchor distT="0" distB="0" distL="114300" distR="114300" simplePos="0" relativeHeight="251662336" behindDoc="1" locked="0" layoutInCell="1" allowOverlap="1" wp14:anchorId="18C24E0A" wp14:editId="18FF1946">
            <wp:simplePos x="0" y="0"/>
            <wp:positionH relativeFrom="column">
              <wp:posOffset>2019300</wp:posOffset>
            </wp:positionH>
            <wp:positionV relativeFrom="paragraph">
              <wp:posOffset>152400</wp:posOffset>
            </wp:positionV>
            <wp:extent cx="2125345" cy="1656080"/>
            <wp:effectExtent l="0" t="0" r="0" b="0"/>
            <wp:wrapTight wrapText="bothSides">
              <wp:wrapPolygon edited="0">
                <wp:start x="3679" y="1242"/>
                <wp:lineTo x="387" y="2733"/>
                <wp:lineTo x="387" y="8199"/>
                <wp:lineTo x="1162" y="9690"/>
                <wp:lineTo x="581" y="9939"/>
                <wp:lineTo x="387" y="14908"/>
                <wp:lineTo x="1162" y="17641"/>
                <wp:lineTo x="3098" y="19877"/>
                <wp:lineTo x="3291" y="20374"/>
                <wp:lineTo x="20522" y="20374"/>
                <wp:lineTo x="19941" y="1242"/>
                <wp:lineTo x="3679" y="1242"/>
              </wp:wrapPolygon>
            </wp:wrapTight>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Pr="0051709F">
        <w:rPr>
          <w:rFonts w:cstheme="minorHAnsi"/>
          <w:noProof/>
          <w:lang w:val="en-GB" w:eastAsia="en-GB"/>
        </w:rPr>
        <w:drawing>
          <wp:anchor distT="0" distB="0" distL="114300" distR="114300" simplePos="0" relativeHeight="251663360" behindDoc="1" locked="0" layoutInCell="1" allowOverlap="1" wp14:anchorId="21C85F25" wp14:editId="4F58FF63">
            <wp:simplePos x="0" y="0"/>
            <wp:positionH relativeFrom="column">
              <wp:posOffset>4018915</wp:posOffset>
            </wp:positionH>
            <wp:positionV relativeFrom="paragraph">
              <wp:posOffset>167640</wp:posOffset>
            </wp:positionV>
            <wp:extent cx="2131060" cy="1638300"/>
            <wp:effectExtent l="0" t="0" r="0" b="0"/>
            <wp:wrapTight wrapText="bothSides">
              <wp:wrapPolygon edited="0">
                <wp:start x="4055" y="1256"/>
                <wp:lineTo x="772" y="2763"/>
                <wp:lineTo x="772" y="8288"/>
                <wp:lineTo x="1545" y="9795"/>
                <wp:lineTo x="965" y="10047"/>
                <wp:lineTo x="772" y="16074"/>
                <wp:lineTo x="2124" y="17833"/>
                <wp:lineTo x="4055" y="17833"/>
                <wp:lineTo x="3669" y="20344"/>
                <wp:lineTo x="20660" y="20344"/>
                <wp:lineTo x="20081" y="1256"/>
                <wp:lineTo x="4055" y="1256"/>
              </wp:wrapPolygon>
            </wp:wrapTight>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Pr="0051709F">
        <w:rPr>
          <w:rFonts w:cstheme="minorHAnsi"/>
          <w:noProof/>
          <w:lang w:val="en-GB" w:eastAsia="en-GB"/>
        </w:rPr>
        <w:drawing>
          <wp:anchor distT="0" distB="0" distL="114300" distR="114300" simplePos="0" relativeHeight="251661312" behindDoc="1" locked="0" layoutInCell="1" allowOverlap="1" wp14:anchorId="00D8283B" wp14:editId="2D143CEC">
            <wp:simplePos x="0" y="0"/>
            <wp:positionH relativeFrom="column">
              <wp:posOffset>0</wp:posOffset>
            </wp:positionH>
            <wp:positionV relativeFrom="paragraph">
              <wp:posOffset>161175</wp:posOffset>
            </wp:positionV>
            <wp:extent cx="2113280" cy="1644650"/>
            <wp:effectExtent l="0" t="0" r="0" b="0"/>
            <wp:wrapTight wrapText="bothSides">
              <wp:wrapPolygon edited="0">
                <wp:start x="3700" y="1251"/>
                <wp:lineTo x="389" y="2752"/>
                <wp:lineTo x="389" y="8256"/>
                <wp:lineTo x="1168" y="9758"/>
                <wp:lineTo x="584" y="10008"/>
                <wp:lineTo x="584" y="15512"/>
                <wp:lineTo x="974" y="17764"/>
                <wp:lineTo x="3115" y="20015"/>
                <wp:lineTo x="3310" y="20516"/>
                <wp:lineTo x="20445" y="20516"/>
                <wp:lineTo x="19861" y="1251"/>
                <wp:lineTo x="3700" y="1251"/>
              </wp:wrapPolygon>
            </wp:wrapTight>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Pr="0051709F">
        <w:rPr>
          <w:rFonts w:cstheme="minorHAnsi"/>
        </w:rPr>
        <w:t xml:space="preserve">                              1981                                                               2001                                                             2021              </w:t>
      </w:r>
    </w:p>
    <w:p w14:paraId="1FF6A49C" w14:textId="77777777" w:rsidR="00C728E8" w:rsidRPr="0051709F" w:rsidRDefault="00C728E8" w:rsidP="00C728E8">
      <w:pPr>
        <w:spacing w:before="120" w:after="80"/>
        <w:jc w:val="both"/>
        <w:rPr>
          <w:rFonts w:cstheme="minorHAnsi"/>
        </w:rPr>
      </w:pPr>
    </w:p>
    <w:p w14:paraId="5415B363" w14:textId="77777777" w:rsidR="00C728E8" w:rsidRPr="0051709F" w:rsidRDefault="00C728E8" w:rsidP="00C728E8">
      <w:pPr>
        <w:spacing w:before="120" w:after="80"/>
        <w:jc w:val="both"/>
        <w:rPr>
          <w:rFonts w:cstheme="minorHAnsi"/>
        </w:rPr>
      </w:pPr>
      <w:r w:rsidRPr="0051709F">
        <w:rPr>
          <w:rFonts w:cstheme="minorHAnsi"/>
          <w:noProof/>
          <w:lang w:val="en-GB" w:eastAsia="en-GB"/>
        </w:rPr>
        <mc:AlternateContent>
          <mc:Choice Requires="wps">
            <w:drawing>
              <wp:anchor distT="0" distB="0" distL="114300" distR="114300" simplePos="0" relativeHeight="251665408" behindDoc="0" locked="0" layoutInCell="1" allowOverlap="1" wp14:anchorId="39AD5E1D" wp14:editId="2DFF47DD">
                <wp:simplePos x="0" y="0"/>
                <wp:positionH relativeFrom="column">
                  <wp:posOffset>3376247</wp:posOffset>
                </wp:positionH>
                <wp:positionV relativeFrom="paragraph">
                  <wp:posOffset>55266</wp:posOffset>
                </wp:positionV>
                <wp:extent cx="145282" cy="79822"/>
                <wp:effectExtent l="0" t="0" r="7620" b="0"/>
                <wp:wrapNone/>
                <wp:docPr id="15" name="Rectángulo 15"/>
                <wp:cNvGraphicFramePr/>
                <a:graphic xmlns:a="http://schemas.openxmlformats.org/drawingml/2006/main">
                  <a:graphicData uri="http://schemas.microsoft.com/office/word/2010/wordprocessingShape">
                    <wps:wsp>
                      <wps:cNvSpPr/>
                      <wps:spPr>
                        <a:xfrm>
                          <a:off x="0" y="0"/>
                          <a:ext cx="145282" cy="79822"/>
                        </a:xfrm>
                        <a:prstGeom prst="rect">
                          <a:avLst/>
                        </a:prstGeom>
                        <a:solidFill>
                          <a:schemeClr val="accent1">
                            <a:lumMod val="60000"/>
                            <a:lumOff val="4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B7597" id="Rectángulo 15" o:spid="_x0000_s1026" style="position:absolute;margin-left:265.85pt;margin-top:4.35pt;width:11.4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" fillcolor="#8eaadb [1940]" stroked="f" strokeweight="1pt"/>
            </w:pict>
          </mc:Fallback>
        </mc:AlternateContent>
      </w:r>
      <w:r w:rsidRPr="0051709F">
        <w:rPr>
          <w:rFonts w:cstheme="minorHAnsi"/>
          <w:noProof/>
          <w:lang w:val="en-GB" w:eastAsia="en-GB"/>
        </w:rPr>
        <mc:AlternateContent>
          <mc:Choice Requires="wps">
            <w:drawing>
              <wp:anchor distT="0" distB="0" distL="114300" distR="114300" simplePos="0" relativeHeight="251664384" behindDoc="0" locked="0" layoutInCell="1" allowOverlap="1" wp14:anchorId="679BA8EC" wp14:editId="34442DFC">
                <wp:simplePos x="0" y="0"/>
                <wp:positionH relativeFrom="column">
                  <wp:posOffset>2522199</wp:posOffset>
                </wp:positionH>
                <wp:positionV relativeFrom="paragraph">
                  <wp:posOffset>56396</wp:posOffset>
                </wp:positionV>
                <wp:extent cx="145282" cy="79822"/>
                <wp:effectExtent l="0" t="0" r="7620" b="0"/>
                <wp:wrapNone/>
                <wp:docPr id="9" name="Rectángulo 9"/>
                <wp:cNvGraphicFramePr/>
                <a:graphic xmlns:a="http://schemas.openxmlformats.org/drawingml/2006/main">
                  <a:graphicData uri="http://schemas.microsoft.com/office/word/2010/wordprocessingShape">
                    <wps:wsp>
                      <wps:cNvSpPr/>
                      <wps:spPr>
                        <a:xfrm>
                          <a:off x="0" y="0"/>
                          <a:ext cx="145282" cy="798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6D5C9" id="Rectángulo 9" o:spid="_x0000_s1026" style="position:absolute;margin-left:198.6pt;margin-top:4.45pt;width:11.45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" fillcolor="#2f5496 [2404]" stroked="f" strokeweight="1pt"/>
            </w:pict>
          </mc:Fallback>
        </mc:AlternateContent>
      </w:r>
      <w:r w:rsidRPr="0051709F">
        <w:rPr>
          <w:rFonts w:cstheme="minorHAnsi"/>
        </w:rPr>
        <w:t xml:space="preserve">                                                                                                          Hombres                   Mujeres</w:t>
      </w:r>
    </w:p>
    <w:p w14:paraId="1230A7B3" w14:textId="77777777" w:rsidR="00082F39" w:rsidRPr="0051709F" w:rsidRDefault="00082F39" w:rsidP="00082F39">
      <w:pPr>
        <w:jc w:val="center"/>
        <w:rPr>
          <w:rFonts w:cstheme="minorHAnsi"/>
          <w:i/>
        </w:rPr>
      </w:pPr>
    </w:p>
    <w:p w14:paraId="1345DC16" w14:textId="1CB4C25B" w:rsidR="00082F39" w:rsidRPr="007B667D" w:rsidRDefault="00082F39" w:rsidP="00E634F8">
      <w:pPr>
        <w:jc w:val="center"/>
        <w:rPr>
          <w:rFonts w:cstheme="minorHAnsi"/>
          <w:i/>
          <w:iCs/>
          <w:sz w:val="22"/>
          <w:szCs w:val="22"/>
        </w:rPr>
      </w:pPr>
      <w:r w:rsidRPr="007B667D">
        <w:rPr>
          <w:rFonts w:cstheme="minorHAnsi"/>
          <w:i/>
          <w:iCs/>
          <w:sz w:val="22"/>
          <w:szCs w:val="22"/>
        </w:rPr>
        <w:t xml:space="preserve">Figura </w:t>
      </w:r>
      <w:r w:rsidR="00DC3CB1" w:rsidRPr="007B667D">
        <w:rPr>
          <w:rFonts w:cstheme="minorHAnsi"/>
          <w:i/>
          <w:iCs/>
          <w:sz w:val="22"/>
          <w:szCs w:val="22"/>
        </w:rPr>
        <w:t>3</w:t>
      </w:r>
      <w:r w:rsidRPr="007B667D">
        <w:rPr>
          <w:rFonts w:cstheme="minorHAnsi"/>
          <w:i/>
          <w:iCs/>
          <w:sz w:val="22"/>
          <w:szCs w:val="22"/>
        </w:rPr>
        <w:t>. Pirámides de la estructura de la población española entre 1981 y 2021</w:t>
      </w:r>
    </w:p>
    <w:p w14:paraId="5F8FB813" w14:textId="77777777" w:rsidR="00C728E8" w:rsidRPr="007B667D" w:rsidRDefault="00C728E8" w:rsidP="00E634F8">
      <w:pPr>
        <w:jc w:val="center"/>
        <w:rPr>
          <w:rFonts w:cstheme="minorHAnsi"/>
          <w:sz w:val="22"/>
          <w:szCs w:val="22"/>
        </w:rPr>
      </w:pPr>
      <w:r w:rsidRPr="007B667D">
        <w:rPr>
          <w:rFonts w:cstheme="minorHAnsi"/>
          <w:sz w:val="22"/>
          <w:szCs w:val="22"/>
        </w:rPr>
        <w:t>Fuente: Elaboración propia a partir del Instituto Nacional de Estadística (2023).</w:t>
      </w:r>
    </w:p>
    <w:p w14:paraId="2795AC50" w14:textId="77777777" w:rsidR="00C728E8" w:rsidRPr="0051709F" w:rsidRDefault="00C728E8" w:rsidP="00C728E8">
      <w:pPr>
        <w:jc w:val="both"/>
        <w:rPr>
          <w:rFonts w:cstheme="minorHAnsi"/>
        </w:rPr>
      </w:pPr>
    </w:p>
    <w:p w14:paraId="340032C2" w14:textId="2F4561CF" w:rsidR="00C728E8" w:rsidRPr="0051709F" w:rsidRDefault="00C728E8" w:rsidP="00C728E8">
      <w:pPr>
        <w:jc w:val="both"/>
        <w:rPr>
          <w:rFonts w:cstheme="minorHAnsi"/>
        </w:rPr>
      </w:pPr>
      <w:r w:rsidRPr="0051709F">
        <w:rPr>
          <w:rFonts w:cstheme="minorHAnsi"/>
        </w:rPr>
        <w:t xml:space="preserve">Los datos demográficos evidencian que, mientras en 1981 casi la mitad de la población (el 48,9%) tenía menos de 29 años, cuatro décadas después, en 2021, la población de esta misma franja de edad supone casi 20 puntos menos (29,6%). Claramente, la población española es una población envejecida, pues, </w:t>
      </w:r>
      <w:r w:rsidR="00E634F8">
        <w:rPr>
          <w:rFonts w:cstheme="minorHAnsi"/>
        </w:rPr>
        <w:t>y</w:t>
      </w:r>
      <w:r w:rsidRPr="0051709F">
        <w:rPr>
          <w:rFonts w:cstheme="minorHAnsi"/>
        </w:rPr>
        <w:t xml:space="preserve"> en 2021</w:t>
      </w:r>
      <w:r w:rsidR="00E634F8">
        <w:rPr>
          <w:rFonts w:cstheme="minorHAnsi"/>
        </w:rPr>
        <w:t>,</w:t>
      </w:r>
      <w:r w:rsidRPr="0051709F">
        <w:rPr>
          <w:rFonts w:cstheme="minorHAnsi"/>
        </w:rPr>
        <w:t xml:space="preserve"> casi la mitad de la población española tenía más de 45 años (el 49,4%). Además, es una población que, a medida que envejece, se feminiza, pues después de los 65 años el 55,4% </w:t>
      </w:r>
      <w:r w:rsidR="00E634F8">
        <w:rPr>
          <w:rFonts w:cstheme="minorHAnsi"/>
        </w:rPr>
        <w:t>son</w:t>
      </w:r>
      <w:r w:rsidRPr="0051709F">
        <w:rPr>
          <w:rFonts w:cstheme="minorHAnsi"/>
        </w:rPr>
        <w:t xml:space="preserve"> mujeres, debido</w:t>
      </w:r>
      <w:r w:rsidR="00E634F8">
        <w:rPr>
          <w:rFonts w:cstheme="minorHAnsi"/>
        </w:rPr>
        <w:t>, esencialmente,</w:t>
      </w:r>
      <w:r w:rsidRPr="0051709F">
        <w:rPr>
          <w:rFonts w:cstheme="minorHAnsi"/>
        </w:rPr>
        <w:t xml:space="preserve"> a que la esperanza de vida de </w:t>
      </w:r>
      <w:r w:rsidR="00E634F8">
        <w:rPr>
          <w:rFonts w:cstheme="minorHAnsi"/>
        </w:rPr>
        <w:t>los hombres</w:t>
      </w:r>
      <w:r w:rsidR="001972A7">
        <w:rPr>
          <w:rFonts w:cstheme="minorHAnsi"/>
        </w:rPr>
        <w:t>,</w:t>
      </w:r>
      <w:r w:rsidRPr="0051709F">
        <w:rPr>
          <w:rFonts w:cstheme="minorHAnsi"/>
        </w:rPr>
        <w:t xml:space="preserve"> es menor.</w:t>
      </w:r>
    </w:p>
    <w:p w14:paraId="04010AF6" w14:textId="77777777" w:rsidR="00C728E8" w:rsidRPr="0051709F" w:rsidRDefault="00C728E8" w:rsidP="00C728E8">
      <w:pPr>
        <w:jc w:val="both"/>
        <w:rPr>
          <w:rFonts w:cstheme="minorHAnsi"/>
        </w:rPr>
      </w:pPr>
    </w:p>
    <w:p w14:paraId="06A81113" w14:textId="5BC6D1A1" w:rsidR="00C728E8" w:rsidRPr="0051709F" w:rsidRDefault="00C728E8" w:rsidP="00C728E8">
      <w:pPr>
        <w:jc w:val="both"/>
        <w:rPr>
          <w:rFonts w:cstheme="minorHAnsi"/>
        </w:rPr>
      </w:pPr>
      <w:r w:rsidRPr="0051709F">
        <w:rPr>
          <w:rFonts w:cstheme="minorHAnsi"/>
        </w:rPr>
        <w:t xml:space="preserve">Ante la irremediable tendencia de una estructura poblacional envejecida, se produce paralelamente una mayor </w:t>
      </w:r>
      <w:r w:rsidRPr="0051709F">
        <w:rPr>
          <w:rFonts w:cstheme="minorHAnsi"/>
          <w:b/>
        </w:rPr>
        <w:t>pluralidad/multiculturalidad en el origen de la ciudadanía</w:t>
      </w:r>
      <w:r w:rsidRPr="0051709F">
        <w:rPr>
          <w:rFonts w:cstheme="minorHAnsi"/>
        </w:rPr>
        <w:t>. Si atendemos a los datos de población extranjera en los Censos de Población y Vivi</w:t>
      </w:r>
      <w:r w:rsidR="00DC3CB1" w:rsidRPr="0051709F">
        <w:rPr>
          <w:rFonts w:cstheme="minorHAnsi"/>
        </w:rPr>
        <w:t>enda de 1981, 2001 y 2021 (ver F</w:t>
      </w:r>
      <w:r w:rsidRPr="0051709F">
        <w:rPr>
          <w:rFonts w:cstheme="minorHAnsi"/>
        </w:rPr>
        <w:t xml:space="preserve">igura </w:t>
      </w:r>
      <w:r w:rsidR="00DC3CB1" w:rsidRPr="0051709F">
        <w:rPr>
          <w:rFonts w:cstheme="minorHAnsi"/>
        </w:rPr>
        <w:t>4</w:t>
      </w:r>
      <w:r w:rsidRPr="0051709F">
        <w:rPr>
          <w:rFonts w:cstheme="minorHAnsi"/>
        </w:rPr>
        <w:t xml:space="preserve">), constatamos que ésta se ha multiplicado por hasta veintidós veces en las últimas cuatro décadas, pasando de representar 234.200 personas en 1981 a 5.242.385 personas en 2021, esto es, del 0,62% </w:t>
      </w:r>
      <w:r w:rsidR="00012E4E">
        <w:rPr>
          <w:rFonts w:cstheme="minorHAnsi"/>
        </w:rPr>
        <w:t xml:space="preserve">del total de la población </w:t>
      </w:r>
      <w:r w:rsidRPr="0051709F">
        <w:rPr>
          <w:rFonts w:cstheme="minorHAnsi"/>
        </w:rPr>
        <w:t>en 1981</w:t>
      </w:r>
      <w:r w:rsidR="00012E4E">
        <w:rPr>
          <w:rFonts w:cstheme="minorHAnsi"/>
        </w:rPr>
        <w:t>,</w:t>
      </w:r>
      <w:r w:rsidRPr="0051709F">
        <w:rPr>
          <w:rFonts w:cstheme="minorHAnsi"/>
        </w:rPr>
        <w:t xml:space="preserve"> al 11% en 2021. Una población inmigrante, por tanto, que viene a compensar la falta de reemplazo generacional entre la población con origen nacional, debido a la baja tasa de natalidad (7,12</w:t>
      </w:r>
      <w:r w:rsidRPr="001972A7">
        <w:rPr>
          <w:rFonts w:cstheme="minorHAnsi"/>
        </w:rPr>
        <w:t>‰).</w:t>
      </w:r>
      <w:r w:rsidRPr="0051709F">
        <w:rPr>
          <w:rFonts w:cstheme="minorHAnsi"/>
        </w:rPr>
        <w:t xml:space="preserve"> </w:t>
      </w:r>
    </w:p>
    <w:p w14:paraId="7F694174" w14:textId="77777777" w:rsidR="00C728E8" w:rsidRPr="0051709F" w:rsidRDefault="00C728E8" w:rsidP="00C728E8">
      <w:pPr>
        <w:jc w:val="both"/>
        <w:rPr>
          <w:rFonts w:cstheme="minorHAnsi"/>
        </w:rPr>
      </w:pPr>
    </w:p>
    <w:p w14:paraId="78A3BC26" w14:textId="426519E5" w:rsidR="00C728E8" w:rsidRPr="0051709F" w:rsidRDefault="00C728E8" w:rsidP="00C728E8">
      <w:pPr>
        <w:jc w:val="both"/>
        <w:rPr>
          <w:rFonts w:cstheme="minorHAnsi"/>
        </w:rPr>
      </w:pPr>
      <w:r w:rsidRPr="0051709F">
        <w:rPr>
          <w:rFonts w:cstheme="minorHAnsi"/>
        </w:rPr>
        <w:t xml:space="preserve">Ante esta realidad demográfica, las políticas deportivas no deben quedar impasibles. Urge responder a la incógnita de si el sistema deportivo se ha planteado dar respuesta estratégica a esta nueva realidad, una población cada vez más envejecida y plural. Como también urge dar respuesta a la necesidad de reflexionar sobre el problema que ésta representa para la insostenibilidad del sistema sanitario de no conseguir que esa mayoría demográfica adquiera hábitos de vida activos que mejoren sus condiciones de salud y bienestar; e, igualmente, si no incorporamos a una población extranjera cada vez mayor en número a la práctica deportiva. </w:t>
      </w:r>
    </w:p>
    <w:p w14:paraId="610106A8" w14:textId="77777777" w:rsidR="00C728E8" w:rsidRPr="0051709F" w:rsidRDefault="00C728E8" w:rsidP="00C728E8">
      <w:pPr>
        <w:jc w:val="both"/>
        <w:rPr>
          <w:rFonts w:cstheme="minorHAnsi"/>
        </w:rPr>
      </w:pPr>
    </w:p>
    <w:p w14:paraId="55BA386F" w14:textId="77777777" w:rsidR="00C728E8" w:rsidRPr="0051709F" w:rsidRDefault="00C728E8" w:rsidP="00C728E8">
      <w:pPr>
        <w:spacing w:after="80"/>
        <w:jc w:val="both"/>
        <w:rPr>
          <w:rFonts w:cstheme="minorHAnsi"/>
        </w:rPr>
      </w:pPr>
    </w:p>
    <w:p w14:paraId="6413CB9F" w14:textId="77777777" w:rsidR="00C728E8" w:rsidRPr="0051709F" w:rsidRDefault="00C728E8" w:rsidP="00C728E8">
      <w:pPr>
        <w:spacing w:after="80"/>
        <w:jc w:val="both"/>
        <w:rPr>
          <w:rFonts w:cstheme="minorHAnsi"/>
        </w:rPr>
      </w:pPr>
      <w:r w:rsidRPr="0051709F">
        <w:rPr>
          <w:rFonts w:cstheme="minorHAnsi"/>
          <w:noProof/>
          <w:lang w:val="en-GB" w:eastAsia="en-GB"/>
        </w:rPr>
        <w:lastRenderedPageBreak/>
        <w:drawing>
          <wp:inline distT="0" distB="0" distL="0" distR="0" wp14:anchorId="45B2BB27" wp14:editId="074543E5">
            <wp:extent cx="5400040" cy="352552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D08E0D1" w14:textId="1AEAF8F8" w:rsidR="00082F39" w:rsidRPr="007B667D" w:rsidRDefault="00082F39" w:rsidP="00082F39">
      <w:pPr>
        <w:jc w:val="center"/>
        <w:rPr>
          <w:rFonts w:cstheme="minorHAnsi"/>
          <w:i/>
          <w:iCs/>
          <w:sz w:val="22"/>
          <w:szCs w:val="22"/>
        </w:rPr>
      </w:pPr>
      <w:r w:rsidRPr="007B667D">
        <w:rPr>
          <w:rFonts w:cstheme="minorHAnsi"/>
          <w:i/>
          <w:iCs/>
          <w:sz w:val="22"/>
          <w:szCs w:val="22"/>
        </w:rPr>
        <w:t xml:space="preserve">Figura </w:t>
      </w:r>
      <w:r w:rsidR="00DC3CB1" w:rsidRPr="007B667D">
        <w:rPr>
          <w:rFonts w:cstheme="minorHAnsi"/>
          <w:i/>
          <w:iCs/>
          <w:sz w:val="22"/>
          <w:szCs w:val="22"/>
        </w:rPr>
        <w:t>4</w:t>
      </w:r>
      <w:r w:rsidRPr="007B667D">
        <w:rPr>
          <w:rFonts w:cstheme="minorHAnsi"/>
          <w:i/>
          <w:iCs/>
          <w:sz w:val="22"/>
          <w:szCs w:val="22"/>
        </w:rPr>
        <w:t>. Población nacional e inmigrante en España entre 1981 y 2021</w:t>
      </w:r>
    </w:p>
    <w:p w14:paraId="66776FAC" w14:textId="77777777" w:rsidR="00C728E8" w:rsidRPr="007B667D" w:rsidRDefault="00C728E8" w:rsidP="00082F39">
      <w:pPr>
        <w:jc w:val="center"/>
        <w:rPr>
          <w:rFonts w:cstheme="minorHAnsi"/>
          <w:sz w:val="22"/>
          <w:szCs w:val="22"/>
        </w:rPr>
      </w:pPr>
      <w:r w:rsidRPr="007B667D">
        <w:rPr>
          <w:rFonts w:cstheme="minorHAnsi"/>
          <w:sz w:val="22"/>
          <w:szCs w:val="22"/>
        </w:rPr>
        <w:t>Fuente: Elaboración propia a partir del Instituto Nacional de Estadística (2023).</w:t>
      </w:r>
    </w:p>
    <w:p w14:paraId="2EB9F5D0" w14:textId="77777777" w:rsidR="00082F39" w:rsidRPr="0051709F" w:rsidRDefault="00082F39" w:rsidP="00C90FF1">
      <w:pPr>
        <w:jc w:val="both"/>
        <w:rPr>
          <w:rFonts w:cstheme="minorHAnsi"/>
        </w:rPr>
      </w:pPr>
    </w:p>
    <w:p w14:paraId="44817435" w14:textId="77777777" w:rsidR="00082F39" w:rsidRPr="0051709F" w:rsidRDefault="00082F39" w:rsidP="00C90FF1">
      <w:pPr>
        <w:jc w:val="both"/>
        <w:rPr>
          <w:rFonts w:cstheme="minorHAnsi"/>
        </w:rPr>
      </w:pPr>
    </w:p>
    <w:p w14:paraId="6E970DA8" w14:textId="4FCDF2A1" w:rsidR="00BA55E0" w:rsidRPr="0051709F" w:rsidRDefault="00012E4E" w:rsidP="00C90FF1">
      <w:pPr>
        <w:jc w:val="both"/>
        <w:rPr>
          <w:rFonts w:cstheme="minorHAnsi"/>
        </w:rPr>
      </w:pPr>
      <w:r>
        <w:rPr>
          <w:rFonts w:cstheme="minorHAnsi"/>
        </w:rPr>
        <w:t>prestares preciso prestar</w:t>
      </w:r>
      <w:r w:rsidR="00BA55E0" w:rsidRPr="0051709F">
        <w:rPr>
          <w:rFonts w:cstheme="minorHAnsi"/>
        </w:rPr>
        <w:t xml:space="preserve"> atención a dos datos importantes</w:t>
      </w:r>
      <w:r>
        <w:rPr>
          <w:rFonts w:cstheme="minorHAnsi"/>
        </w:rPr>
        <w:t>: e</w:t>
      </w:r>
      <w:r w:rsidR="00BA55E0" w:rsidRPr="0051709F">
        <w:rPr>
          <w:rFonts w:cstheme="minorHAnsi"/>
        </w:rPr>
        <w:t>l primero es que los estudios científicos evidencian que por cada euro invertido en deporte</w:t>
      </w:r>
      <w:r>
        <w:rPr>
          <w:rFonts w:cstheme="minorHAnsi"/>
        </w:rPr>
        <w:t>,</w:t>
      </w:r>
      <w:r w:rsidR="00BA55E0" w:rsidRPr="0051709F">
        <w:rPr>
          <w:rFonts w:cstheme="minorHAnsi"/>
        </w:rPr>
        <w:t xml:space="preserve"> se reduce hasta en diez euros el gasto sanitario (Moscoso et al, 2008), algo que se explica por su retorno en forma de mejora de las condiciones de salud de la población</w:t>
      </w:r>
      <w:r>
        <w:rPr>
          <w:rFonts w:cstheme="minorHAnsi"/>
        </w:rPr>
        <w:t>; y</w:t>
      </w:r>
      <w:r w:rsidR="00BA55E0" w:rsidRPr="0051709F">
        <w:rPr>
          <w:rFonts w:cstheme="minorHAnsi"/>
        </w:rPr>
        <w:t xml:space="preserve"> el segundo es que, si atendemos a datos del Sistema Sanitario Nacional, extraídos igualmente de la Encuesta Nacional de Salud (ENS), casi el 49% de las personas de más de 55 años ha sido hospitalizada en los últimos 12 meses, mientras que el 36,8% de la población de más de 65 años ha realizado una visita al médico de atención primaria en el último mes. Un porcentaje que triplica las visitas y hospitalizaciones de la población en franjas de edad inferiores, a lo que hay que añadir que</w:t>
      </w:r>
      <w:r>
        <w:rPr>
          <w:rFonts w:cstheme="minorHAnsi"/>
        </w:rPr>
        <w:t>,</w:t>
      </w:r>
      <w:r w:rsidR="00BA55E0" w:rsidRPr="0051709F">
        <w:rPr>
          <w:rFonts w:cstheme="minorHAnsi"/>
        </w:rPr>
        <w:t xml:space="preserve"> como se apuntaba antes</w:t>
      </w:r>
      <w:r>
        <w:rPr>
          <w:rFonts w:cstheme="minorHAnsi"/>
        </w:rPr>
        <w:t>,</w:t>
      </w:r>
      <w:r w:rsidR="00BA55E0" w:rsidRPr="0051709F">
        <w:rPr>
          <w:rFonts w:cstheme="minorHAnsi"/>
        </w:rPr>
        <w:t xml:space="preserve"> la población de más de 45 años representa la mitad de la población española y ésta seguirá aumentando significativamente en la próxima década y, por tanto, también el gasto sanitario.</w:t>
      </w:r>
    </w:p>
    <w:p w14:paraId="751C8727" w14:textId="77777777" w:rsidR="00BA55E0" w:rsidRPr="0051709F" w:rsidRDefault="00BA55E0" w:rsidP="00BA55E0">
      <w:pPr>
        <w:jc w:val="both"/>
        <w:rPr>
          <w:rFonts w:cstheme="minorHAnsi"/>
        </w:rPr>
      </w:pPr>
    </w:p>
    <w:p w14:paraId="220E61D5" w14:textId="23F9D231" w:rsidR="00BA55E0" w:rsidRPr="0051709F" w:rsidRDefault="00BA55E0" w:rsidP="00CA7F4C">
      <w:pPr>
        <w:pStyle w:val="Ttulo2"/>
        <w:numPr>
          <w:ilvl w:val="0"/>
          <w:numId w:val="0"/>
        </w:numPr>
        <w:ind w:left="576" w:hanging="576"/>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 Transformaciones de la estructura socioeconómica de la población española</w:t>
      </w:r>
    </w:p>
    <w:p w14:paraId="1CCBDFAE" w14:textId="77777777" w:rsidR="00BA55E0" w:rsidRPr="0051709F" w:rsidRDefault="00BA55E0" w:rsidP="00BA55E0">
      <w:pPr>
        <w:jc w:val="both"/>
        <w:rPr>
          <w:rFonts w:cstheme="minorHAnsi"/>
        </w:rPr>
      </w:pPr>
    </w:p>
    <w:p w14:paraId="5450CBA2" w14:textId="382DF7E4" w:rsidR="00BA55E0" w:rsidRPr="0051709F" w:rsidRDefault="00BA55E0" w:rsidP="00BA55E0">
      <w:pPr>
        <w:jc w:val="both"/>
        <w:rPr>
          <w:rFonts w:cstheme="minorHAnsi"/>
        </w:rPr>
      </w:pPr>
      <w:r w:rsidRPr="0051709F">
        <w:rPr>
          <w:rFonts w:cstheme="minorHAnsi"/>
        </w:rPr>
        <w:t xml:space="preserve">El segundo elemento clave a considerar ante el planteamiento de una estrategia nacional contra </w:t>
      </w:r>
      <w:r w:rsidR="003017E5" w:rsidRPr="0051709F">
        <w:rPr>
          <w:rFonts w:cstheme="minorHAnsi"/>
        </w:rPr>
        <w:t xml:space="preserve">el sedentarismo y </w:t>
      </w:r>
      <w:r w:rsidRPr="0051709F">
        <w:rPr>
          <w:rFonts w:cstheme="minorHAnsi"/>
        </w:rPr>
        <w:t>la inactividad física es la transformación de la estructura socioeconómica de la población española. Un cambio que no se ciñe a hablar en sí de los niveles educativos de la población o el tipo de ocupaciones laborales predominantes, sino</w:t>
      </w:r>
      <w:r w:rsidR="003017E5" w:rsidRPr="0051709F">
        <w:rPr>
          <w:rFonts w:cstheme="minorHAnsi"/>
        </w:rPr>
        <w:t>,</w:t>
      </w:r>
      <w:r w:rsidRPr="0051709F">
        <w:rPr>
          <w:rFonts w:cstheme="minorHAnsi"/>
        </w:rPr>
        <w:t xml:space="preserve"> sobre todo, del impacto que ello tiene sobre nuestros estilos de vida y de cómo ese impacto se expresa de manera desigual en la estructura social.</w:t>
      </w:r>
    </w:p>
    <w:p w14:paraId="095964DA" w14:textId="77777777" w:rsidR="00BA55E0" w:rsidRPr="0051709F" w:rsidRDefault="00BA55E0" w:rsidP="00BA55E0">
      <w:pPr>
        <w:jc w:val="both"/>
        <w:rPr>
          <w:rFonts w:cstheme="minorHAnsi"/>
        </w:rPr>
      </w:pPr>
    </w:p>
    <w:p w14:paraId="3AA0F33F" w14:textId="568BB434" w:rsidR="00BA55E0" w:rsidRPr="0051709F" w:rsidRDefault="00BA55E0" w:rsidP="00BA55E0">
      <w:pPr>
        <w:jc w:val="both"/>
        <w:rPr>
          <w:rFonts w:cstheme="minorHAnsi"/>
        </w:rPr>
      </w:pPr>
      <w:r w:rsidRPr="0051709F">
        <w:rPr>
          <w:rFonts w:cstheme="minorHAnsi"/>
        </w:rPr>
        <w:t xml:space="preserve">Comenzando por el cambio en el </w:t>
      </w:r>
      <w:r w:rsidRPr="0051709F">
        <w:rPr>
          <w:rFonts w:cstheme="minorHAnsi"/>
          <w:b/>
        </w:rPr>
        <w:t>nivel de instrucción</w:t>
      </w:r>
      <w:r w:rsidRPr="0051709F">
        <w:rPr>
          <w:rFonts w:cstheme="minorHAnsi"/>
        </w:rPr>
        <w:t xml:space="preserve"> de la población española, lo más destacado en estas cuatro décadas es la existencia de una población cada vez más </w:t>
      </w:r>
      <w:r w:rsidRPr="0051709F">
        <w:rPr>
          <w:rFonts w:cstheme="minorHAnsi"/>
        </w:rPr>
        <w:lastRenderedPageBreak/>
        <w:t xml:space="preserve">cualificada. En efecto, la cifra de personas sin estudios se ha reducido desde un 24% </w:t>
      </w:r>
      <w:r w:rsidR="003017E5" w:rsidRPr="0051709F">
        <w:rPr>
          <w:rFonts w:cstheme="minorHAnsi"/>
        </w:rPr>
        <w:t xml:space="preserve">de partida </w:t>
      </w:r>
      <w:r w:rsidRPr="0051709F">
        <w:rPr>
          <w:rFonts w:cstheme="minorHAnsi"/>
        </w:rPr>
        <w:t xml:space="preserve">en 1981 a un 7% en 2021, y el porcentaje de personas con estudios universitarios ha pasado de representar un 4% en 1981 a un 41% en 2021 (ver gráfico 1). Por lo tanto, podemos decir que, a los efectos que atañe el presente documento, más allá de que la sociedad española esté cada vez más cualificada, un mayor número de personas en general ha transitado durante más años por el circuito de la educación (obligatoria y postobligatoria), donde el acceso a la práctica deportiva resulta más cercano y factible, pues tanto en la educación obligatoria se recibe la educación física como enseñanza de los valores del ejercicio físico y el deporte, como en la Universidad existe una oferta de servicios deportivos de la que se puede disfrutar durante su paso por ella. </w:t>
      </w:r>
    </w:p>
    <w:p w14:paraId="2976AF32" w14:textId="77777777" w:rsidR="00BA55E0" w:rsidRPr="0051709F" w:rsidRDefault="00BA55E0" w:rsidP="00BA55E0">
      <w:pPr>
        <w:jc w:val="both"/>
        <w:rPr>
          <w:rFonts w:cstheme="minorHAnsi"/>
        </w:rPr>
      </w:pPr>
    </w:p>
    <w:p w14:paraId="2F9C53D2" w14:textId="658EFFDD" w:rsidR="00BA55E0" w:rsidRPr="0051709F" w:rsidRDefault="00BA55E0" w:rsidP="00BA55E0">
      <w:pPr>
        <w:jc w:val="both"/>
        <w:rPr>
          <w:rFonts w:cstheme="minorHAnsi"/>
        </w:rPr>
      </w:pPr>
      <w:r w:rsidRPr="0051709F">
        <w:rPr>
          <w:rFonts w:cstheme="minorHAnsi"/>
        </w:rPr>
        <w:t xml:space="preserve">El mayor nivel de cualificación de la población española sólo se explica por un cambio en la </w:t>
      </w:r>
      <w:r w:rsidRPr="0051709F">
        <w:rPr>
          <w:rFonts w:cstheme="minorHAnsi"/>
          <w:b/>
        </w:rPr>
        <w:t>estructura laboral</w:t>
      </w:r>
      <w:r w:rsidRPr="0051709F">
        <w:rPr>
          <w:rFonts w:cstheme="minorHAnsi"/>
        </w:rPr>
        <w:t xml:space="preserve">, en la que lo más destacado a los efectos de esta estrategia es la desaparición de puestos de </w:t>
      </w:r>
      <w:r w:rsidR="003017E5" w:rsidRPr="0051709F">
        <w:rPr>
          <w:rFonts w:cstheme="minorHAnsi"/>
        </w:rPr>
        <w:t xml:space="preserve">trabajo </w:t>
      </w:r>
      <w:r w:rsidRPr="0051709F">
        <w:rPr>
          <w:rFonts w:cstheme="minorHAnsi"/>
        </w:rPr>
        <w:t>en el sector primario y secundario (sector agrícola, ganadero, forestal y pesquero, artesanos, industrias manufactureras, construcción y operadores de instalaciones, maquinarias y montadores), en favor del incremento en la ocupación de aquellos puestos que dan soporte a los anteriores (logística, transporte, limpieza, etc.), los restantes puestos en el sector terciario o de servicios (servicios de restauración, personales, protección y vendedores), y, sobre todo, los que se agrupan bajo la etiqueta de sociedad del conocimiento (directores y gerentes, técnicos y profesionales científicos e intelectuales, contables, administrativos y empleados de oficina).</w:t>
      </w:r>
    </w:p>
    <w:p w14:paraId="184D47E8" w14:textId="77777777" w:rsidR="00CA7F4C" w:rsidRPr="0051709F" w:rsidRDefault="00CA7F4C" w:rsidP="00BA55E0">
      <w:pPr>
        <w:jc w:val="center"/>
        <w:rPr>
          <w:rFonts w:cstheme="minorHAnsi"/>
          <w:i/>
        </w:rPr>
      </w:pPr>
    </w:p>
    <w:p w14:paraId="23DBEA9F" w14:textId="77777777" w:rsidR="00CA7F4C" w:rsidRPr="0051709F" w:rsidRDefault="00CA7F4C" w:rsidP="00BA55E0">
      <w:pPr>
        <w:jc w:val="center"/>
        <w:rPr>
          <w:rFonts w:cstheme="minorHAnsi"/>
          <w:i/>
        </w:rPr>
      </w:pPr>
    </w:p>
    <w:p w14:paraId="31C4A6FB" w14:textId="77777777" w:rsidR="00BA55E0" w:rsidRPr="0051709F" w:rsidRDefault="00BA55E0" w:rsidP="00BA55E0">
      <w:pPr>
        <w:jc w:val="both"/>
        <w:rPr>
          <w:rFonts w:cstheme="minorHAnsi"/>
        </w:rPr>
      </w:pPr>
      <w:r w:rsidRPr="0051709F">
        <w:rPr>
          <w:rFonts w:cstheme="minorHAnsi"/>
          <w:noProof/>
          <w:lang w:val="en-GB" w:eastAsia="en-GB"/>
        </w:rPr>
        <w:drawing>
          <wp:inline distT="0" distB="0" distL="0" distR="0" wp14:anchorId="01779E96" wp14:editId="365014AE">
            <wp:extent cx="5400040" cy="3258185"/>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F11E5CC" w14:textId="77777777" w:rsidR="00CA7F4C" w:rsidRPr="007B667D" w:rsidRDefault="00CA7F4C" w:rsidP="00CA7F4C">
      <w:pPr>
        <w:jc w:val="center"/>
        <w:rPr>
          <w:rFonts w:cstheme="minorHAnsi"/>
          <w:i/>
          <w:sz w:val="22"/>
          <w:szCs w:val="22"/>
        </w:rPr>
      </w:pPr>
      <w:r w:rsidRPr="007B667D">
        <w:rPr>
          <w:rFonts w:cstheme="minorHAnsi"/>
          <w:i/>
          <w:sz w:val="22"/>
          <w:szCs w:val="22"/>
        </w:rPr>
        <w:t>Gráfico 1. Evolución del nivel de instrucción en España entre 1981 y 2021</w:t>
      </w:r>
    </w:p>
    <w:p w14:paraId="6046B895" w14:textId="77777777" w:rsidR="00BA55E0" w:rsidRPr="007B667D" w:rsidRDefault="00BA55E0" w:rsidP="00CA7F4C">
      <w:pPr>
        <w:jc w:val="center"/>
        <w:rPr>
          <w:rFonts w:cstheme="minorHAnsi"/>
          <w:sz w:val="22"/>
          <w:szCs w:val="22"/>
        </w:rPr>
      </w:pPr>
      <w:r w:rsidRPr="007B667D">
        <w:rPr>
          <w:rFonts w:cstheme="minorHAnsi"/>
          <w:sz w:val="22"/>
          <w:szCs w:val="22"/>
        </w:rPr>
        <w:t>Fuente: Elaboración propia a partir del Instituto Nacional de Estadística (2023).</w:t>
      </w:r>
    </w:p>
    <w:p w14:paraId="14241E53" w14:textId="77777777" w:rsidR="00BA55E0" w:rsidRPr="007B667D" w:rsidRDefault="00BA55E0" w:rsidP="00BA55E0">
      <w:pPr>
        <w:jc w:val="both"/>
        <w:rPr>
          <w:rFonts w:cstheme="minorHAnsi"/>
          <w:sz w:val="22"/>
          <w:szCs w:val="22"/>
        </w:rPr>
      </w:pPr>
    </w:p>
    <w:p w14:paraId="09F1C310" w14:textId="77777777" w:rsidR="00BA55E0" w:rsidRPr="00DB03D9" w:rsidRDefault="00BA55E0" w:rsidP="00BA55E0">
      <w:pPr>
        <w:jc w:val="both"/>
        <w:rPr>
          <w:rFonts w:cstheme="minorHAnsi"/>
        </w:rPr>
      </w:pPr>
      <w:r w:rsidRPr="00DB03D9">
        <w:rPr>
          <w:rFonts w:cstheme="minorHAnsi"/>
        </w:rPr>
        <w:t xml:space="preserve">En estas cuatro décadas se ha vivido, por tanto, una progresiva transformación en la estructura laboral de España (ver gráfico 2), resultando en la práctica una sustitución del trabajador de cuello azul por el trabajador de cuello blanco. La ocupación en los puestos </w:t>
      </w:r>
      <w:r w:rsidRPr="00DB03D9">
        <w:rPr>
          <w:rFonts w:cstheme="minorHAnsi"/>
        </w:rPr>
        <w:lastRenderedPageBreak/>
        <w:t>de trabajo de lo que hemos etiquetado como sociedad del conocimiento —o trabajador de cuello blanco— ha pasado de representar casi 3,5 millones en 1981 a cerca de 8 millones en 2021. Asimismo, se ha multiplicado por tres la ocupación en servicios de restauración, personales, protección y vendedores, pasando de representar casi 1,5 millones en 1981 a algo más de 4 millones en 2021.</w:t>
      </w:r>
    </w:p>
    <w:p w14:paraId="165FB656" w14:textId="77777777" w:rsidR="00BA55E0" w:rsidRPr="00DB03D9" w:rsidRDefault="00BA55E0" w:rsidP="00BA55E0">
      <w:pPr>
        <w:jc w:val="both"/>
        <w:rPr>
          <w:rFonts w:cstheme="minorHAnsi"/>
        </w:rPr>
      </w:pPr>
    </w:p>
    <w:p w14:paraId="1AD4EB58" w14:textId="547DB365" w:rsidR="00BA55E0" w:rsidRPr="0051709F" w:rsidRDefault="00BA55E0" w:rsidP="00BA55E0">
      <w:pPr>
        <w:jc w:val="both"/>
        <w:rPr>
          <w:rFonts w:cstheme="minorHAnsi"/>
        </w:rPr>
      </w:pPr>
      <w:r w:rsidRPr="00DB03D9">
        <w:rPr>
          <w:rFonts w:cstheme="minorHAnsi"/>
        </w:rPr>
        <w:t xml:space="preserve">Esa transformación en la estructura laboral española se concreta en la práctica en una población ocupada cada vez más en actividades sedentarias. Y es que el desempeño de esas ocupaciones transcurre la mayor parte del tiempo sentado o de pie sin realizar esfuerzos ni desplazamientos. Además, se trata de un modelo laboral —el de cuello blanco— que exige de una formación continua a lo largo de la vida, que a menudo se refleja en extender esa inactividad física fuera del horario laboral, en casa o en centros de formación. En el lado opuesto, aquellas ocupaciones que exigen esfuerzo físico corporal para su desempeño (en el sector primario y secundario —el trabajador de cuello azul) han reducido </w:t>
      </w:r>
      <w:r w:rsidR="003017E5" w:rsidRPr="00DB03D9">
        <w:rPr>
          <w:rFonts w:cstheme="minorHAnsi"/>
        </w:rPr>
        <w:t xml:space="preserve">significativamente </w:t>
      </w:r>
      <w:r w:rsidRPr="00DB03D9">
        <w:rPr>
          <w:rFonts w:cstheme="minorHAnsi"/>
        </w:rPr>
        <w:t xml:space="preserve">su peso en la estructural laboral, lo que contribuye en general a un predominio de la inactividad física como realidad cada vez más consolidada en el ámbito laboral. </w:t>
      </w:r>
      <w:r w:rsidR="009863B3" w:rsidRPr="00DB03D9">
        <w:rPr>
          <w:rFonts w:cstheme="minorHAnsi"/>
        </w:rPr>
        <w:t>No obstante, y a</w:t>
      </w:r>
      <w:r w:rsidRPr="00DB03D9">
        <w:rPr>
          <w:rFonts w:cstheme="minorHAnsi"/>
        </w:rPr>
        <w:t xml:space="preserve"> caballo entre ambas situaciones se sitúa </w:t>
      </w:r>
      <w:r w:rsidR="009863B3" w:rsidRPr="00DB03D9">
        <w:rPr>
          <w:rFonts w:cstheme="minorHAnsi"/>
        </w:rPr>
        <w:t>aquel</w:t>
      </w:r>
      <w:r w:rsidRPr="00DB03D9">
        <w:rPr>
          <w:rFonts w:cstheme="minorHAnsi"/>
        </w:rPr>
        <w:t>la población ocupada en determinados puestos en los que la situación, desde un punto de vista de la actividad física, es más heterogénea según la tarea que se desempeñe (restauración, limpieza, labores domésticas, etc.)</w:t>
      </w:r>
      <w:r w:rsidR="00DB03D9" w:rsidRPr="00DB03D9">
        <w:rPr>
          <w:rFonts w:cstheme="minorHAnsi"/>
        </w:rPr>
        <w:t>, pero desafortunadamente sin alcanzar unos niveles de actividad relevantes como para obtener beneficios positivos en su estado de salud</w:t>
      </w:r>
      <w:r w:rsidRPr="00DB03D9">
        <w:rPr>
          <w:rFonts w:cstheme="minorHAnsi"/>
        </w:rPr>
        <w:t>.</w:t>
      </w:r>
    </w:p>
    <w:p w14:paraId="072F4C52" w14:textId="77777777" w:rsidR="003017E5" w:rsidRPr="0051709F" w:rsidRDefault="003017E5" w:rsidP="00BA55E0">
      <w:pPr>
        <w:jc w:val="center"/>
        <w:rPr>
          <w:rFonts w:cstheme="minorHAnsi"/>
          <w:i/>
        </w:rPr>
      </w:pPr>
    </w:p>
    <w:p w14:paraId="677A8C31" w14:textId="77777777" w:rsidR="00BA55E0" w:rsidRPr="0051709F" w:rsidRDefault="00BA55E0" w:rsidP="00BA55E0">
      <w:pPr>
        <w:jc w:val="center"/>
        <w:rPr>
          <w:rFonts w:cstheme="minorHAnsi"/>
        </w:rPr>
      </w:pPr>
      <w:r w:rsidRPr="0051709F">
        <w:rPr>
          <w:rFonts w:cstheme="minorHAnsi"/>
          <w:noProof/>
          <w:lang w:val="en-GB" w:eastAsia="en-GB"/>
        </w:rPr>
        <w:drawing>
          <wp:inline distT="0" distB="0" distL="0" distR="0" wp14:anchorId="0A57AA54" wp14:editId="336D4BD0">
            <wp:extent cx="5400040" cy="3785235"/>
            <wp:effectExtent l="0" t="0" r="0" b="571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F019662" w14:textId="77777777" w:rsidR="003B3D5A" w:rsidRPr="0051709F" w:rsidRDefault="003B3D5A" w:rsidP="003B3D5A">
      <w:pPr>
        <w:jc w:val="center"/>
        <w:rPr>
          <w:rFonts w:cstheme="minorHAnsi"/>
          <w:i/>
        </w:rPr>
      </w:pPr>
    </w:p>
    <w:p w14:paraId="77DF094C" w14:textId="42749EEC" w:rsidR="003B3D5A" w:rsidRPr="007B667D" w:rsidRDefault="003B3D5A" w:rsidP="003B3D5A">
      <w:pPr>
        <w:jc w:val="center"/>
        <w:rPr>
          <w:rFonts w:cstheme="minorHAnsi"/>
          <w:i/>
          <w:sz w:val="22"/>
          <w:szCs w:val="22"/>
        </w:rPr>
      </w:pPr>
      <w:r w:rsidRPr="007B667D">
        <w:rPr>
          <w:rFonts w:cstheme="minorHAnsi"/>
          <w:i/>
          <w:sz w:val="22"/>
          <w:szCs w:val="22"/>
        </w:rPr>
        <w:t>Gráfico 2. Cambio en la Estructura Laboral en España entre 1981 y 2021</w:t>
      </w:r>
    </w:p>
    <w:p w14:paraId="63610FBC" w14:textId="77777777" w:rsidR="00BA55E0" w:rsidRPr="007B667D" w:rsidRDefault="00BA55E0" w:rsidP="003B3D5A">
      <w:pPr>
        <w:jc w:val="center"/>
        <w:rPr>
          <w:rFonts w:cstheme="minorHAnsi"/>
          <w:iCs/>
          <w:sz w:val="22"/>
          <w:szCs w:val="22"/>
        </w:rPr>
      </w:pPr>
      <w:r w:rsidRPr="007B667D">
        <w:rPr>
          <w:rFonts w:cstheme="minorHAnsi"/>
          <w:iCs/>
          <w:sz w:val="22"/>
          <w:szCs w:val="22"/>
        </w:rPr>
        <w:t>Fuente: Elaboración propia a partir del Instituto Nacional de Estadística (2023).</w:t>
      </w:r>
    </w:p>
    <w:p w14:paraId="1DA59AA2" w14:textId="77777777" w:rsidR="00BA55E0" w:rsidRPr="0051709F" w:rsidRDefault="00BA55E0" w:rsidP="00BA55E0">
      <w:pPr>
        <w:jc w:val="both"/>
        <w:rPr>
          <w:rFonts w:cstheme="minorHAnsi"/>
        </w:rPr>
      </w:pPr>
    </w:p>
    <w:p w14:paraId="643F657B" w14:textId="77777777" w:rsidR="00BA55E0" w:rsidRPr="0051709F" w:rsidRDefault="00BA55E0" w:rsidP="00BA55E0">
      <w:pPr>
        <w:jc w:val="both"/>
        <w:rPr>
          <w:rFonts w:cstheme="minorHAnsi"/>
        </w:rPr>
      </w:pPr>
      <w:r w:rsidRPr="0051709F">
        <w:rPr>
          <w:rFonts w:cstheme="minorHAnsi"/>
        </w:rPr>
        <w:lastRenderedPageBreak/>
        <w:t>Esta realidad ha de hacernos pensar en el hándicap que supone para el sistema de la seguridad social (por las bajas laborales) y para el sistema sanitario (por los costes ocasionados por los problemas de salud</w:t>
      </w:r>
      <w:r w:rsidRPr="0051709F">
        <w:rPr>
          <w:rStyle w:val="Refdenotaalpie"/>
          <w:rFonts w:cstheme="minorHAnsi"/>
        </w:rPr>
        <w:footnoteReference w:id="3"/>
      </w:r>
      <w:r w:rsidRPr="0051709F">
        <w:rPr>
          <w:rFonts w:cstheme="minorHAnsi"/>
        </w:rPr>
        <w:t>) el predominio de un modelo laboral sedentario, que no incorpora la actividad física como medio de prevención de riesgos laborales —como sí se hace, en cambio, en muchos países asiáticos— y que no incentiva el ejercicio físico como parte de la mejora de las condiciones de salud y bienestar con las que puede haber un retorno, no ya sólo sobre el sistema de la seguridad social o el sistema sanitario, sino sobre el propio rendimiento laboral.</w:t>
      </w:r>
    </w:p>
    <w:p w14:paraId="290938AD" w14:textId="77777777" w:rsidR="003017E5" w:rsidRPr="0051709F" w:rsidRDefault="003017E5" w:rsidP="00BA55E0">
      <w:pPr>
        <w:jc w:val="both"/>
        <w:rPr>
          <w:rFonts w:cstheme="minorHAnsi"/>
        </w:rPr>
      </w:pPr>
    </w:p>
    <w:p w14:paraId="78E15736" w14:textId="38E76A43" w:rsidR="00BA55E0" w:rsidRPr="0051709F" w:rsidRDefault="00BA55E0" w:rsidP="00BA55E0">
      <w:pPr>
        <w:jc w:val="both"/>
        <w:rPr>
          <w:rFonts w:cstheme="minorHAnsi"/>
        </w:rPr>
      </w:pPr>
      <w:r w:rsidRPr="0051709F">
        <w:rPr>
          <w:rFonts w:cstheme="minorHAnsi"/>
        </w:rPr>
        <w:t xml:space="preserve">En la transformación de la estructura socioeconómica de la población española también se ha de tener presente la renta media per cápita y la desigualdad social. Los datos sobre estos indicadores del INE revelan que la </w:t>
      </w:r>
      <w:r w:rsidRPr="0051709F">
        <w:rPr>
          <w:rFonts w:cstheme="minorHAnsi"/>
          <w:b/>
        </w:rPr>
        <w:t xml:space="preserve">renta media per cápita </w:t>
      </w:r>
      <w:r w:rsidRPr="0051709F">
        <w:rPr>
          <w:rFonts w:cstheme="minorHAnsi"/>
        </w:rPr>
        <w:t>de la población española se ha multiplicado por 9 en las últimas cuatro décadas (en torno a un 908%), pasando de representar 2.807 € anuales en 1981 a 25.498 € en 2021</w:t>
      </w:r>
      <w:r w:rsidR="00E25F37">
        <w:rPr>
          <w:rFonts w:cstheme="minorHAnsi"/>
        </w:rPr>
        <w:t>.</w:t>
      </w:r>
    </w:p>
    <w:p w14:paraId="374C37EE" w14:textId="77777777" w:rsidR="003017E5" w:rsidRPr="0051709F" w:rsidRDefault="003017E5" w:rsidP="00BA55E0">
      <w:pPr>
        <w:jc w:val="both"/>
        <w:rPr>
          <w:rFonts w:cstheme="minorHAnsi"/>
        </w:rPr>
      </w:pPr>
    </w:p>
    <w:p w14:paraId="64B416C9" w14:textId="77777777" w:rsidR="003B3D5A" w:rsidRPr="0051709F" w:rsidRDefault="003B3D5A" w:rsidP="00BA55E0">
      <w:pPr>
        <w:jc w:val="both"/>
        <w:rPr>
          <w:rFonts w:cstheme="minorHAnsi"/>
        </w:rPr>
      </w:pPr>
    </w:p>
    <w:p w14:paraId="4E9B5549" w14:textId="77777777" w:rsidR="003B3D5A" w:rsidRPr="0051709F" w:rsidRDefault="003B3D5A" w:rsidP="00BA55E0">
      <w:pPr>
        <w:jc w:val="both"/>
        <w:rPr>
          <w:rFonts w:cstheme="minorHAnsi"/>
        </w:rPr>
      </w:pPr>
    </w:p>
    <w:p w14:paraId="61D0085B" w14:textId="77777777" w:rsidR="003017E5" w:rsidRPr="0051709F" w:rsidRDefault="003017E5" w:rsidP="00BA55E0">
      <w:pPr>
        <w:jc w:val="center"/>
        <w:rPr>
          <w:rFonts w:cstheme="minorHAnsi"/>
          <w:i/>
        </w:rPr>
      </w:pPr>
    </w:p>
    <w:p w14:paraId="3FD89186" w14:textId="77777777" w:rsidR="00BA55E0" w:rsidRPr="0051709F" w:rsidRDefault="00BA55E0" w:rsidP="00BA55E0">
      <w:pPr>
        <w:jc w:val="both"/>
        <w:rPr>
          <w:rFonts w:cstheme="minorHAnsi"/>
        </w:rPr>
      </w:pPr>
      <w:r w:rsidRPr="0051709F">
        <w:rPr>
          <w:rFonts w:cstheme="minorHAnsi"/>
          <w:noProof/>
          <w:lang w:val="en-GB" w:eastAsia="en-GB"/>
        </w:rPr>
        <w:drawing>
          <wp:inline distT="0" distB="0" distL="0" distR="0" wp14:anchorId="6177E1FA" wp14:editId="004CC099">
            <wp:extent cx="5400040" cy="3049905"/>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094097C" w14:textId="77777777" w:rsidR="003B3D5A" w:rsidRPr="0051709F" w:rsidRDefault="003B3D5A" w:rsidP="003B3D5A">
      <w:pPr>
        <w:jc w:val="center"/>
        <w:rPr>
          <w:rFonts w:cstheme="minorHAnsi"/>
          <w:i/>
        </w:rPr>
      </w:pPr>
    </w:p>
    <w:p w14:paraId="4C9CACA5" w14:textId="319808BD" w:rsidR="003B3D5A" w:rsidRPr="007B667D" w:rsidRDefault="003B3D5A" w:rsidP="003B3D5A">
      <w:pPr>
        <w:jc w:val="center"/>
        <w:rPr>
          <w:rFonts w:cstheme="minorHAnsi"/>
          <w:i/>
          <w:sz w:val="22"/>
          <w:szCs w:val="22"/>
        </w:rPr>
      </w:pPr>
      <w:r w:rsidRPr="007B667D">
        <w:rPr>
          <w:rFonts w:cstheme="minorHAnsi"/>
          <w:i/>
          <w:sz w:val="22"/>
          <w:szCs w:val="22"/>
        </w:rPr>
        <w:t>Gráfico 3. Evolución de la renta media per cápita en España entre 1981 y 2021</w:t>
      </w:r>
    </w:p>
    <w:p w14:paraId="72538EA1" w14:textId="77777777" w:rsidR="00BA55E0" w:rsidRPr="007B667D" w:rsidRDefault="00BA55E0" w:rsidP="003B3D5A">
      <w:pPr>
        <w:jc w:val="center"/>
        <w:rPr>
          <w:rFonts w:cstheme="minorHAnsi"/>
          <w:sz w:val="22"/>
          <w:szCs w:val="22"/>
        </w:rPr>
      </w:pPr>
      <w:r w:rsidRPr="007B667D">
        <w:rPr>
          <w:rFonts w:cstheme="minorHAnsi"/>
          <w:sz w:val="22"/>
          <w:szCs w:val="22"/>
        </w:rPr>
        <w:t>Fuente: Elaboración propia a partir del Instituto Nacional de Estadística (2023).</w:t>
      </w:r>
    </w:p>
    <w:p w14:paraId="0A93A53C" w14:textId="77777777" w:rsidR="00BA55E0" w:rsidRPr="0051709F" w:rsidRDefault="00BA55E0" w:rsidP="00BA55E0">
      <w:pPr>
        <w:jc w:val="both"/>
        <w:rPr>
          <w:rFonts w:cstheme="minorHAnsi"/>
        </w:rPr>
      </w:pPr>
    </w:p>
    <w:p w14:paraId="6D391CA8" w14:textId="77777777" w:rsidR="003017E5" w:rsidRPr="0051709F" w:rsidRDefault="003017E5" w:rsidP="00BA55E0">
      <w:pPr>
        <w:jc w:val="both"/>
        <w:rPr>
          <w:rFonts w:cstheme="minorHAnsi"/>
        </w:rPr>
      </w:pPr>
    </w:p>
    <w:p w14:paraId="5D36B441" w14:textId="5C3F98E8" w:rsidR="00BA55E0" w:rsidRPr="0051709F" w:rsidRDefault="00317EDA" w:rsidP="00BA55E0">
      <w:pPr>
        <w:jc w:val="both"/>
        <w:rPr>
          <w:rFonts w:cstheme="minorHAnsi"/>
        </w:rPr>
      </w:pPr>
      <w:r>
        <w:rPr>
          <w:rFonts w:cstheme="minorHAnsi"/>
        </w:rPr>
        <w:t>Pero junto al incremento</w:t>
      </w:r>
      <w:r w:rsidR="00BA55E0" w:rsidRPr="0051709F">
        <w:rPr>
          <w:rFonts w:cstheme="minorHAnsi"/>
        </w:rPr>
        <w:t xml:space="preserve"> </w:t>
      </w:r>
      <w:r>
        <w:rPr>
          <w:rFonts w:cstheme="minorHAnsi"/>
        </w:rPr>
        <w:t xml:space="preserve">de </w:t>
      </w:r>
      <w:r w:rsidR="00BA55E0" w:rsidRPr="0051709F">
        <w:rPr>
          <w:rFonts w:cstheme="minorHAnsi"/>
        </w:rPr>
        <w:t xml:space="preserve">la renta media per cápita de la población española, </w:t>
      </w:r>
      <w:r>
        <w:rPr>
          <w:rFonts w:cstheme="minorHAnsi"/>
        </w:rPr>
        <w:t xml:space="preserve">se sigue preciando un fenómeno reconocible de </w:t>
      </w:r>
      <w:r w:rsidR="00BA55E0" w:rsidRPr="0051709F">
        <w:rPr>
          <w:rFonts w:cstheme="minorHAnsi"/>
          <w:b/>
        </w:rPr>
        <w:t>desigualdad social</w:t>
      </w:r>
      <w:r w:rsidR="00BA55E0" w:rsidRPr="0051709F">
        <w:rPr>
          <w:rFonts w:cstheme="minorHAnsi"/>
        </w:rPr>
        <w:t xml:space="preserve">. </w:t>
      </w:r>
      <w:r>
        <w:rPr>
          <w:rFonts w:cstheme="minorHAnsi"/>
        </w:rPr>
        <w:t>E</w:t>
      </w:r>
      <w:r w:rsidR="00BA55E0" w:rsidRPr="0051709F">
        <w:rPr>
          <w:rFonts w:cstheme="minorHAnsi"/>
        </w:rPr>
        <w:t xml:space="preserve">l cociente S80/S20 que elabora el Instituto Nacional de Estadística sobre la desigualdad basada en ratios entre percentiles informa de la relación entre la renta media obtenida por el 20% de la población con la renta más alta, </w:t>
      </w:r>
      <w:r w:rsidR="00081FFB" w:rsidRPr="0051709F">
        <w:rPr>
          <w:rFonts w:cstheme="minorHAnsi"/>
        </w:rPr>
        <w:t>en relación con</w:t>
      </w:r>
      <w:r w:rsidR="00BA55E0" w:rsidRPr="0051709F">
        <w:rPr>
          <w:rFonts w:cstheme="minorHAnsi"/>
        </w:rPr>
        <w:t xml:space="preserve"> la renta media obtenida por el 20% de </w:t>
      </w:r>
      <w:r w:rsidR="00BA55E0" w:rsidRPr="0051709F">
        <w:rPr>
          <w:rFonts w:cstheme="minorHAnsi"/>
        </w:rPr>
        <w:lastRenderedPageBreak/>
        <w:t>la población con la renta más baja</w:t>
      </w:r>
      <w:r w:rsidR="005C38D1" w:rsidRPr="0051709F">
        <w:rPr>
          <w:rFonts w:cstheme="minorHAnsi"/>
        </w:rPr>
        <w:t>. A este respecto, los datos evidencian</w:t>
      </w:r>
      <w:r w:rsidR="00BA55E0" w:rsidRPr="0051709F">
        <w:rPr>
          <w:rFonts w:cstheme="minorHAnsi"/>
        </w:rPr>
        <w:t xml:space="preserve"> que esta relación es de 6,2 veces de diferencia entre quienes más ganan y quienes menos (gráfico 4). Este índice ha aumentado un 10% entre 2003 y 2021.</w:t>
      </w:r>
    </w:p>
    <w:p w14:paraId="4AA9CAF1" w14:textId="77777777" w:rsidR="003017E5" w:rsidRPr="0051709F" w:rsidRDefault="003017E5" w:rsidP="00BA55E0">
      <w:pPr>
        <w:jc w:val="both"/>
        <w:rPr>
          <w:rFonts w:cstheme="minorHAnsi"/>
        </w:rPr>
      </w:pPr>
    </w:p>
    <w:p w14:paraId="588B8E1F" w14:textId="76874FB8" w:rsidR="003017E5" w:rsidRPr="0051709F" w:rsidRDefault="003017E5" w:rsidP="00BA55E0">
      <w:pPr>
        <w:jc w:val="both"/>
        <w:rPr>
          <w:rFonts w:cstheme="minorHAnsi"/>
        </w:rPr>
      </w:pPr>
      <w:r w:rsidRPr="0051709F">
        <w:rPr>
          <w:rFonts w:cstheme="minorHAnsi"/>
        </w:rPr>
        <w:t xml:space="preserve">Estos últimos indicadores socioeconómicos (renta media per cápita y desigualdad social) </w:t>
      </w:r>
      <w:r w:rsidR="005C38D1" w:rsidRPr="0051709F">
        <w:rPr>
          <w:rFonts w:cstheme="minorHAnsi"/>
        </w:rPr>
        <w:t>muestran</w:t>
      </w:r>
      <w:r w:rsidRPr="0051709F">
        <w:rPr>
          <w:rFonts w:cstheme="minorHAnsi"/>
        </w:rPr>
        <w:t xml:space="preserve"> un mayor nivel de renta, pero </w:t>
      </w:r>
      <w:r w:rsidR="00317EDA">
        <w:rPr>
          <w:rFonts w:cstheme="minorHAnsi"/>
        </w:rPr>
        <w:t>también</w:t>
      </w:r>
      <w:r w:rsidRPr="0051709F">
        <w:rPr>
          <w:rFonts w:cstheme="minorHAnsi"/>
        </w:rPr>
        <w:t xml:space="preserve"> una renta media per cápita que vislumbra desigualdades. En este marco socioeconómico, merece </w:t>
      </w:r>
      <w:r w:rsidR="00317EDA">
        <w:rPr>
          <w:rFonts w:cstheme="minorHAnsi"/>
        </w:rPr>
        <w:t xml:space="preserve">la pena </w:t>
      </w:r>
      <w:r w:rsidRPr="0051709F">
        <w:rPr>
          <w:rFonts w:cstheme="minorHAnsi"/>
        </w:rPr>
        <w:t xml:space="preserve">preguntarse si el sistema deportivo, público y privado, ha previsto e implementado las medidas necesarias para garantizar la equidad en el acceso a la práctica del deporte, </w:t>
      </w:r>
      <w:r w:rsidR="00317EDA">
        <w:rPr>
          <w:rFonts w:cstheme="minorHAnsi"/>
        </w:rPr>
        <w:t>sabiendo</w:t>
      </w:r>
      <w:r w:rsidRPr="0051709F">
        <w:rPr>
          <w:rFonts w:cstheme="minorHAnsi"/>
        </w:rPr>
        <w:t xml:space="preserve"> de la desigualdad social existente. Aún más, requiere responder la pregunta de cómo garantizar una salud y bienestar universales, si en lo básico, como es la prevención a través del ejercicio físico-deportivo, no actuamos de forma consecuente a dicha desigualdad.</w:t>
      </w:r>
    </w:p>
    <w:p w14:paraId="7CD8104B" w14:textId="77777777" w:rsidR="003017E5" w:rsidRPr="0051709F" w:rsidRDefault="003017E5" w:rsidP="00BA55E0">
      <w:pPr>
        <w:jc w:val="both"/>
        <w:rPr>
          <w:rFonts w:cstheme="minorHAnsi"/>
        </w:rPr>
      </w:pPr>
    </w:p>
    <w:p w14:paraId="16AE0A11" w14:textId="77777777" w:rsidR="00BA55E0" w:rsidRPr="0051709F" w:rsidRDefault="00BA55E0" w:rsidP="00BA55E0">
      <w:pPr>
        <w:jc w:val="both"/>
        <w:rPr>
          <w:rFonts w:cstheme="minorHAnsi"/>
        </w:rPr>
      </w:pPr>
    </w:p>
    <w:p w14:paraId="430D471A" w14:textId="77777777" w:rsidR="003017E5" w:rsidRPr="0051709F" w:rsidRDefault="003017E5" w:rsidP="00BA55E0">
      <w:pPr>
        <w:jc w:val="center"/>
        <w:rPr>
          <w:rFonts w:cstheme="minorHAnsi"/>
          <w:i/>
        </w:rPr>
      </w:pPr>
    </w:p>
    <w:p w14:paraId="764247A1" w14:textId="77777777" w:rsidR="00BA55E0" w:rsidRPr="0051709F" w:rsidRDefault="00BA55E0" w:rsidP="00BA55E0">
      <w:pPr>
        <w:jc w:val="both"/>
        <w:rPr>
          <w:rFonts w:cstheme="minorHAnsi"/>
        </w:rPr>
      </w:pPr>
      <w:r w:rsidRPr="0051709F">
        <w:rPr>
          <w:rFonts w:cstheme="minorHAnsi"/>
          <w:noProof/>
          <w:lang w:val="en-GB" w:eastAsia="en-GB"/>
        </w:rPr>
        <w:drawing>
          <wp:inline distT="0" distB="0" distL="0" distR="0" wp14:anchorId="606965F0" wp14:editId="6C68606E">
            <wp:extent cx="5400040" cy="301625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BBD58ED" w14:textId="77777777" w:rsidR="003017E5" w:rsidRPr="0051709F" w:rsidRDefault="003017E5" w:rsidP="00BA55E0">
      <w:pPr>
        <w:jc w:val="both"/>
        <w:rPr>
          <w:rFonts w:cstheme="minorHAnsi"/>
        </w:rPr>
      </w:pPr>
    </w:p>
    <w:p w14:paraId="5F1CDFF4" w14:textId="77777777" w:rsidR="003B3D5A" w:rsidRPr="0051709F" w:rsidRDefault="003B3D5A" w:rsidP="003B3D5A">
      <w:pPr>
        <w:jc w:val="center"/>
        <w:rPr>
          <w:rFonts w:cstheme="minorHAnsi"/>
          <w:i/>
        </w:rPr>
      </w:pPr>
    </w:p>
    <w:p w14:paraId="0DC04C3C" w14:textId="77777777" w:rsidR="006A6D22" w:rsidRPr="007B667D" w:rsidRDefault="003B3D5A" w:rsidP="003B3D5A">
      <w:pPr>
        <w:jc w:val="center"/>
        <w:rPr>
          <w:rFonts w:cstheme="minorHAnsi"/>
          <w:i/>
          <w:sz w:val="22"/>
          <w:szCs w:val="22"/>
        </w:rPr>
      </w:pPr>
      <w:r w:rsidRPr="007B667D">
        <w:rPr>
          <w:rFonts w:cstheme="minorHAnsi"/>
          <w:i/>
          <w:sz w:val="22"/>
          <w:szCs w:val="22"/>
        </w:rPr>
        <w:t xml:space="preserve">Gráfico 4. Evolución del Cociente S80/S20 de Desigualdad Social </w:t>
      </w:r>
    </w:p>
    <w:p w14:paraId="464C5772" w14:textId="6889E919" w:rsidR="003B3D5A" w:rsidRPr="007B667D" w:rsidRDefault="003B3D5A" w:rsidP="003B3D5A">
      <w:pPr>
        <w:jc w:val="center"/>
        <w:rPr>
          <w:rFonts w:cstheme="minorHAnsi"/>
          <w:i/>
          <w:sz w:val="22"/>
          <w:szCs w:val="22"/>
        </w:rPr>
      </w:pPr>
      <w:r w:rsidRPr="007B667D">
        <w:rPr>
          <w:rFonts w:cstheme="minorHAnsi"/>
          <w:i/>
          <w:sz w:val="22"/>
          <w:szCs w:val="22"/>
        </w:rPr>
        <w:t>en España entre 2003 y 2021</w:t>
      </w:r>
    </w:p>
    <w:p w14:paraId="5F78F31F" w14:textId="141194DC" w:rsidR="003911B9" w:rsidRPr="007B667D" w:rsidRDefault="00BA55E0" w:rsidP="003911B9">
      <w:pPr>
        <w:jc w:val="center"/>
        <w:rPr>
          <w:rFonts w:cstheme="minorHAnsi"/>
          <w:sz w:val="22"/>
          <w:szCs w:val="22"/>
        </w:rPr>
      </w:pPr>
      <w:r w:rsidRPr="007B667D">
        <w:rPr>
          <w:rFonts w:cstheme="minorHAnsi"/>
          <w:sz w:val="22"/>
          <w:szCs w:val="22"/>
        </w:rPr>
        <w:t>Fuente: Elaboración propia a partir del Instituto Nacional de Estadística (2023).</w:t>
      </w:r>
    </w:p>
    <w:p w14:paraId="01887B64" w14:textId="77777777" w:rsidR="003911B9" w:rsidRPr="0051709F" w:rsidRDefault="003911B9" w:rsidP="003911B9">
      <w:pPr>
        <w:jc w:val="center"/>
        <w:rPr>
          <w:rFonts w:cstheme="minorHAnsi"/>
        </w:rPr>
      </w:pPr>
    </w:p>
    <w:p w14:paraId="2519684A" w14:textId="77777777" w:rsidR="006A6D22" w:rsidRDefault="006A6D22" w:rsidP="003B3D5A">
      <w:pPr>
        <w:pStyle w:val="Ttulo2"/>
        <w:numPr>
          <w:ilvl w:val="0"/>
          <w:numId w:val="0"/>
        </w:numPr>
        <w:ind w:left="576" w:hanging="576"/>
        <w:rPr>
          <w:rFonts w:asciiTheme="minorHAnsi" w:hAnsiTheme="minorHAnsi" w:cstheme="minorHAnsi"/>
          <w:sz w:val="24"/>
          <w:szCs w:val="24"/>
          <w:lang w:val="es-ES"/>
        </w:rPr>
      </w:pPr>
    </w:p>
    <w:p w14:paraId="23224F13" w14:textId="25395FB5" w:rsidR="002E66D9" w:rsidRPr="0051709F" w:rsidRDefault="002E66D9" w:rsidP="003B3D5A">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Cambios en el modelo de asentamiento de la población española</w:t>
      </w:r>
    </w:p>
    <w:p w14:paraId="76404392" w14:textId="77777777" w:rsidR="002E66D9" w:rsidRPr="0051709F" w:rsidRDefault="002E66D9" w:rsidP="002E66D9">
      <w:pPr>
        <w:jc w:val="both"/>
        <w:rPr>
          <w:rFonts w:cstheme="minorHAnsi"/>
        </w:rPr>
      </w:pPr>
    </w:p>
    <w:p w14:paraId="1A6D36AC" w14:textId="400A388F" w:rsidR="002E66D9" w:rsidRPr="0051709F" w:rsidRDefault="002E66D9" w:rsidP="002E66D9">
      <w:pPr>
        <w:jc w:val="both"/>
        <w:rPr>
          <w:rFonts w:cstheme="minorHAnsi"/>
        </w:rPr>
      </w:pPr>
      <w:r w:rsidRPr="0051709F">
        <w:rPr>
          <w:rFonts w:cstheme="minorHAnsi"/>
        </w:rPr>
        <w:t xml:space="preserve">Otro indicador clave de nuestro estilo de vida es dónde residimos. Esta información es relevante, no ya sólo para dibujar el tipo de sociedad que somos, sino para entender cuanto influye ésta en nuestra manera de vivir, cuánto tiempo ocupamos y cómo nos desplazarnos de casa al trabajo, al lugar de estudios o a los espacios de ocio y tiempo libre. Algo que nos ayuda a entender si somos activos o sedentarios físicamente y que, en última instancia, puede servir para tomar decisiones en materia de oferta de </w:t>
      </w:r>
      <w:r w:rsidRPr="0051709F">
        <w:rPr>
          <w:rFonts w:cstheme="minorHAnsi"/>
        </w:rPr>
        <w:lastRenderedPageBreak/>
        <w:t xml:space="preserve">instalaciones, equipamientos y servicios deportivos; cuestiones éstas últimas, en todo caso, a las que </w:t>
      </w:r>
      <w:r w:rsidR="00A45282">
        <w:rPr>
          <w:rFonts w:cstheme="minorHAnsi"/>
        </w:rPr>
        <w:t xml:space="preserve">se tratará de </w:t>
      </w:r>
      <w:r w:rsidRPr="0051709F">
        <w:rPr>
          <w:rFonts w:cstheme="minorHAnsi"/>
        </w:rPr>
        <w:t xml:space="preserve">dar respuesta posteriormente. </w:t>
      </w:r>
    </w:p>
    <w:p w14:paraId="3900A933" w14:textId="77777777" w:rsidR="002E66D9" w:rsidRPr="0051709F" w:rsidRDefault="002E66D9" w:rsidP="002E66D9">
      <w:pPr>
        <w:jc w:val="both"/>
        <w:rPr>
          <w:rFonts w:cstheme="minorHAnsi"/>
        </w:rPr>
      </w:pPr>
    </w:p>
    <w:p w14:paraId="6AD7170F" w14:textId="059BFF3B" w:rsidR="002E66D9" w:rsidRPr="0051709F" w:rsidRDefault="002E66D9" w:rsidP="002E66D9">
      <w:pPr>
        <w:jc w:val="both"/>
        <w:rPr>
          <w:rFonts w:cstheme="minorHAnsi"/>
        </w:rPr>
      </w:pPr>
      <w:r w:rsidRPr="0051709F">
        <w:rPr>
          <w:rFonts w:cstheme="minorHAnsi"/>
        </w:rPr>
        <w:t>Tal</w:t>
      </w:r>
      <w:r w:rsidR="00253B19" w:rsidRPr="0051709F">
        <w:rPr>
          <w:rFonts w:cstheme="minorHAnsi"/>
        </w:rPr>
        <w:t xml:space="preserve"> como se puede constatar en la F</w:t>
      </w:r>
      <w:r w:rsidRPr="0051709F">
        <w:rPr>
          <w:rFonts w:cstheme="minorHAnsi"/>
        </w:rPr>
        <w:t xml:space="preserve">igura </w:t>
      </w:r>
      <w:r w:rsidR="00DC3CB1" w:rsidRPr="0051709F">
        <w:rPr>
          <w:rFonts w:cstheme="minorHAnsi"/>
        </w:rPr>
        <w:t>5</w:t>
      </w:r>
      <w:r w:rsidRPr="0051709F">
        <w:rPr>
          <w:rFonts w:cstheme="minorHAnsi"/>
        </w:rPr>
        <w:t>, en torno al 67% de la población española vive en municipios netamente urbanos (mayores de 10.001 habitantes), un 18% lo hace en municipios intermedios (de 2.000 a 10.000 habitantes) y un 16% lo hace en municipios rurales (menores de 2.000 habitantes).</w:t>
      </w:r>
    </w:p>
    <w:p w14:paraId="589C8B97" w14:textId="77777777" w:rsidR="002E66D9" w:rsidRPr="0051709F" w:rsidRDefault="002E66D9" w:rsidP="002E66D9">
      <w:pPr>
        <w:jc w:val="both"/>
        <w:rPr>
          <w:rFonts w:cstheme="minorHAnsi"/>
        </w:rPr>
      </w:pPr>
    </w:p>
    <w:p w14:paraId="2727486A" w14:textId="4C9B3447" w:rsidR="002E66D9" w:rsidRPr="0051709F" w:rsidRDefault="002E66D9" w:rsidP="002E66D9">
      <w:pPr>
        <w:jc w:val="both"/>
        <w:rPr>
          <w:rFonts w:cstheme="minorHAnsi"/>
        </w:rPr>
      </w:pPr>
      <w:r w:rsidRPr="0051709F">
        <w:rPr>
          <w:rFonts w:cstheme="minorHAnsi"/>
        </w:rPr>
        <w:t xml:space="preserve">La tendencia muestra varios fenómenos residenciales </w:t>
      </w:r>
      <w:r w:rsidR="00A45282">
        <w:rPr>
          <w:rFonts w:cstheme="minorHAnsi"/>
        </w:rPr>
        <w:t>que es preciso</w:t>
      </w:r>
      <w:r w:rsidRPr="0051709F">
        <w:rPr>
          <w:rFonts w:cstheme="minorHAnsi"/>
        </w:rPr>
        <w:t xml:space="preserve"> tener en cuenta ante la lucha contra el sedentarismo y la inactividad física:</w:t>
      </w:r>
    </w:p>
    <w:p w14:paraId="39CF1ACD" w14:textId="77777777" w:rsidR="002E66D9" w:rsidRPr="0051709F" w:rsidRDefault="002E66D9" w:rsidP="002E66D9">
      <w:pPr>
        <w:jc w:val="both"/>
        <w:rPr>
          <w:rFonts w:cstheme="minorHAnsi"/>
        </w:rPr>
      </w:pPr>
    </w:p>
    <w:p w14:paraId="2911D669" w14:textId="79316A52" w:rsidR="002E66D9" w:rsidRPr="0051709F" w:rsidRDefault="002E66D9" w:rsidP="00D14ACA">
      <w:pPr>
        <w:pStyle w:val="Prrafodelista"/>
        <w:numPr>
          <w:ilvl w:val="0"/>
          <w:numId w:val="31"/>
        </w:numPr>
        <w:ind w:left="284" w:hanging="284"/>
        <w:contextualSpacing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El primero </w:t>
      </w:r>
      <w:r w:rsidR="00A45282">
        <w:rPr>
          <w:rFonts w:asciiTheme="minorHAnsi" w:hAnsiTheme="minorHAnsi" w:cstheme="minorHAnsi"/>
          <w:sz w:val="24"/>
          <w:szCs w:val="24"/>
          <w:lang w:val="es-ES"/>
        </w:rPr>
        <w:t>fenómeno expresa</w:t>
      </w:r>
      <w:r w:rsidRPr="0051709F">
        <w:rPr>
          <w:rFonts w:asciiTheme="minorHAnsi" w:hAnsiTheme="minorHAnsi" w:cstheme="minorHAnsi"/>
          <w:sz w:val="24"/>
          <w:szCs w:val="24"/>
          <w:lang w:val="es-ES"/>
        </w:rPr>
        <w:t xml:space="preserve"> una </w:t>
      </w:r>
      <w:r w:rsidRPr="0051709F">
        <w:rPr>
          <w:rFonts w:asciiTheme="minorHAnsi" w:hAnsiTheme="minorHAnsi" w:cstheme="minorHAnsi"/>
          <w:i/>
          <w:sz w:val="24"/>
          <w:szCs w:val="24"/>
          <w:lang w:val="es-ES"/>
        </w:rPr>
        <w:t>congestión de la población residencial en áreas urbanas</w:t>
      </w:r>
      <w:r w:rsidRPr="0051709F">
        <w:rPr>
          <w:rFonts w:asciiTheme="minorHAnsi" w:hAnsiTheme="minorHAnsi" w:cstheme="minorHAnsi"/>
          <w:sz w:val="24"/>
          <w:szCs w:val="24"/>
          <w:lang w:val="es-ES"/>
        </w:rPr>
        <w:t>, habiéndose producido el mayor crecimiento entre 1981 y 2021 en municipios de más de 10.001 habitantes (el 78%) y, en particular, en los municipios de 10.001 a 50.000 habitantes (el 40%), es decir, ciudades medias. Por el contrario, el aumento de población en municipios de 2.000 a 10.000 habitantes en el mismo periodo ha sido de un 22% (ciudades pequeñas). Mientras que el incremento de población en el mismo periodo en los municipios de menos de 2.000 habitantes ha sido de un 1%.</w:t>
      </w:r>
    </w:p>
    <w:p w14:paraId="19930FBA" w14:textId="77777777" w:rsidR="002E66D9" w:rsidRPr="0051709F" w:rsidRDefault="002E66D9" w:rsidP="002E66D9">
      <w:pPr>
        <w:pStyle w:val="Prrafodelista"/>
        <w:ind w:left="284"/>
        <w:contextualSpacing w:val="0"/>
        <w:jc w:val="both"/>
        <w:rPr>
          <w:rFonts w:asciiTheme="minorHAnsi" w:hAnsiTheme="minorHAnsi" w:cstheme="minorHAnsi"/>
          <w:sz w:val="24"/>
          <w:szCs w:val="24"/>
          <w:lang w:val="es-ES"/>
        </w:rPr>
      </w:pPr>
    </w:p>
    <w:p w14:paraId="2C5B540F" w14:textId="6C74CA89" w:rsidR="002E66D9" w:rsidRPr="0051709F" w:rsidRDefault="002E66D9" w:rsidP="00D14ACA">
      <w:pPr>
        <w:pStyle w:val="Prrafodelista"/>
        <w:numPr>
          <w:ilvl w:val="0"/>
          <w:numId w:val="31"/>
        </w:numPr>
        <w:ind w:left="284" w:hanging="284"/>
        <w:contextualSpacing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El segundo </w:t>
      </w:r>
      <w:r w:rsidR="00A45282">
        <w:rPr>
          <w:rFonts w:asciiTheme="minorHAnsi" w:hAnsiTheme="minorHAnsi" w:cstheme="minorHAnsi"/>
          <w:sz w:val="24"/>
          <w:szCs w:val="24"/>
          <w:lang w:val="es-ES"/>
        </w:rPr>
        <w:t>fenómeno expresa</w:t>
      </w:r>
      <w:r w:rsidRPr="0051709F">
        <w:rPr>
          <w:rFonts w:asciiTheme="minorHAnsi" w:hAnsiTheme="minorHAnsi" w:cstheme="minorHAnsi"/>
          <w:sz w:val="24"/>
          <w:szCs w:val="24"/>
          <w:lang w:val="es-ES"/>
        </w:rPr>
        <w:t xml:space="preserve"> una </w:t>
      </w:r>
      <w:r w:rsidRPr="0051709F">
        <w:rPr>
          <w:rFonts w:asciiTheme="minorHAnsi" w:hAnsiTheme="minorHAnsi" w:cstheme="minorHAnsi"/>
          <w:i/>
          <w:sz w:val="24"/>
          <w:szCs w:val="24"/>
          <w:lang w:val="es-ES"/>
        </w:rPr>
        <w:t>aglomeración de la población en áreas metropolitanas</w:t>
      </w:r>
      <w:r w:rsidRPr="0051709F">
        <w:rPr>
          <w:rFonts w:asciiTheme="minorHAnsi" w:hAnsiTheme="minorHAnsi" w:cstheme="minorHAnsi"/>
          <w:sz w:val="24"/>
          <w:szCs w:val="24"/>
          <w:lang w:val="es-ES"/>
        </w:rPr>
        <w:t xml:space="preserve">. En 2021 el 71% de la población española residía en las 70 áreas metropolitanas calificadas por la Comisión Europea con la etiqueta de Áreas Urbanas Funcionales (AUF). Con lo cual, el grueso de la población española se agrupa en 70 puntos de la geografía nacional, siendo las doce mayores Madrid, Barcelona, Valencia, Sevilla, Bilbao, Málaga, Zaragoza, Palma de Mallorca, Las Palmas de Gran Canaria, Murcia, Granada, Vigo y Santa Cruz de Tenerife, que congregan a 20.285.750 habitantes; esto es, el 43% de la población española reside en 12 puntos de la geografía española. </w:t>
      </w:r>
    </w:p>
    <w:p w14:paraId="19D4F3A0" w14:textId="77777777" w:rsidR="002E66D9" w:rsidRPr="0051709F" w:rsidRDefault="002E66D9" w:rsidP="002E66D9">
      <w:pPr>
        <w:pStyle w:val="Prrafodelista"/>
        <w:ind w:left="284"/>
        <w:contextualSpacing w:val="0"/>
        <w:jc w:val="both"/>
        <w:rPr>
          <w:rFonts w:asciiTheme="minorHAnsi" w:hAnsiTheme="minorHAnsi" w:cstheme="minorHAnsi"/>
          <w:sz w:val="24"/>
          <w:szCs w:val="24"/>
          <w:lang w:val="es-ES"/>
        </w:rPr>
      </w:pPr>
    </w:p>
    <w:p w14:paraId="45C0F72D" w14:textId="151A8B4C" w:rsidR="003B3D5A" w:rsidRPr="0051709F" w:rsidRDefault="002E66D9" w:rsidP="00963270">
      <w:pPr>
        <w:pStyle w:val="Prrafodelista"/>
        <w:numPr>
          <w:ilvl w:val="0"/>
          <w:numId w:val="31"/>
        </w:numPr>
        <w:ind w:left="284" w:hanging="284"/>
        <w:contextualSpacing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El tercer y último fenómeno es</w:t>
      </w:r>
      <w:r w:rsidR="00081FFB">
        <w:rPr>
          <w:rFonts w:asciiTheme="minorHAnsi" w:hAnsiTheme="minorHAnsi" w:cstheme="minorHAnsi"/>
          <w:sz w:val="24"/>
          <w:szCs w:val="24"/>
          <w:lang w:val="es-ES"/>
        </w:rPr>
        <w:t xml:space="preserve"> </w:t>
      </w:r>
      <w:r w:rsidRPr="0051709F">
        <w:rPr>
          <w:rFonts w:asciiTheme="minorHAnsi" w:hAnsiTheme="minorHAnsi" w:cstheme="minorHAnsi"/>
          <w:sz w:val="24"/>
          <w:szCs w:val="24"/>
          <w:lang w:val="es-ES"/>
        </w:rPr>
        <w:t xml:space="preserve">la </w:t>
      </w:r>
      <w:r w:rsidRPr="0051709F">
        <w:rPr>
          <w:rFonts w:asciiTheme="minorHAnsi" w:hAnsiTheme="minorHAnsi" w:cstheme="minorHAnsi"/>
          <w:i/>
          <w:sz w:val="24"/>
          <w:szCs w:val="24"/>
          <w:lang w:val="es-ES"/>
        </w:rPr>
        <w:t>desaparición de la población diseminada en el medio rural</w:t>
      </w:r>
      <w:r w:rsidRPr="0051709F">
        <w:rPr>
          <w:rFonts w:asciiTheme="minorHAnsi" w:hAnsiTheme="minorHAnsi" w:cstheme="minorHAnsi"/>
          <w:sz w:val="24"/>
          <w:szCs w:val="24"/>
          <w:lang w:val="es-ES"/>
        </w:rPr>
        <w:t xml:space="preserve">, habiéndose reducido en casi 4 puntos desde 1981 a 2021, pasando de contar un 7% a un 3,3%. Con lo cual, la población diseminada ya es </w:t>
      </w:r>
      <w:r w:rsidR="00A45282">
        <w:rPr>
          <w:rFonts w:asciiTheme="minorHAnsi" w:hAnsiTheme="minorHAnsi" w:cstheme="minorHAnsi"/>
          <w:sz w:val="24"/>
          <w:szCs w:val="24"/>
          <w:lang w:val="es-ES"/>
        </w:rPr>
        <w:t>marginal</w:t>
      </w:r>
      <w:r w:rsidR="00A45282"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lang w:val="es-ES"/>
        </w:rPr>
        <w:t xml:space="preserve">en términos residenciales en nuestro país, a saber: 1.585.393 residentes en áreas diseminadas frente a los 45.799.714 residentes en núcleos urbanos. </w:t>
      </w:r>
    </w:p>
    <w:p w14:paraId="23D88DB4" w14:textId="77777777" w:rsidR="003B3D5A" w:rsidRPr="0051709F" w:rsidRDefault="003B3D5A" w:rsidP="003B3D5A">
      <w:pPr>
        <w:pStyle w:val="Prrafodelista"/>
        <w:ind w:left="284"/>
        <w:contextualSpacing w:val="0"/>
        <w:jc w:val="both"/>
        <w:rPr>
          <w:rFonts w:asciiTheme="minorHAnsi" w:hAnsiTheme="minorHAnsi" w:cstheme="minorHAnsi"/>
          <w:sz w:val="24"/>
          <w:szCs w:val="24"/>
          <w:lang w:val="es-ES"/>
        </w:rPr>
      </w:pPr>
    </w:p>
    <w:p w14:paraId="6967D31B" w14:textId="77777777" w:rsidR="002E66D9" w:rsidRPr="0051709F" w:rsidRDefault="002E66D9" w:rsidP="002E66D9">
      <w:pPr>
        <w:jc w:val="both"/>
        <w:rPr>
          <w:rFonts w:cstheme="minorHAnsi"/>
        </w:rPr>
      </w:pPr>
    </w:p>
    <w:p w14:paraId="174CE0B7" w14:textId="77777777" w:rsidR="002E66D9" w:rsidRPr="0051709F" w:rsidRDefault="002E66D9" w:rsidP="002E66D9">
      <w:pPr>
        <w:jc w:val="both"/>
        <w:rPr>
          <w:rFonts w:cstheme="minorHAnsi"/>
        </w:rPr>
      </w:pPr>
      <w:r w:rsidRPr="0051709F">
        <w:rPr>
          <w:rFonts w:cstheme="minorHAnsi"/>
          <w:noProof/>
          <w:lang w:val="en-GB" w:eastAsia="en-GB"/>
        </w:rPr>
        <w:lastRenderedPageBreak/>
        <w:drawing>
          <wp:inline distT="0" distB="0" distL="0" distR="0" wp14:anchorId="001CF378" wp14:editId="4B70D627">
            <wp:extent cx="5400040" cy="349885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F496C74" w14:textId="77777777" w:rsidR="002E66D9" w:rsidRPr="0051709F" w:rsidRDefault="002E66D9" w:rsidP="002E66D9">
      <w:pPr>
        <w:jc w:val="both"/>
        <w:rPr>
          <w:rFonts w:cstheme="minorHAnsi"/>
        </w:rPr>
      </w:pPr>
    </w:p>
    <w:p w14:paraId="51D793DA" w14:textId="36C674B5" w:rsidR="003B3D5A" w:rsidRPr="007B667D" w:rsidRDefault="003B3D5A" w:rsidP="003B3D5A">
      <w:pPr>
        <w:jc w:val="center"/>
        <w:rPr>
          <w:rFonts w:cstheme="minorHAnsi"/>
          <w:i/>
          <w:iCs/>
          <w:sz w:val="22"/>
          <w:szCs w:val="22"/>
        </w:rPr>
      </w:pPr>
      <w:r w:rsidRPr="007B667D">
        <w:rPr>
          <w:rFonts w:cstheme="minorHAnsi"/>
          <w:i/>
          <w:iCs/>
          <w:sz w:val="22"/>
          <w:szCs w:val="22"/>
        </w:rPr>
        <w:t xml:space="preserve">Figura </w:t>
      </w:r>
      <w:r w:rsidR="00DC3CB1" w:rsidRPr="007B667D">
        <w:rPr>
          <w:rFonts w:cstheme="minorHAnsi"/>
          <w:i/>
          <w:iCs/>
          <w:sz w:val="22"/>
          <w:szCs w:val="22"/>
        </w:rPr>
        <w:t>5</w:t>
      </w:r>
      <w:r w:rsidRPr="007B667D">
        <w:rPr>
          <w:rFonts w:cstheme="minorHAnsi"/>
          <w:i/>
          <w:iCs/>
          <w:sz w:val="22"/>
          <w:szCs w:val="22"/>
        </w:rPr>
        <w:t>. Dispersión Residencial de la Población en España (2021)</w:t>
      </w:r>
    </w:p>
    <w:p w14:paraId="7B5593E2" w14:textId="77777777" w:rsidR="002E66D9" w:rsidRPr="007B667D" w:rsidRDefault="002E66D9" w:rsidP="003B3D5A">
      <w:pPr>
        <w:jc w:val="center"/>
        <w:rPr>
          <w:rFonts w:cstheme="minorHAnsi"/>
          <w:sz w:val="22"/>
          <w:szCs w:val="22"/>
        </w:rPr>
      </w:pPr>
      <w:r w:rsidRPr="007B667D">
        <w:rPr>
          <w:rFonts w:cstheme="minorHAnsi"/>
          <w:sz w:val="22"/>
          <w:szCs w:val="22"/>
        </w:rPr>
        <w:t>Fuente: Elaboración propia a partir del Instituto Nacional de Estadística (2023).</w:t>
      </w:r>
    </w:p>
    <w:p w14:paraId="1D174947" w14:textId="77777777" w:rsidR="002E66D9" w:rsidRPr="0051709F" w:rsidRDefault="002E66D9" w:rsidP="002E66D9">
      <w:pPr>
        <w:jc w:val="both"/>
        <w:rPr>
          <w:rFonts w:cstheme="minorHAnsi"/>
        </w:rPr>
      </w:pPr>
    </w:p>
    <w:p w14:paraId="7E805EF0" w14:textId="6D09E5CF" w:rsidR="002E66D9" w:rsidRPr="005C6620" w:rsidRDefault="002E66D9" w:rsidP="002E66D9">
      <w:pPr>
        <w:jc w:val="both"/>
        <w:rPr>
          <w:rFonts w:cstheme="minorHAnsi"/>
        </w:rPr>
      </w:pPr>
      <w:r w:rsidRPr="0051709F">
        <w:rPr>
          <w:rFonts w:cstheme="minorHAnsi"/>
        </w:rPr>
        <w:t xml:space="preserve">Con lo cual, </w:t>
      </w:r>
      <w:r w:rsidR="00A45282">
        <w:rPr>
          <w:rFonts w:cstheme="minorHAnsi"/>
        </w:rPr>
        <w:t>es preciso abordar en esta estrategia una pregunta fundamental:</w:t>
      </w:r>
      <w:r w:rsidRPr="0051709F">
        <w:rPr>
          <w:rFonts w:cstheme="minorHAnsi"/>
        </w:rPr>
        <w:t xml:space="preserve"> </w:t>
      </w:r>
      <w:r w:rsidR="00A45282">
        <w:rPr>
          <w:rFonts w:cstheme="minorHAnsi"/>
        </w:rPr>
        <w:t>¿</w:t>
      </w:r>
      <w:r w:rsidRPr="0051709F">
        <w:rPr>
          <w:rFonts w:cstheme="minorHAnsi"/>
        </w:rPr>
        <w:t xml:space="preserve">el parque de espacios, instalaciones y equipamientos deportivos (el número, el tipo y su ubicación) da respuesta a la </w:t>
      </w:r>
      <w:r w:rsidR="00A45282">
        <w:rPr>
          <w:rFonts w:cstheme="minorHAnsi"/>
        </w:rPr>
        <w:t>estructura</w:t>
      </w:r>
      <w:r w:rsidR="00A45282" w:rsidRPr="0051709F">
        <w:rPr>
          <w:rFonts w:cstheme="minorHAnsi"/>
        </w:rPr>
        <w:t xml:space="preserve"> </w:t>
      </w:r>
      <w:r w:rsidRPr="0051709F">
        <w:rPr>
          <w:rFonts w:cstheme="minorHAnsi"/>
        </w:rPr>
        <w:t>residencial de España en el tercer decenio del siglo XXI</w:t>
      </w:r>
      <w:r w:rsidR="00A45282">
        <w:rPr>
          <w:rFonts w:cstheme="minorHAnsi"/>
        </w:rPr>
        <w:t>?</w:t>
      </w:r>
      <w:r w:rsidRPr="0051709F">
        <w:rPr>
          <w:rFonts w:cstheme="minorHAnsi"/>
        </w:rPr>
        <w:t xml:space="preserve"> Ciertamente, una realidad residencial cambiante exige un planeamiento de los espacios e instalaciones deportivos diferentes. No en vano, otros países que han vivido esta transformación del comportamiento residencial experimentado por España en las últimas décadas, como Italia</w:t>
      </w:r>
      <w:r w:rsidR="00A45282">
        <w:rPr>
          <w:rFonts w:cstheme="minorHAnsi"/>
        </w:rPr>
        <w:t xml:space="preserve"> u</w:t>
      </w:r>
      <w:r w:rsidRPr="0051709F">
        <w:rPr>
          <w:rFonts w:cstheme="minorHAnsi"/>
        </w:rPr>
        <w:t xml:space="preserve"> Holanda, realizaron grandes inversiones en la dotación de equipamientos, tales como carriles bici, senderos, parques de salud al aire libre, e instalaciones convencionales y no convencionales en lugares estratégicos y con servicios complementarios, como transporte público, ludotecas, restauración, etc</w:t>
      </w:r>
      <w:r w:rsidRPr="005C6620">
        <w:rPr>
          <w:rFonts w:cstheme="minorHAnsi"/>
        </w:rPr>
        <w:t>.</w:t>
      </w:r>
      <w:r w:rsidR="00A45282" w:rsidRPr="005C6620">
        <w:rPr>
          <w:rFonts w:cstheme="minorHAnsi"/>
        </w:rPr>
        <w:t xml:space="preserve"> </w:t>
      </w:r>
      <w:r w:rsidR="00A45282" w:rsidRPr="00A60F4D">
        <w:rPr>
          <w:rFonts w:cstheme="minorHAnsi"/>
        </w:rPr>
        <w:t>Esta necesaria adaptación de las instalaciones y centros deportivos a la estructura residencial actual</w:t>
      </w:r>
      <w:r w:rsidR="00081FFB" w:rsidRPr="00A60F4D">
        <w:rPr>
          <w:rFonts w:cstheme="minorHAnsi"/>
        </w:rPr>
        <w:t>,</w:t>
      </w:r>
      <w:r w:rsidR="00A45282" w:rsidRPr="00A60F4D">
        <w:rPr>
          <w:rFonts w:cstheme="minorHAnsi"/>
        </w:rPr>
        <w:t xml:space="preserve"> </w:t>
      </w:r>
      <w:r w:rsidR="00A60F4D" w:rsidRPr="005C6620">
        <w:rPr>
          <w:rFonts w:cstheme="minorHAnsi"/>
        </w:rPr>
        <w:t xml:space="preserve">debería verse </w:t>
      </w:r>
      <w:r w:rsidR="00A45282" w:rsidRPr="005C6620">
        <w:rPr>
          <w:rFonts w:cstheme="minorHAnsi"/>
        </w:rPr>
        <w:t>refleja</w:t>
      </w:r>
      <w:r w:rsidR="00A60F4D" w:rsidRPr="005C6620">
        <w:rPr>
          <w:rFonts w:cstheme="minorHAnsi"/>
        </w:rPr>
        <w:t>da</w:t>
      </w:r>
      <w:r w:rsidR="00A45282" w:rsidRPr="005C6620">
        <w:rPr>
          <w:rFonts w:cstheme="minorHAnsi"/>
        </w:rPr>
        <w:t xml:space="preserve"> en la próxima revisión del Censo Nacional de Instalaciones Deportivas (CNID)</w:t>
      </w:r>
      <w:r w:rsidRPr="005C6620">
        <w:rPr>
          <w:rFonts w:cstheme="minorHAnsi"/>
        </w:rPr>
        <w:t>.</w:t>
      </w:r>
      <w:r w:rsidR="00A45282" w:rsidRPr="005C6620">
        <w:rPr>
          <w:rFonts w:cstheme="minorHAnsi"/>
        </w:rPr>
        <w:t xml:space="preserve"> </w:t>
      </w:r>
    </w:p>
    <w:p w14:paraId="1DC70BEF" w14:textId="77777777" w:rsidR="002E66D9" w:rsidRPr="0051709F" w:rsidRDefault="002E66D9" w:rsidP="002E66D9">
      <w:pPr>
        <w:jc w:val="both"/>
        <w:rPr>
          <w:rFonts w:cstheme="minorHAnsi"/>
        </w:rPr>
      </w:pPr>
    </w:p>
    <w:p w14:paraId="78219548" w14:textId="75F5F9B6" w:rsidR="002E66D9" w:rsidRPr="0051709F" w:rsidRDefault="002E66D9" w:rsidP="003B3D5A">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Cambios en el consumo del ocio de la población española</w:t>
      </w:r>
    </w:p>
    <w:p w14:paraId="3B68D39B" w14:textId="77777777" w:rsidR="002E66D9" w:rsidRPr="0051709F" w:rsidRDefault="002E66D9" w:rsidP="002E66D9">
      <w:pPr>
        <w:jc w:val="both"/>
        <w:rPr>
          <w:rFonts w:cstheme="minorHAnsi"/>
        </w:rPr>
      </w:pPr>
    </w:p>
    <w:p w14:paraId="3F8AC33D" w14:textId="1E695DB4" w:rsidR="002E66D9" w:rsidRPr="0051709F" w:rsidRDefault="00B83657" w:rsidP="002E66D9">
      <w:pPr>
        <w:jc w:val="both"/>
        <w:rPr>
          <w:rFonts w:cstheme="minorHAnsi"/>
        </w:rPr>
      </w:pPr>
      <w:r>
        <w:rPr>
          <w:rFonts w:cstheme="minorHAnsi"/>
        </w:rPr>
        <w:t>P</w:t>
      </w:r>
      <w:r w:rsidR="002E66D9" w:rsidRPr="0051709F">
        <w:rPr>
          <w:rFonts w:cstheme="minorHAnsi"/>
        </w:rPr>
        <w:t xml:space="preserve">arece oportuno </w:t>
      </w:r>
      <w:r>
        <w:rPr>
          <w:rFonts w:cstheme="minorHAnsi"/>
        </w:rPr>
        <w:t xml:space="preserve">llegado este punto del análisis, </w:t>
      </w:r>
      <w:r w:rsidR="002E66D9" w:rsidRPr="0051709F">
        <w:rPr>
          <w:rFonts w:cstheme="minorHAnsi"/>
        </w:rPr>
        <w:t xml:space="preserve">pincelar una breve fotografía de cuáles son </w:t>
      </w:r>
      <w:r w:rsidR="002E66D9" w:rsidRPr="0051709F">
        <w:rPr>
          <w:rFonts w:cstheme="minorHAnsi"/>
          <w:b/>
        </w:rPr>
        <w:t>las</w:t>
      </w:r>
      <w:r w:rsidR="002E66D9" w:rsidRPr="0051709F">
        <w:rPr>
          <w:rFonts w:cstheme="minorHAnsi"/>
        </w:rPr>
        <w:t xml:space="preserve"> </w:t>
      </w:r>
      <w:r w:rsidR="002E66D9" w:rsidRPr="0051709F">
        <w:rPr>
          <w:rFonts w:cstheme="minorHAnsi"/>
          <w:b/>
        </w:rPr>
        <w:t>prácticas de ocio de la sociedad española en su tiempo libre</w:t>
      </w:r>
      <w:r w:rsidR="002E66D9" w:rsidRPr="0051709F">
        <w:rPr>
          <w:rFonts w:cstheme="minorHAnsi"/>
        </w:rPr>
        <w:t>, entre las que se viene situando tradicionalmente la práctica del deporte.</w:t>
      </w:r>
    </w:p>
    <w:p w14:paraId="521C3F33" w14:textId="77777777" w:rsidR="002E66D9" w:rsidRPr="0051709F" w:rsidRDefault="002E66D9" w:rsidP="002E66D9">
      <w:pPr>
        <w:jc w:val="both"/>
        <w:rPr>
          <w:rFonts w:cstheme="minorHAnsi"/>
        </w:rPr>
      </w:pPr>
    </w:p>
    <w:p w14:paraId="4970E482" w14:textId="6C1D7950" w:rsidR="002E66D9" w:rsidRPr="0051709F" w:rsidRDefault="002E66D9" w:rsidP="002E66D9">
      <w:pPr>
        <w:jc w:val="both"/>
        <w:rPr>
          <w:rFonts w:cstheme="minorHAnsi"/>
        </w:rPr>
      </w:pPr>
      <w:r w:rsidRPr="0051709F">
        <w:rPr>
          <w:rFonts w:cstheme="minorHAnsi"/>
        </w:rPr>
        <w:t xml:space="preserve">Si </w:t>
      </w:r>
      <w:r w:rsidR="00B83657">
        <w:rPr>
          <w:rFonts w:cstheme="minorHAnsi"/>
        </w:rPr>
        <w:t>se acude</w:t>
      </w:r>
      <w:r w:rsidR="00B83657" w:rsidRPr="0051709F">
        <w:rPr>
          <w:rFonts w:cstheme="minorHAnsi"/>
        </w:rPr>
        <w:t xml:space="preserve"> </w:t>
      </w:r>
      <w:r w:rsidRPr="0051709F">
        <w:rPr>
          <w:rFonts w:cstheme="minorHAnsi"/>
        </w:rPr>
        <w:t xml:space="preserve">al banco de datos del Centro de Investigaciones Sociológicas (CIS), comprobamos a través de distintos estudios (2198, 2397, 2833 y 3217) que la población española mayormente dedica su tiempo libre a realizar actividades que podrían caracterizarse con lo que hoy se entiende por ocio pasivo, esto es, actividades de esparcimiento y descanso sin implicación de ejercicio físico-deportivo. Seleccionando </w:t>
      </w:r>
      <w:r w:rsidRPr="0051709F">
        <w:rPr>
          <w:rFonts w:cstheme="minorHAnsi"/>
        </w:rPr>
        <w:lastRenderedPageBreak/>
        <w:t xml:space="preserve">sólo las más enunciadas de entre las que se les ofrece de una lista más amplia (ver gráfico 5), en el último año de referencia (2018) predominaban </w:t>
      </w:r>
      <w:r w:rsidR="00B83657">
        <w:rPr>
          <w:rFonts w:cstheme="minorHAnsi"/>
        </w:rPr>
        <w:t xml:space="preserve">las siguientes: </w:t>
      </w:r>
      <w:r w:rsidRPr="0051709F">
        <w:rPr>
          <w:rFonts w:cstheme="minorHAnsi"/>
        </w:rPr>
        <w:t>estar con la familia (71%), ver la televisión (65%), estar con los/las amigos/as (53%), leer y escuchar música (40%), navegar por Internet y utilizar las redes sociales (36%), oír la radio (32%) e ir al cine (21%). Actividades que se han mantenido en el tiempo más o menos estables desde que existen registros en los estudios del citado organismo público.</w:t>
      </w:r>
    </w:p>
    <w:p w14:paraId="4E86F51D" w14:textId="77777777" w:rsidR="002E66D9" w:rsidRPr="0051709F" w:rsidRDefault="002E66D9" w:rsidP="002E66D9">
      <w:pPr>
        <w:jc w:val="both"/>
        <w:rPr>
          <w:rFonts w:cstheme="minorHAnsi"/>
        </w:rPr>
      </w:pPr>
    </w:p>
    <w:p w14:paraId="0AFB37E8" w14:textId="41C3F4D0" w:rsidR="002E66D9" w:rsidRPr="0051709F" w:rsidRDefault="002E66D9" w:rsidP="002E66D9">
      <w:pPr>
        <w:jc w:val="both"/>
        <w:rPr>
          <w:rFonts w:cstheme="minorHAnsi"/>
        </w:rPr>
      </w:pPr>
      <w:r w:rsidRPr="0051709F">
        <w:rPr>
          <w:rFonts w:cstheme="minorHAnsi"/>
        </w:rPr>
        <w:t>En el lado opuesto, entre las actividades de ocio activo, predominan desde el año 2000, y con un crecimiento abrumador, el caminar o pasear más o menos deprisa como actividad propia del tiempo libre, que afirmaban realizar el 69% de la población en el año 2018 —casi 20 puntos más que 8 años antes—, desbancando con creces a la actividad física tradicional en nuestro tiempo libre, el deporte, que en estas encuestas de ocio y tiempo libre se sitúa en torno al 32%.</w:t>
      </w:r>
    </w:p>
    <w:p w14:paraId="3F907A09" w14:textId="77777777" w:rsidR="002E66D9" w:rsidRPr="0051709F" w:rsidRDefault="002E66D9" w:rsidP="002E66D9">
      <w:pPr>
        <w:jc w:val="both"/>
        <w:rPr>
          <w:rFonts w:cstheme="minorHAnsi"/>
        </w:rPr>
      </w:pPr>
    </w:p>
    <w:p w14:paraId="5FFA3316" w14:textId="1593A80E" w:rsidR="003B3D5A" w:rsidRPr="0051709F" w:rsidRDefault="002E66D9" w:rsidP="002E66D9">
      <w:pPr>
        <w:jc w:val="both"/>
        <w:rPr>
          <w:rFonts w:cstheme="minorHAnsi"/>
          <w:b/>
          <w:bCs/>
          <w:lang w:val="es-ES_tradnl"/>
        </w:rPr>
      </w:pPr>
      <w:r w:rsidRPr="0051709F">
        <w:rPr>
          <w:rFonts w:cstheme="minorHAnsi"/>
        </w:rPr>
        <w:t xml:space="preserve">En consecuencia, parece que el tiempo libre, que es un concepto importante en nuestras vidas —no en vano, la sociedad española le otorga en su vida un valor de 8,04 puntos de importancia sobre 10, según el Barómetro de Opinión Pública del CIS 3191 de octubre de 2017—, se emplea mayormente a actividades de ocio pasivo, pues la práctica deportiva siempre se ha situado en un lugar, si bien estable, menos relevante entre estas actividades de ocio. </w:t>
      </w:r>
      <w:r w:rsidR="00B83657">
        <w:rPr>
          <w:rFonts w:cstheme="minorHAnsi"/>
        </w:rPr>
        <w:t>S</w:t>
      </w:r>
      <w:r w:rsidRPr="0051709F">
        <w:rPr>
          <w:rFonts w:cstheme="minorHAnsi"/>
        </w:rPr>
        <w:t>in embargo</w:t>
      </w:r>
      <w:r w:rsidR="00B83657">
        <w:rPr>
          <w:rFonts w:cstheme="minorHAnsi"/>
        </w:rPr>
        <w:t>,</w:t>
      </w:r>
      <w:r w:rsidRPr="0051709F">
        <w:rPr>
          <w:rFonts w:cstheme="minorHAnsi"/>
        </w:rPr>
        <w:t xml:space="preserve"> llama la atención el importante interés que suscita el caminar o pasear más o menos deprisa después del año 2010, que parece apuntar en la dirección de que se ha producido un cambio en el que la sociedad española hace uso de este tiempo para realizar actividades de ocio activo que nada tiene que ver con las convencionales del deporte. Algo a tener muy en cuenta a la hora de determinar hacia donde debe orientarse un modelo deportivo que recoja las necesidades y motivaciones de la población para luchar contra el sedentarismo y la inactividad física en la vida cotidiana.</w:t>
      </w:r>
    </w:p>
    <w:p w14:paraId="765C10A4" w14:textId="77777777" w:rsidR="003B3D5A" w:rsidRPr="0051709F" w:rsidRDefault="003B3D5A" w:rsidP="002E66D9">
      <w:pPr>
        <w:jc w:val="both"/>
        <w:rPr>
          <w:rFonts w:cstheme="minorHAnsi"/>
          <w:b/>
          <w:bCs/>
          <w:lang w:val="es-ES_tradnl"/>
        </w:rPr>
      </w:pPr>
    </w:p>
    <w:p w14:paraId="61C46117" w14:textId="77777777" w:rsidR="003B3D5A" w:rsidRPr="0051709F" w:rsidRDefault="003B3D5A" w:rsidP="002E66D9">
      <w:pPr>
        <w:jc w:val="both"/>
        <w:rPr>
          <w:rFonts w:cstheme="minorHAnsi"/>
          <w:b/>
          <w:bCs/>
          <w:lang w:val="es-ES_tradnl"/>
        </w:rPr>
      </w:pPr>
    </w:p>
    <w:p w14:paraId="794032E5" w14:textId="77777777" w:rsidR="003B3D5A" w:rsidRPr="0051709F" w:rsidRDefault="003B3D5A" w:rsidP="002E66D9">
      <w:pPr>
        <w:jc w:val="both"/>
        <w:rPr>
          <w:rFonts w:cstheme="minorHAnsi"/>
          <w:b/>
          <w:bCs/>
          <w:lang w:val="es-ES_tradnl"/>
        </w:rPr>
      </w:pPr>
    </w:p>
    <w:p w14:paraId="111D0B87" w14:textId="77777777" w:rsidR="002E66D9" w:rsidRPr="0051709F" w:rsidRDefault="002E66D9" w:rsidP="002E66D9">
      <w:pPr>
        <w:jc w:val="center"/>
        <w:rPr>
          <w:rFonts w:cstheme="minorHAnsi"/>
          <w:i/>
          <w:spacing w:val="-2"/>
        </w:rPr>
      </w:pPr>
    </w:p>
    <w:p w14:paraId="77335914" w14:textId="77777777" w:rsidR="002E66D9" w:rsidRPr="0051709F" w:rsidRDefault="002E66D9" w:rsidP="002E66D9">
      <w:pPr>
        <w:jc w:val="both"/>
        <w:rPr>
          <w:rFonts w:cstheme="minorHAnsi"/>
        </w:rPr>
      </w:pPr>
      <w:r w:rsidRPr="0051709F">
        <w:rPr>
          <w:rFonts w:cstheme="minorHAnsi"/>
          <w:noProof/>
          <w:lang w:val="en-GB" w:eastAsia="en-GB"/>
        </w:rPr>
        <w:lastRenderedPageBreak/>
        <w:drawing>
          <wp:inline distT="0" distB="0" distL="0" distR="0" wp14:anchorId="473F777A" wp14:editId="2C544B94">
            <wp:extent cx="5400040" cy="3253693"/>
            <wp:effectExtent l="0" t="0" r="0" b="444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06F5E14" w14:textId="77777777" w:rsidR="002E66D9" w:rsidRPr="0051709F" w:rsidRDefault="002E66D9" w:rsidP="002E66D9">
      <w:pPr>
        <w:jc w:val="both"/>
        <w:rPr>
          <w:rFonts w:cstheme="minorHAnsi"/>
        </w:rPr>
      </w:pPr>
    </w:p>
    <w:p w14:paraId="1D5E9BE5" w14:textId="77777777" w:rsidR="003B3D5A" w:rsidRPr="0051709F" w:rsidRDefault="003B3D5A" w:rsidP="003B3D5A">
      <w:pPr>
        <w:jc w:val="center"/>
        <w:rPr>
          <w:rFonts w:cstheme="minorHAnsi"/>
          <w:i/>
          <w:spacing w:val="-2"/>
        </w:rPr>
      </w:pPr>
    </w:p>
    <w:p w14:paraId="78B17FD8" w14:textId="77777777" w:rsidR="006A6D22" w:rsidRPr="007B667D" w:rsidRDefault="003B3D5A" w:rsidP="003B3D5A">
      <w:pPr>
        <w:jc w:val="center"/>
        <w:rPr>
          <w:rFonts w:cstheme="minorHAnsi"/>
          <w:i/>
          <w:spacing w:val="-2"/>
          <w:sz w:val="22"/>
          <w:szCs w:val="22"/>
        </w:rPr>
      </w:pPr>
      <w:r w:rsidRPr="007B667D">
        <w:rPr>
          <w:rFonts w:cstheme="minorHAnsi"/>
          <w:i/>
          <w:spacing w:val="-2"/>
          <w:sz w:val="22"/>
          <w:szCs w:val="22"/>
        </w:rPr>
        <w:t xml:space="preserve">Gráfico 5. Evolución de las Actividades de Ocio en el Tiempo Libre </w:t>
      </w:r>
    </w:p>
    <w:p w14:paraId="640EAC9E" w14:textId="5AC2A7F0" w:rsidR="003B3D5A" w:rsidRPr="007B667D" w:rsidRDefault="003B3D5A" w:rsidP="003B3D5A">
      <w:pPr>
        <w:jc w:val="center"/>
        <w:rPr>
          <w:rFonts w:cstheme="minorHAnsi"/>
          <w:i/>
          <w:spacing w:val="-2"/>
          <w:sz w:val="22"/>
          <w:szCs w:val="22"/>
        </w:rPr>
      </w:pPr>
      <w:r w:rsidRPr="007B667D">
        <w:rPr>
          <w:rFonts w:cstheme="minorHAnsi"/>
          <w:i/>
          <w:spacing w:val="-2"/>
          <w:sz w:val="22"/>
          <w:szCs w:val="22"/>
        </w:rPr>
        <w:t>en España entre 1995 y 2018</w:t>
      </w:r>
    </w:p>
    <w:p w14:paraId="07ED3FA4" w14:textId="77777777" w:rsidR="002E66D9" w:rsidRPr="007B667D" w:rsidRDefault="002E66D9" w:rsidP="003B3D5A">
      <w:pPr>
        <w:jc w:val="center"/>
        <w:rPr>
          <w:rFonts w:cstheme="minorHAnsi"/>
          <w:sz w:val="22"/>
          <w:szCs w:val="22"/>
        </w:rPr>
      </w:pPr>
      <w:r w:rsidRPr="007B667D">
        <w:rPr>
          <w:rFonts w:cstheme="minorHAnsi"/>
          <w:sz w:val="22"/>
          <w:szCs w:val="22"/>
        </w:rPr>
        <w:t>Fuente: Elaboración propia a partir del Centro de Investigaciones Sociológicas (2023).</w:t>
      </w:r>
    </w:p>
    <w:p w14:paraId="33AF354B" w14:textId="77777777" w:rsidR="002E66D9" w:rsidRPr="0051709F" w:rsidRDefault="002E66D9" w:rsidP="002E66D9">
      <w:pPr>
        <w:jc w:val="both"/>
        <w:rPr>
          <w:rFonts w:cstheme="minorHAnsi"/>
        </w:rPr>
      </w:pPr>
    </w:p>
    <w:p w14:paraId="1E9FE812" w14:textId="77777777" w:rsidR="00BF7D2E" w:rsidRPr="0051709F" w:rsidRDefault="00BF7D2E" w:rsidP="00C728E8">
      <w:pPr>
        <w:jc w:val="both"/>
        <w:rPr>
          <w:rFonts w:cstheme="minorHAnsi"/>
          <w:b/>
          <w:bCs/>
          <w:lang w:val="es-ES_tradnl"/>
        </w:rPr>
      </w:pPr>
    </w:p>
    <w:p w14:paraId="40027613" w14:textId="77DFCB9F" w:rsidR="002E66D9" w:rsidRPr="0051709F" w:rsidRDefault="002E66D9" w:rsidP="005C6620">
      <w:pPr>
        <w:pStyle w:val="Ttulo2"/>
        <w:numPr>
          <w:ilvl w:val="0"/>
          <w:numId w:val="0"/>
        </w:numPr>
        <w:ind w:left="576" w:hanging="576"/>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Repercusiones de los cambios sociodemográficos, socioeconómicos</w:t>
      </w:r>
      <w:r w:rsidR="00F6291C"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lang w:val="es-ES"/>
        </w:rPr>
        <w:t>culturales y</w:t>
      </w:r>
      <w:r w:rsidR="005C6620">
        <w:rPr>
          <w:rFonts w:asciiTheme="minorHAnsi" w:hAnsiTheme="minorHAnsi" w:cstheme="minorHAnsi"/>
          <w:sz w:val="24"/>
          <w:szCs w:val="24"/>
          <w:lang w:val="es-ES"/>
        </w:rPr>
        <w:t xml:space="preserve"> </w:t>
      </w:r>
      <w:r w:rsidRPr="0051709F">
        <w:rPr>
          <w:rFonts w:asciiTheme="minorHAnsi" w:hAnsiTheme="minorHAnsi" w:cstheme="minorHAnsi"/>
          <w:sz w:val="24"/>
          <w:szCs w:val="24"/>
          <w:lang w:val="es-ES"/>
        </w:rPr>
        <w:t>territoriales sobre nuestros estilos de vida</w:t>
      </w:r>
    </w:p>
    <w:p w14:paraId="4CE7DC06" w14:textId="77777777" w:rsidR="002E66D9" w:rsidRPr="0051709F" w:rsidRDefault="002E66D9" w:rsidP="00F6291C">
      <w:pPr>
        <w:jc w:val="both"/>
        <w:rPr>
          <w:rFonts w:cstheme="minorHAnsi"/>
        </w:rPr>
      </w:pPr>
    </w:p>
    <w:p w14:paraId="616C99A9" w14:textId="5CA2E86B" w:rsidR="002E66D9" w:rsidRPr="0051709F" w:rsidRDefault="002E66D9" w:rsidP="002E66D9">
      <w:pPr>
        <w:jc w:val="both"/>
        <w:rPr>
          <w:rFonts w:cstheme="minorHAnsi"/>
        </w:rPr>
      </w:pPr>
      <w:r w:rsidRPr="0051709F">
        <w:rPr>
          <w:rFonts w:cstheme="minorHAnsi"/>
        </w:rPr>
        <w:t xml:space="preserve">Este apartado pretende dar continuidad explicativa a los anteriores en el propósito de desarrollar una estrategia nacional para el fomento del deporte contra el sedentarismo y la inactividad física en España. Si antes se han ofrecido un conjunto de datos descriptivos sobre aspectos sociodemográficos, socioeconómicos, culturales y territoriales </w:t>
      </w:r>
      <w:r w:rsidR="006E75DA">
        <w:rPr>
          <w:rFonts w:cstheme="minorHAnsi"/>
        </w:rPr>
        <w:t>d</w:t>
      </w:r>
      <w:r w:rsidR="006E75DA" w:rsidRPr="0051709F">
        <w:rPr>
          <w:rFonts w:cstheme="minorHAnsi"/>
        </w:rPr>
        <w:t xml:space="preserve">e </w:t>
      </w:r>
      <w:r w:rsidRPr="0051709F">
        <w:rPr>
          <w:rFonts w:cstheme="minorHAnsi"/>
        </w:rPr>
        <w:t xml:space="preserve">la sociedad española, en este apartado se pretende establecer una conexión entre aquellos y sus consecuencias derivadas para con nuestros estilos de vida. </w:t>
      </w:r>
    </w:p>
    <w:p w14:paraId="3F8E22F4" w14:textId="77777777" w:rsidR="002E66D9" w:rsidRPr="0051709F" w:rsidRDefault="002E66D9" w:rsidP="002E66D9">
      <w:pPr>
        <w:jc w:val="both"/>
        <w:rPr>
          <w:rFonts w:cstheme="minorHAnsi"/>
        </w:rPr>
      </w:pPr>
    </w:p>
    <w:p w14:paraId="3B9F84EB" w14:textId="75D6176F" w:rsidR="00B5522C" w:rsidRPr="0051709F" w:rsidRDefault="002E66D9" w:rsidP="002E66D9">
      <w:pPr>
        <w:jc w:val="both"/>
        <w:rPr>
          <w:rFonts w:cstheme="minorHAnsi"/>
        </w:rPr>
      </w:pPr>
      <w:r w:rsidRPr="0051709F">
        <w:rPr>
          <w:rFonts w:cstheme="minorHAnsi"/>
        </w:rPr>
        <w:t xml:space="preserve">El primer aspecto es la </w:t>
      </w:r>
      <w:r w:rsidRPr="0051709F">
        <w:rPr>
          <w:rFonts w:cstheme="minorHAnsi"/>
          <w:b/>
        </w:rPr>
        <w:t>actividad física en las ocupaciones diarias</w:t>
      </w:r>
      <w:r w:rsidRPr="0051709F">
        <w:rPr>
          <w:rFonts w:cstheme="minorHAnsi"/>
        </w:rPr>
        <w:t xml:space="preserve">. En este sentido, </w:t>
      </w:r>
      <w:r w:rsidR="002648F9">
        <w:rPr>
          <w:rFonts w:cstheme="minorHAnsi"/>
        </w:rPr>
        <w:t xml:space="preserve">la Encuesta Nacional de Salud </w:t>
      </w:r>
      <w:r w:rsidRPr="0051709F">
        <w:rPr>
          <w:rFonts w:cstheme="minorHAnsi"/>
        </w:rPr>
        <w:t xml:space="preserve">que realiza el Ministerio </w:t>
      </w:r>
      <w:r w:rsidR="006E75DA">
        <w:rPr>
          <w:rFonts w:cstheme="minorHAnsi"/>
        </w:rPr>
        <w:t>de</w:t>
      </w:r>
      <w:r w:rsidRPr="0051709F">
        <w:rPr>
          <w:rFonts w:cstheme="minorHAnsi"/>
        </w:rPr>
        <w:t xml:space="preserve"> </w:t>
      </w:r>
      <w:r w:rsidR="006E75DA">
        <w:rPr>
          <w:rFonts w:cstheme="minorHAnsi"/>
        </w:rPr>
        <w:t>S</w:t>
      </w:r>
      <w:r w:rsidRPr="0051709F">
        <w:rPr>
          <w:rFonts w:cstheme="minorHAnsi"/>
        </w:rPr>
        <w:t>anida</w:t>
      </w:r>
      <w:r w:rsidR="0021277C">
        <w:rPr>
          <w:rFonts w:cstheme="minorHAnsi"/>
        </w:rPr>
        <w:t>d</w:t>
      </w:r>
      <w:r w:rsidRPr="0051709F">
        <w:rPr>
          <w:rFonts w:cstheme="minorHAnsi"/>
        </w:rPr>
        <w:t xml:space="preserve">, con carácter bianual o trianual y en colaboración con la Comisión Europea desde 1993 hasta 2020, proporciona datos que corroboran la inactividad física de la sociedad española en sus diversas ocupaciones diarias. Algo que tiene que ver con la estructura laboral a la que </w:t>
      </w:r>
      <w:r w:rsidR="006E75DA">
        <w:rPr>
          <w:rFonts w:cstheme="minorHAnsi"/>
        </w:rPr>
        <w:t>se ha hecho referencia</w:t>
      </w:r>
      <w:r w:rsidRPr="0051709F">
        <w:rPr>
          <w:rFonts w:cstheme="minorHAnsi"/>
        </w:rPr>
        <w:t xml:space="preserve"> anteriormente, tanto en el sector de lo que se denomina sociedad del conocimiento</w:t>
      </w:r>
      <w:r w:rsidR="006E75DA">
        <w:rPr>
          <w:rFonts w:cstheme="minorHAnsi"/>
        </w:rPr>
        <w:t>,</w:t>
      </w:r>
      <w:r w:rsidRPr="0051709F">
        <w:rPr>
          <w:rFonts w:cstheme="minorHAnsi"/>
        </w:rPr>
        <w:t xml:space="preserve"> como en distintas ocupaciones del sector servicios. Según la citada encuesta, el 78% de la población española pasa tiempo diario de pie sin realizar esfuerzos ni desplazamientos o sentada la mayor del tiempo (40% y 38%, respectivamente)</w:t>
      </w:r>
      <w:r w:rsidR="006E75DA">
        <w:rPr>
          <w:rFonts w:cstheme="minorHAnsi"/>
        </w:rPr>
        <w:t xml:space="preserve">, </w:t>
      </w:r>
      <w:r w:rsidRPr="0051709F">
        <w:rPr>
          <w:rFonts w:cstheme="minorHAnsi"/>
        </w:rPr>
        <w:t>ver gráfico 6. Esto significa que pasamos buena parte del tiempo sentados en una oficina, en una mesa de estudio o un aula, de pie atendiendo en un comercio, reunid</w:t>
      </w:r>
      <w:r w:rsidR="00B5522C" w:rsidRPr="0051709F">
        <w:rPr>
          <w:rFonts w:cstheme="minorHAnsi"/>
        </w:rPr>
        <w:t>os</w:t>
      </w:r>
      <w:r w:rsidRPr="0051709F">
        <w:rPr>
          <w:rFonts w:cstheme="minorHAnsi"/>
        </w:rPr>
        <w:t xml:space="preserve"> en un despacho, atendiendo en la barra de un bar u otro conjunto de situaciones más o menos análogas. El restante 22% se distribuyen entre quienes </w:t>
      </w:r>
      <w:r w:rsidRPr="0051709F">
        <w:rPr>
          <w:rFonts w:cstheme="minorHAnsi"/>
        </w:rPr>
        <w:lastRenderedPageBreak/>
        <w:t xml:space="preserve">dicen desarrollar su ocupación diaria de pie con desplazamientos (15%), </w:t>
      </w:r>
      <w:r w:rsidR="00B5522C" w:rsidRPr="0051709F">
        <w:rPr>
          <w:rFonts w:cstheme="minorHAnsi"/>
        </w:rPr>
        <w:t xml:space="preserve">posiblemente </w:t>
      </w:r>
      <w:r w:rsidRPr="0051709F">
        <w:rPr>
          <w:rFonts w:cstheme="minorHAnsi"/>
        </w:rPr>
        <w:t>en trabajos como repartidor, cartero, limpieza urbana, etc. o realizando esfuerzo físico corporal (un 7%), como la limpieza de edificios, la actividad industrial, la construcción, la agricultura y la ganadería. En conclusión, podemos confirmar que la ocupación diaria de la mayor parte de la población española es sedentaria</w:t>
      </w:r>
      <w:r w:rsidR="00B5522C" w:rsidRPr="0051709F">
        <w:rPr>
          <w:rFonts w:cstheme="minorHAnsi"/>
        </w:rPr>
        <w:t xml:space="preserve"> e inactiva físicamente</w:t>
      </w:r>
      <w:r w:rsidRPr="0051709F">
        <w:rPr>
          <w:rFonts w:cstheme="minorHAnsi"/>
        </w:rPr>
        <w:t>, pues en torno al 80% pasa la mayor parte del tiempo sentada o de pie sin realizar desplazamientos.</w:t>
      </w:r>
    </w:p>
    <w:p w14:paraId="51557BB2" w14:textId="77777777" w:rsidR="00F6291C" w:rsidRPr="0051709F" w:rsidRDefault="00F6291C" w:rsidP="002E66D9">
      <w:pPr>
        <w:jc w:val="both"/>
        <w:rPr>
          <w:rFonts w:cstheme="minorHAnsi"/>
        </w:rPr>
      </w:pPr>
    </w:p>
    <w:p w14:paraId="4CCDF6D1" w14:textId="77777777" w:rsidR="00B5522C" w:rsidRPr="0051709F" w:rsidRDefault="00B5522C" w:rsidP="00B5522C">
      <w:pPr>
        <w:spacing w:after="80"/>
        <w:jc w:val="both"/>
        <w:rPr>
          <w:rFonts w:cstheme="minorHAnsi"/>
        </w:rPr>
      </w:pPr>
      <w:r w:rsidRPr="0051709F">
        <w:rPr>
          <w:rFonts w:cstheme="minorHAnsi"/>
          <w:noProof/>
          <w:lang w:val="en-GB" w:eastAsia="en-GB"/>
        </w:rPr>
        <w:drawing>
          <wp:inline distT="0" distB="0" distL="0" distR="0" wp14:anchorId="6CCCAE51" wp14:editId="51ADB332">
            <wp:extent cx="5400040" cy="313182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C6E6BE0" w14:textId="77777777" w:rsidR="00F6291C" w:rsidRPr="0051709F" w:rsidRDefault="00F6291C" w:rsidP="00F6291C">
      <w:pPr>
        <w:spacing w:after="120"/>
        <w:jc w:val="center"/>
        <w:rPr>
          <w:rFonts w:cstheme="minorHAnsi"/>
          <w:i/>
          <w:spacing w:val="-2"/>
        </w:rPr>
      </w:pPr>
    </w:p>
    <w:p w14:paraId="460031DE" w14:textId="77777777" w:rsidR="006A6D22" w:rsidRPr="007B667D" w:rsidRDefault="00F6291C" w:rsidP="00F6291C">
      <w:pPr>
        <w:jc w:val="center"/>
        <w:rPr>
          <w:rFonts w:cstheme="minorHAnsi"/>
          <w:i/>
          <w:spacing w:val="-2"/>
          <w:sz w:val="22"/>
          <w:szCs w:val="22"/>
        </w:rPr>
      </w:pPr>
      <w:r w:rsidRPr="007B667D">
        <w:rPr>
          <w:rFonts w:cstheme="minorHAnsi"/>
          <w:i/>
          <w:spacing w:val="-2"/>
          <w:sz w:val="22"/>
          <w:szCs w:val="22"/>
        </w:rPr>
        <w:t xml:space="preserve">Gráfico 6. Evolución de la actividad física en las </w:t>
      </w:r>
    </w:p>
    <w:p w14:paraId="57773E92" w14:textId="4C82839E" w:rsidR="00F6291C" w:rsidRPr="007B667D" w:rsidRDefault="00F6291C" w:rsidP="00F6291C">
      <w:pPr>
        <w:jc w:val="center"/>
        <w:rPr>
          <w:rFonts w:cstheme="minorHAnsi"/>
          <w:i/>
          <w:spacing w:val="-2"/>
          <w:sz w:val="22"/>
          <w:szCs w:val="22"/>
        </w:rPr>
      </w:pPr>
      <w:r w:rsidRPr="007B667D">
        <w:rPr>
          <w:rFonts w:cstheme="minorHAnsi"/>
          <w:i/>
          <w:spacing w:val="-2"/>
          <w:sz w:val="22"/>
          <w:szCs w:val="22"/>
        </w:rPr>
        <w:t>ocupaciones diarias en España (1993 y 2020)</w:t>
      </w:r>
    </w:p>
    <w:p w14:paraId="14827B9B" w14:textId="77777777" w:rsidR="00B5522C" w:rsidRPr="007B667D" w:rsidRDefault="00B5522C" w:rsidP="00F6291C">
      <w:pPr>
        <w:jc w:val="center"/>
        <w:rPr>
          <w:rFonts w:cstheme="minorHAnsi"/>
          <w:sz w:val="22"/>
          <w:szCs w:val="22"/>
        </w:rPr>
      </w:pPr>
      <w:r w:rsidRPr="007B667D">
        <w:rPr>
          <w:rFonts w:cstheme="minorHAnsi"/>
          <w:sz w:val="22"/>
          <w:szCs w:val="22"/>
        </w:rPr>
        <w:t>Fuente: Elaboración propia a partir de la Encuesta Nacional de Salud (2023).</w:t>
      </w:r>
    </w:p>
    <w:p w14:paraId="71BB11DF" w14:textId="77777777" w:rsidR="00B5522C" w:rsidRPr="0051709F" w:rsidRDefault="00B5522C" w:rsidP="00DA303F">
      <w:pPr>
        <w:jc w:val="both"/>
        <w:rPr>
          <w:rFonts w:cstheme="minorHAnsi"/>
        </w:rPr>
      </w:pPr>
    </w:p>
    <w:p w14:paraId="759900EE" w14:textId="784B8957" w:rsidR="002E66D9" w:rsidRPr="0051709F" w:rsidRDefault="002E66D9" w:rsidP="00DA303F">
      <w:pPr>
        <w:jc w:val="both"/>
        <w:rPr>
          <w:rFonts w:cstheme="minorHAnsi"/>
        </w:rPr>
      </w:pPr>
      <w:r w:rsidRPr="0051709F">
        <w:rPr>
          <w:rFonts w:cstheme="minorHAnsi"/>
        </w:rPr>
        <w:t xml:space="preserve">El segundo aspecto tiene que ver con el anterior, pues mantiene una relación con el modo </w:t>
      </w:r>
      <w:r w:rsidRPr="0051709F">
        <w:rPr>
          <w:rFonts w:cstheme="minorHAnsi"/>
          <w:b/>
        </w:rPr>
        <w:t>como nos desplazamos desde nuestros hogares</w:t>
      </w:r>
      <w:r w:rsidRPr="0051709F">
        <w:rPr>
          <w:rFonts w:cstheme="minorHAnsi"/>
        </w:rPr>
        <w:t xml:space="preserve"> para realizar las diversas actividades diarias (trabajo, estudio, cuidados, ocio, compras, etc.) Esta información es relevante para entender cuánto tiempo ocupamos en desplazarnos de casa al trabajo, el lugar de estudios o los espacios de ocio y tiempo libre. Algo que en última instancia puede servir para tomar decisiones en materia de oferta de instalaciones, equipamientos y servicios deportivos. A este respecto, el Instituto Nacional de Estadística también proporciona información de gran utilidad. Aunque no existe un instrumento de medida estable, diferentes estudios del organismo estadístico nacional permiten </w:t>
      </w:r>
      <w:r w:rsidR="005C2AF8">
        <w:rPr>
          <w:rFonts w:cstheme="minorHAnsi"/>
        </w:rPr>
        <w:t>analizar</w:t>
      </w:r>
      <w:r w:rsidRPr="0051709F">
        <w:rPr>
          <w:rFonts w:cstheme="minorHAnsi"/>
        </w:rPr>
        <w:t xml:space="preserve"> esta relación. En general, todos ponen en </w:t>
      </w:r>
      <w:r w:rsidR="00B5522C" w:rsidRPr="0051709F">
        <w:rPr>
          <w:rFonts w:cstheme="minorHAnsi"/>
        </w:rPr>
        <w:t>común</w:t>
      </w:r>
      <w:r w:rsidRPr="0051709F">
        <w:rPr>
          <w:rFonts w:cstheme="minorHAnsi"/>
        </w:rPr>
        <w:t xml:space="preserve"> que la población española realiza cada vez más desplazamientos cotidianos, que ocupan un tiempo importante en </w:t>
      </w:r>
      <w:r w:rsidR="00B5522C" w:rsidRPr="0051709F">
        <w:rPr>
          <w:rFonts w:cstheme="minorHAnsi"/>
        </w:rPr>
        <w:t>su</w:t>
      </w:r>
      <w:r w:rsidRPr="0051709F">
        <w:rPr>
          <w:rFonts w:cstheme="minorHAnsi"/>
        </w:rPr>
        <w:t xml:space="preserve">s vidas, y estos </w:t>
      </w:r>
      <w:r w:rsidR="005C2AF8">
        <w:rPr>
          <w:rFonts w:cstheme="minorHAnsi"/>
        </w:rPr>
        <w:t>se realizan,</w:t>
      </w:r>
      <w:r w:rsidRPr="0051709F">
        <w:rPr>
          <w:rFonts w:cstheme="minorHAnsi"/>
        </w:rPr>
        <w:t xml:space="preserve"> cada vez más</w:t>
      </w:r>
      <w:r w:rsidR="005C2AF8">
        <w:rPr>
          <w:rFonts w:cstheme="minorHAnsi"/>
        </w:rPr>
        <w:t>,</w:t>
      </w:r>
      <w:r w:rsidRPr="0051709F">
        <w:rPr>
          <w:rFonts w:cstheme="minorHAnsi"/>
        </w:rPr>
        <w:t xml:space="preserve"> en medios mecánicos.</w:t>
      </w:r>
    </w:p>
    <w:p w14:paraId="1284F3F9" w14:textId="77777777" w:rsidR="00B5522C" w:rsidRPr="0051709F" w:rsidRDefault="00B5522C" w:rsidP="00DA303F">
      <w:pPr>
        <w:jc w:val="both"/>
        <w:rPr>
          <w:rFonts w:cstheme="minorHAnsi"/>
        </w:rPr>
      </w:pPr>
    </w:p>
    <w:p w14:paraId="09C5A6C5" w14:textId="0F24C58C" w:rsidR="002E66D9" w:rsidRPr="0051709F" w:rsidRDefault="002E66D9" w:rsidP="00DA303F">
      <w:pPr>
        <w:jc w:val="both"/>
        <w:rPr>
          <w:rFonts w:cstheme="minorHAnsi"/>
        </w:rPr>
      </w:pPr>
      <w:r w:rsidRPr="0051709F">
        <w:rPr>
          <w:rFonts w:cstheme="minorHAnsi"/>
        </w:rPr>
        <w:t xml:space="preserve">El primero de estos trabajos es el </w:t>
      </w:r>
      <w:r w:rsidRPr="0051709F">
        <w:rPr>
          <w:rFonts w:cstheme="minorHAnsi"/>
          <w:i/>
        </w:rPr>
        <w:t>Estudio de movilidad de la población a partir de la telefonía móvil 2020-2021</w:t>
      </w:r>
      <w:r w:rsidRPr="0051709F">
        <w:rPr>
          <w:rFonts w:cstheme="minorHAnsi"/>
        </w:rPr>
        <w:t xml:space="preserve"> (INE, 2022), que revela que 7.618.405 de personas se desplazan diariamente en nuestro país desde su área residencial a otras áreas por motivos de trabajo, estudio, compras, cuidados u ocio. Por otra parte, el </w:t>
      </w:r>
      <w:r w:rsidRPr="0051709F">
        <w:rPr>
          <w:rFonts w:cstheme="minorHAnsi"/>
          <w:i/>
        </w:rPr>
        <w:t xml:space="preserve">Estudio de </w:t>
      </w:r>
      <w:r w:rsidRPr="0051709F">
        <w:rPr>
          <w:rFonts w:cstheme="minorHAnsi"/>
          <w:i/>
        </w:rPr>
        <w:lastRenderedPageBreak/>
        <w:t>empleo del tiempo libre</w:t>
      </w:r>
      <w:r w:rsidRPr="0051709F">
        <w:rPr>
          <w:rFonts w:cstheme="minorHAnsi"/>
        </w:rPr>
        <w:t xml:space="preserve"> (INE, 2011) muestra que la población española dedica 2 horas al día a realizar trayectos con distintos fines</w:t>
      </w:r>
      <w:r w:rsidR="005C2AF8">
        <w:rPr>
          <w:rFonts w:cstheme="minorHAnsi"/>
        </w:rPr>
        <w:t>,</w:t>
      </w:r>
      <w:r w:rsidRPr="0051709F">
        <w:rPr>
          <w:rFonts w:cstheme="minorHAnsi"/>
        </w:rPr>
        <w:t xml:space="preserve"> 1 hora de media de ida y vuelta al trabajo y 1 hora de media para otros fines. Ello significa que empleamos unas 478 horas al año desplazándonos para el desempeño de los quehaceres diarios, excluyendo los fines de semana y el mes de vacaciones. Una cifra que se aproxima a</w:t>
      </w:r>
      <w:r w:rsidR="00B5522C" w:rsidRPr="0051709F">
        <w:rPr>
          <w:rFonts w:cstheme="minorHAnsi"/>
        </w:rPr>
        <w:t xml:space="preserve"> la que se desprende de</w:t>
      </w:r>
      <w:r w:rsidRPr="0051709F">
        <w:rPr>
          <w:rFonts w:cstheme="minorHAnsi"/>
        </w:rPr>
        <w:t xml:space="preserve">l </w:t>
      </w:r>
      <w:r w:rsidRPr="0051709F">
        <w:rPr>
          <w:rFonts w:cstheme="minorHAnsi"/>
          <w:i/>
        </w:rPr>
        <w:t>Estudio de movilidad diaria en España</w:t>
      </w:r>
      <w:r w:rsidRPr="0051709F">
        <w:rPr>
          <w:rFonts w:cstheme="minorHAnsi"/>
        </w:rPr>
        <w:t xml:space="preserve">, elaborado también por el INE (2014) a través de datos provenientes del Ministerio para la Transición Ecológica y el Reto Demográfico (MITECO). Justamente, en este último estudio se añade que aproximadamente la mitad de esos desplazamientos se realizan en medios mecánicos (el 50%), entre los que el 70% se llevan a cabo en coche, y que la distancia media diaria que se realiza es de 28,9 kilómetros. </w:t>
      </w:r>
    </w:p>
    <w:p w14:paraId="7E9B943A" w14:textId="77777777" w:rsidR="002E66D9" w:rsidRPr="0051709F" w:rsidRDefault="002E66D9" w:rsidP="00DA303F">
      <w:pPr>
        <w:jc w:val="both"/>
        <w:rPr>
          <w:rFonts w:cstheme="minorHAnsi"/>
        </w:rPr>
      </w:pPr>
    </w:p>
    <w:p w14:paraId="2BE4AE21" w14:textId="59327C87" w:rsidR="002E66D9" w:rsidRPr="0051709F" w:rsidRDefault="002E66D9" w:rsidP="00DA303F">
      <w:pPr>
        <w:jc w:val="both"/>
        <w:rPr>
          <w:rFonts w:cstheme="minorHAnsi"/>
        </w:rPr>
      </w:pPr>
      <w:r w:rsidRPr="0051709F">
        <w:rPr>
          <w:rFonts w:cstheme="minorHAnsi"/>
        </w:rPr>
        <w:t>No cabe du</w:t>
      </w:r>
      <w:r w:rsidR="00B5522C" w:rsidRPr="0051709F">
        <w:rPr>
          <w:rFonts w:cstheme="minorHAnsi"/>
        </w:rPr>
        <w:t xml:space="preserve">da de que la inactividad física, que </w:t>
      </w:r>
      <w:r w:rsidRPr="0051709F">
        <w:rPr>
          <w:rFonts w:cstheme="minorHAnsi"/>
        </w:rPr>
        <w:t>implica el grueso de las ocupaciones diarias y la dedicación de tiempo que empleamos en desplazarnos para la realización de tales ocupaciones y de otras múltiples actividades (estudio, cuidados, ocio, compras, gestiones burocráticas, labores domésticas, etc.) en el contexto de un modelo de asentamiento residencial principalmente urbano y metropolitano</w:t>
      </w:r>
      <w:r w:rsidRPr="0051709F">
        <w:rPr>
          <w:rStyle w:val="Refdenotaalpie"/>
          <w:rFonts w:cstheme="minorHAnsi"/>
        </w:rPr>
        <w:footnoteReference w:id="4"/>
      </w:r>
      <w:r w:rsidRPr="0051709F">
        <w:rPr>
          <w:rFonts w:cstheme="minorHAnsi"/>
        </w:rPr>
        <w:t xml:space="preserve">, suponen un hándicap para disfrutar de un estilo de vida equilibrado y saludable. Un estilo de vida en el que la necesidad de actividad físico-deportiva queda constreñida </w:t>
      </w:r>
      <w:r w:rsidR="00B5522C" w:rsidRPr="0051709F">
        <w:rPr>
          <w:rFonts w:cstheme="minorHAnsi"/>
        </w:rPr>
        <w:t>por</w:t>
      </w:r>
      <w:r w:rsidRPr="0051709F">
        <w:rPr>
          <w:rFonts w:cstheme="minorHAnsi"/>
        </w:rPr>
        <w:t xml:space="preserve"> la disponibilidad</w:t>
      </w:r>
      <w:r w:rsidR="00B5522C" w:rsidRPr="0051709F">
        <w:rPr>
          <w:rFonts w:cstheme="minorHAnsi"/>
        </w:rPr>
        <w:t xml:space="preserve"> de tiempo</w:t>
      </w:r>
      <w:r w:rsidRPr="0051709F">
        <w:rPr>
          <w:rFonts w:cstheme="minorHAnsi"/>
        </w:rPr>
        <w:t xml:space="preserve"> </w:t>
      </w:r>
      <w:r w:rsidR="00B5522C" w:rsidRPr="0051709F">
        <w:rPr>
          <w:rFonts w:cstheme="minorHAnsi"/>
        </w:rPr>
        <w:t>en</w:t>
      </w:r>
      <w:r w:rsidRPr="0051709F">
        <w:rPr>
          <w:rFonts w:cstheme="minorHAnsi"/>
        </w:rPr>
        <w:t xml:space="preserve"> una sobrecargada agenda diaria, un estado de ánimo y motivacional mermado y </w:t>
      </w:r>
      <w:r w:rsidR="005C2AF8">
        <w:rPr>
          <w:rFonts w:cstheme="minorHAnsi"/>
        </w:rPr>
        <w:t>también</w:t>
      </w:r>
      <w:r w:rsidR="005C2AF8" w:rsidRPr="0051709F">
        <w:rPr>
          <w:rFonts w:cstheme="minorHAnsi"/>
        </w:rPr>
        <w:t xml:space="preserve"> </w:t>
      </w:r>
      <w:r w:rsidRPr="0051709F">
        <w:rPr>
          <w:rFonts w:cstheme="minorHAnsi"/>
        </w:rPr>
        <w:t>limitaciones</w:t>
      </w:r>
      <w:r w:rsidR="005C2AF8">
        <w:rPr>
          <w:rFonts w:cstheme="minorHAnsi"/>
        </w:rPr>
        <w:t xml:space="preserve"> económicas y</w:t>
      </w:r>
      <w:r w:rsidRPr="0051709F">
        <w:rPr>
          <w:rFonts w:cstheme="minorHAnsi"/>
        </w:rPr>
        <w:t xml:space="preserve"> familiares</w:t>
      </w:r>
      <w:r w:rsidR="005C2AF8">
        <w:rPr>
          <w:rFonts w:cstheme="minorHAnsi"/>
        </w:rPr>
        <w:t>,</w:t>
      </w:r>
      <w:r w:rsidRPr="0051709F">
        <w:rPr>
          <w:rFonts w:cstheme="minorHAnsi"/>
        </w:rPr>
        <w:t xml:space="preserve"> piénsese, por ejemplo, en el caso de las familias monoparentales, que representan en nuestros días el 24% de las familias</w:t>
      </w:r>
      <w:r w:rsidR="00B5522C" w:rsidRPr="0051709F">
        <w:rPr>
          <w:rFonts w:cstheme="minorHAnsi"/>
        </w:rPr>
        <w:t xml:space="preserve"> españolas</w:t>
      </w:r>
      <w:r w:rsidRPr="0051709F">
        <w:rPr>
          <w:rFonts w:cstheme="minorHAnsi"/>
        </w:rPr>
        <w:t>.</w:t>
      </w:r>
    </w:p>
    <w:p w14:paraId="37FDD33C" w14:textId="77777777" w:rsidR="002E66D9" w:rsidRPr="0051709F" w:rsidRDefault="002E66D9" w:rsidP="00DA303F">
      <w:pPr>
        <w:jc w:val="both"/>
        <w:rPr>
          <w:rFonts w:cstheme="minorHAnsi"/>
        </w:rPr>
      </w:pPr>
    </w:p>
    <w:p w14:paraId="33BD7DC5" w14:textId="21A17AC4" w:rsidR="00F6291C" w:rsidRPr="0051709F" w:rsidRDefault="002E66D9" w:rsidP="0051709F">
      <w:pPr>
        <w:jc w:val="both"/>
        <w:rPr>
          <w:rFonts w:cstheme="minorHAnsi"/>
          <w:i/>
          <w:spacing w:val="-2"/>
        </w:rPr>
      </w:pPr>
      <w:r w:rsidRPr="0051709F">
        <w:rPr>
          <w:rFonts w:cstheme="minorHAnsi"/>
        </w:rPr>
        <w:t xml:space="preserve">De tal manera que, si se atiende a la </w:t>
      </w:r>
      <w:r w:rsidRPr="0051709F">
        <w:rPr>
          <w:rFonts w:cstheme="minorHAnsi"/>
          <w:i/>
        </w:rPr>
        <w:t>Encuesta de Hábitos Deportivos en España (EHDE)</w:t>
      </w:r>
      <w:r w:rsidRPr="0051709F">
        <w:rPr>
          <w:rStyle w:val="Refdenotaalpie"/>
          <w:rFonts w:cstheme="minorHAnsi"/>
        </w:rPr>
        <w:footnoteReference w:id="5"/>
      </w:r>
      <w:r w:rsidRPr="0051709F">
        <w:rPr>
          <w:rFonts w:cstheme="minorHAnsi"/>
        </w:rPr>
        <w:t>, es fácil comprobar que esa inactividad física en las ocupaciones diarias, los desplazamientos y la sobrecarga de tareas, conduce</w:t>
      </w:r>
      <w:r w:rsidR="00B5522C" w:rsidRPr="0051709F">
        <w:rPr>
          <w:rFonts w:cstheme="minorHAnsi"/>
        </w:rPr>
        <w:t>n</w:t>
      </w:r>
      <w:r w:rsidRPr="0051709F">
        <w:rPr>
          <w:rFonts w:cstheme="minorHAnsi"/>
        </w:rPr>
        <w:t xml:space="preserve"> a </w:t>
      </w:r>
      <w:r w:rsidR="005C2AF8">
        <w:rPr>
          <w:rFonts w:cstheme="minorHAnsi"/>
        </w:rPr>
        <w:t>las personas a</w:t>
      </w:r>
      <w:r w:rsidRPr="0051709F">
        <w:rPr>
          <w:rFonts w:cstheme="minorHAnsi"/>
        </w:rPr>
        <w:t xml:space="preserve"> un círculo vicioso de inactividad física del que es difícil salir. Los datos sobre los </w:t>
      </w:r>
      <w:r w:rsidRPr="0051709F">
        <w:rPr>
          <w:rFonts w:cstheme="minorHAnsi"/>
          <w:b/>
        </w:rPr>
        <w:t>motivos que esgrimen quienes no realizan deporte</w:t>
      </w:r>
      <w:r w:rsidRPr="0051709F">
        <w:rPr>
          <w:rFonts w:cstheme="minorHAnsi"/>
        </w:rPr>
        <w:t xml:space="preserve"> evidencian que en torno al 70% de las personas aluden</w:t>
      </w:r>
      <w:r w:rsidR="005C2AF8">
        <w:rPr>
          <w:rFonts w:cstheme="minorHAnsi"/>
        </w:rPr>
        <w:t xml:space="preserve"> a</w:t>
      </w:r>
      <w:r w:rsidRPr="0051709F">
        <w:rPr>
          <w:rFonts w:cstheme="minorHAnsi"/>
        </w:rPr>
        <w:t xml:space="preserve"> “salir cansad</w:t>
      </w:r>
      <w:r w:rsidR="00B5522C" w:rsidRPr="0051709F">
        <w:rPr>
          <w:rFonts w:cstheme="minorHAnsi"/>
        </w:rPr>
        <w:t>a</w:t>
      </w:r>
      <w:r w:rsidRPr="0051709F">
        <w:rPr>
          <w:rFonts w:cstheme="minorHAnsi"/>
        </w:rPr>
        <w:t xml:space="preserve">s o tarde del trabajo” o “no tener tiempo” (36% y 35% respectivamente). Otro tipo de motivos tienen menos peso, destacando solo la falta de interés o de gusto por el deporte, que refieren </w:t>
      </w:r>
      <w:r w:rsidR="00B5522C" w:rsidRPr="0051709F">
        <w:rPr>
          <w:rFonts w:cstheme="minorHAnsi"/>
        </w:rPr>
        <w:t>una cuarta parte</w:t>
      </w:r>
      <w:r w:rsidRPr="0051709F">
        <w:rPr>
          <w:rFonts w:cstheme="minorHAnsi"/>
        </w:rPr>
        <w:t xml:space="preserve"> de las personas que no realizan deporte</w:t>
      </w:r>
      <w:r w:rsidR="005C2AF8">
        <w:rPr>
          <w:rFonts w:cstheme="minorHAnsi"/>
        </w:rPr>
        <w:t>, el</w:t>
      </w:r>
      <w:r w:rsidR="00B5522C" w:rsidRPr="0051709F">
        <w:rPr>
          <w:rFonts w:cstheme="minorHAnsi"/>
        </w:rPr>
        <w:t>26%</w:t>
      </w:r>
      <w:r w:rsidR="00DA303F" w:rsidRPr="0051709F">
        <w:rPr>
          <w:rFonts w:cstheme="minorHAnsi"/>
        </w:rPr>
        <w:t xml:space="preserve"> (ver gráfico 7)</w:t>
      </w:r>
      <w:r w:rsidRPr="0051709F">
        <w:rPr>
          <w:rFonts w:cstheme="minorHAnsi"/>
        </w:rPr>
        <w:t>.</w:t>
      </w:r>
    </w:p>
    <w:p w14:paraId="1E387A4F" w14:textId="77777777" w:rsidR="002E66D9" w:rsidRPr="0051709F" w:rsidRDefault="002E66D9" w:rsidP="002E66D9">
      <w:pPr>
        <w:spacing w:after="80"/>
        <w:jc w:val="both"/>
        <w:rPr>
          <w:rFonts w:cstheme="minorHAnsi"/>
        </w:rPr>
      </w:pPr>
      <w:r w:rsidRPr="0051709F">
        <w:rPr>
          <w:rFonts w:cstheme="minorHAnsi"/>
          <w:noProof/>
          <w:lang w:val="en-GB" w:eastAsia="en-GB"/>
        </w:rPr>
        <w:lastRenderedPageBreak/>
        <w:drawing>
          <wp:inline distT="0" distB="0" distL="0" distR="0" wp14:anchorId="4662C11C" wp14:editId="6869C40B">
            <wp:extent cx="5400040" cy="3441954"/>
            <wp:effectExtent l="0" t="0" r="0" b="635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8B94F2" w14:textId="77777777" w:rsidR="00F6291C" w:rsidRPr="0051709F" w:rsidRDefault="00F6291C" w:rsidP="00F6291C">
      <w:pPr>
        <w:spacing w:after="120"/>
        <w:jc w:val="center"/>
        <w:rPr>
          <w:rFonts w:cstheme="minorHAnsi"/>
          <w:i/>
          <w:spacing w:val="-2"/>
        </w:rPr>
      </w:pPr>
    </w:p>
    <w:p w14:paraId="2FA77D2E" w14:textId="71C5639E" w:rsidR="00F6291C" w:rsidRPr="007B667D" w:rsidRDefault="00F6291C" w:rsidP="00F6291C">
      <w:pPr>
        <w:spacing w:after="120"/>
        <w:jc w:val="center"/>
        <w:rPr>
          <w:rFonts w:cstheme="minorHAnsi"/>
          <w:i/>
          <w:spacing w:val="-2"/>
          <w:sz w:val="22"/>
          <w:szCs w:val="22"/>
        </w:rPr>
      </w:pPr>
      <w:r w:rsidRPr="007B667D">
        <w:rPr>
          <w:rFonts w:cstheme="minorHAnsi"/>
          <w:i/>
          <w:spacing w:val="-2"/>
          <w:sz w:val="22"/>
          <w:szCs w:val="22"/>
        </w:rPr>
        <w:t>Gráfico 7. Razones por las que no se practica deporte (2000 al 2022)</w:t>
      </w:r>
      <w:r w:rsidRPr="007B667D">
        <w:rPr>
          <w:rStyle w:val="Refdenotaalpie"/>
          <w:rFonts w:cstheme="minorHAnsi"/>
          <w:spacing w:val="-2"/>
          <w:sz w:val="22"/>
          <w:szCs w:val="22"/>
        </w:rPr>
        <w:footnoteReference w:id="6"/>
      </w:r>
    </w:p>
    <w:p w14:paraId="77B8EFCE" w14:textId="77777777" w:rsidR="002E66D9" w:rsidRPr="007B667D" w:rsidRDefault="002E66D9" w:rsidP="00F6291C">
      <w:pPr>
        <w:spacing w:before="120" w:after="80"/>
        <w:jc w:val="center"/>
        <w:rPr>
          <w:rFonts w:cstheme="minorHAnsi"/>
          <w:sz w:val="22"/>
          <w:szCs w:val="22"/>
        </w:rPr>
      </w:pPr>
      <w:r w:rsidRPr="007B667D">
        <w:rPr>
          <w:rFonts w:cstheme="minorHAnsi"/>
          <w:sz w:val="22"/>
          <w:szCs w:val="22"/>
        </w:rPr>
        <w:t>Fuente: Elaboración propia a partir de la Encuesta de Hábitos Deportivos en España (2023).</w:t>
      </w:r>
    </w:p>
    <w:p w14:paraId="0CD49A24" w14:textId="77777777" w:rsidR="002E66D9" w:rsidRPr="0051709F" w:rsidRDefault="002E66D9" w:rsidP="00DA303F">
      <w:pPr>
        <w:jc w:val="both"/>
        <w:rPr>
          <w:rFonts w:cstheme="minorHAnsi"/>
        </w:rPr>
      </w:pPr>
    </w:p>
    <w:p w14:paraId="0DFDC59B" w14:textId="5AD91591" w:rsidR="002E66D9" w:rsidRPr="0051709F" w:rsidRDefault="002E66D9" w:rsidP="00DA303F">
      <w:pPr>
        <w:jc w:val="both"/>
        <w:rPr>
          <w:rFonts w:cstheme="minorHAnsi"/>
        </w:rPr>
      </w:pPr>
      <w:r w:rsidRPr="0051709F">
        <w:rPr>
          <w:rFonts w:cstheme="minorHAnsi"/>
        </w:rPr>
        <w:t xml:space="preserve">Estas repercusiones señaladas sobre nuestros estilos de vida </w:t>
      </w:r>
      <w:r w:rsidR="005C2AF8">
        <w:rPr>
          <w:rFonts w:cstheme="minorHAnsi"/>
        </w:rPr>
        <w:t>obligan a establecer como reto el afianzamiento de</w:t>
      </w:r>
      <w:r w:rsidRPr="0051709F">
        <w:rPr>
          <w:rFonts w:cstheme="minorHAnsi"/>
        </w:rPr>
        <w:t xml:space="preserve"> un modelo de vida que exija un menor número de desplazamientos diarios</w:t>
      </w:r>
      <w:r w:rsidR="005C2AF8">
        <w:rPr>
          <w:rFonts w:cstheme="minorHAnsi"/>
        </w:rPr>
        <w:t>,</w:t>
      </w:r>
      <w:r w:rsidRPr="0051709F">
        <w:rPr>
          <w:rFonts w:cstheme="minorHAnsi"/>
        </w:rPr>
        <w:t xml:space="preserve"> </w:t>
      </w:r>
      <w:r w:rsidR="005C2AF8">
        <w:rPr>
          <w:rFonts w:cstheme="minorHAnsi"/>
        </w:rPr>
        <w:t>que</w:t>
      </w:r>
      <w:r w:rsidRPr="0051709F">
        <w:rPr>
          <w:rFonts w:cstheme="minorHAnsi"/>
        </w:rPr>
        <w:t xml:space="preserve"> nos roba</w:t>
      </w:r>
      <w:r w:rsidR="005C2AF8">
        <w:rPr>
          <w:rFonts w:cstheme="minorHAnsi"/>
        </w:rPr>
        <w:t>n</w:t>
      </w:r>
      <w:r w:rsidRPr="0051709F">
        <w:rPr>
          <w:rFonts w:cstheme="minorHAnsi"/>
        </w:rPr>
        <w:t xml:space="preserve"> el tiempo de nuestra vida y merma nuestra energía,</w:t>
      </w:r>
      <w:r w:rsidR="005C2AF8">
        <w:rPr>
          <w:rFonts w:cstheme="minorHAnsi"/>
        </w:rPr>
        <w:t xml:space="preserve"> y</w:t>
      </w:r>
      <w:r w:rsidRPr="0051709F">
        <w:rPr>
          <w:rFonts w:cstheme="minorHAnsi"/>
        </w:rPr>
        <w:t xml:space="preserve"> que además propicie una movilidad más sostenible para nuestra salud, es decir, que incentive los circuitos cortos y la movilidad física. Y, junto a lo anterior,</w:t>
      </w:r>
      <w:r w:rsidR="005C2AF8">
        <w:rPr>
          <w:rFonts w:cstheme="minorHAnsi"/>
        </w:rPr>
        <w:t xml:space="preserve"> es preciso interpelar al conjunto de </w:t>
      </w:r>
      <w:r w:rsidR="00B81306">
        <w:rPr>
          <w:rFonts w:cstheme="minorHAnsi"/>
        </w:rPr>
        <w:t xml:space="preserve">la sociedad sobre </w:t>
      </w:r>
      <w:r w:rsidRPr="0051709F">
        <w:rPr>
          <w:rFonts w:cstheme="minorHAnsi"/>
        </w:rPr>
        <w:t>cómo podemos incorporar en el ámbito del trabajo pautas que añadan valor y reconocimiento a la ejercitación físic</w:t>
      </w:r>
      <w:r w:rsidR="00B5522C" w:rsidRPr="0051709F">
        <w:rPr>
          <w:rFonts w:cstheme="minorHAnsi"/>
        </w:rPr>
        <w:t>o-deportiva</w:t>
      </w:r>
      <w:r w:rsidRPr="0051709F">
        <w:rPr>
          <w:rFonts w:cstheme="minorHAnsi"/>
        </w:rPr>
        <w:t>, donde la jornada transcurre mayormente sentad</w:t>
      </w:r>
      <w:r w:rsidR="00B5522C" w:rsidRPr="0051709F">
        <w:rPr>
          <w:rFonts w:cstheme="minorHAnsi"/>
        </w:rPr>
        <w:t>a</w:t>
      </w:r>
      <w:r w:rsidRPr="0051709F">
        <w:rPr>
          <w:rFonts w:cstheme="minorHAnsi"/>
        </w:rPr>
        <w:t xml:space="preserve"> o de pie sin esfuerzo, causando cansancio físico y psíquico. </w:t>
      </w:r>
      <w:r w:rsidR="00B5522C" w:rsidRPr="0051709F">
        <w:rPr>
          <w:rFonts w:cstheme="minorHAnsi"/>
        </w:rPr>
        <w:t>Circunstancias sobre las que en la presente E</w:t>
      </w:r>
      <w:r w:rsidRPr="0051709F">
        <w:rPr>
          <w:rFonts w:cstheme="minorHAnsi"/>
        </w:rPr>
        <w:t xml:space="preserve">strategia </w:t>
      </w:r>
      <w:r w:rsidR="00B5522C" w:rsidRPr="0051709F">
        <w:rPr>
          <w:rFonts w:cstheme="minorHAnsi"/>
        </w:rPr>
        <w:t>N</w:t>
      </w:r>
      <w:r w:rsidRPr="0051709F">
        <w:rPr>
          <w:rFonts w:cstheme="minorHAnsi"/>
        </w:rPr>
        <w:t xml:space="preserve">acional </w:t>
      </w:r>
      <w:r w:rsidR="00B5522C" w:rsidRPr="0051709F">
        <w:rPr>
          <w:rFonts w:cstheme="minorHAnsi"/>
        </w:rPr>
        <w:t xml:space="preserve">para el Fomento del Deporte </w:t>
      </w:r>
      <w:r w:rsidRPr="0051709F">
        <w:rPr>
          <w:rFonts w:cstheme="minorHAnsi"/>
        </w:rPr>
        <w:t xml:space="preserve">contra </w:t>
      </w:r>
      <w:r w:rsidR="00B5522C" w:rsidRPr="0051709F">
        <w:rPr>
          <w:rFonts w:cstheme="minorHAnsi"/>
        </w:rPr>
        <w:t xml:space="preserve">el Sedentarismo y </w:t>
      </w:r>
      <w:r w:rsidRPr="0051709F">
        <w:rPr>
          <w:rFonts w:cstheme="minorHAnsi"/>
        </w:rPr>
        <w:t xml:space="preserve">la </w:t>
      </w:r>
      <w:r w:rsidR="00B5522C" w:rsidRPr="0051709F">
        <w:rPr>
          <w:rFonts w:cstheme="minorHAnsi"/>
        </w:rPr>
        <w:t>I</w:t>
      </w:r>
      <w:r w:rsidRPr="0051709F">
        <w:rPr>
          <w:rFonts w:cstheme="minorHAnsi"/>
        </w:rPr>
        <w:t xml:space="preserve">nactividad </w:t>
      </w:r>
      <w:r w:rsidR="00B5522C" w:rsidRPr="0051709F">
        <w:rPr>
          <w:rFonts w:cstheme="minorHAnsi"/>
        </w:rPr>
        <w:t>F</w:t>
      </w:r>
      <w:r w:rsidRPr="0051709F">
        <w:rPr>
          <w:rFonts w:cstheme="minorHAnsi"/>
        </w:rPr>
        <w:t xml:space="preserve">ísica se </w:t>
      </w:r>
      <w:r w:rsidR="00B5522C" w:rsidRPr="0051709F">
        <w:rPr>
          <w:rFonts w:cstheme="minorHAnsi"/>
        </w:rPr>
        <w:t>intenta</w:t>
      </w:r>
      <w:r w:rsidRPr="0051709F">
        <w:rPr>
          <w:rFonts w:cstheme="minorHAnsi"/>
        </w:rPr>
        <w:t xml:space="preserve"> dar respuesta y solución mediante sendas propuestas para la acción pública.</w:t>
      </w:r>
    </w:p>
    <w:p w14:paraId="1633B27B" w14:textId="77777777" w:rsidR="00DA303F" w:rsidRPr="0051709F" w:rsidRDefault="00DA303F" w:rsidP="00DA303F">
      <w:pPr>
        <w:jc w:val="both"/>
        <w:rPr>
          <w:rFonts w:cstheme="minorHAnsi"/>
        </w:rPr>
      </w:pPr>
    </w:p>
    <w:p w14:paraId="0BCF115D" w14:textId="3C7506F9" w:rsidR="00DA303F" w:rsidRPr="0051709F" w:rsidRDefault="00DA303F" w:rsidP="00F6291C">
      <w:pPr>
        <w:pStyle w:val="Ttulo2"/>
        <w:numPr>
          <w:ilvl w:val="0"/>
          <w:numId w:val="0"/>
        </w:numPr>
        <w:ind w:left="576" w:hanging="576"/>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Repercusiones de los cambios sociodemográficos, socioeconómicos, culturales y territoriales sobre la práctica del deporte</w:t>
      </w:r>
    </w:p>
    <w:p w14:paraId="21D9E372" w14:textId="77777777" w:rsidR="00DA303F" w:rsidRPr="0051709F" w:rsidRDefault="00DA303F" w:rsidP="00DA303F">
      <w:pPr>
        <w:jc w:val="both"/>
        <w:rPr>
          <w:rFonts w:cstheme="minorHAnsi"/>
        </w:rPr>
      </w:pPr>
    </w:p>
    <w:p w14:paraId="30016C7E" w14:textId="072A4C0E" w:rsidR="00DA303F" w:rsidRPr="0051709F" w:rsidRDefault="00DA303F" w:rsidP="00DA303F">
      <w:pPr>
        <w:jc w:val="both"/>
        <w:rPr>
          <w:rFonts w:cstheme="minorHAnsi"/>
        </w:rPr>
      </w:pPr>
      <w:r w:rsidRPr="0051709F">
        <w:rPr>
          <w:rFonts w:cstheme="minorHAnsi"/>
        </w:rPr>
        <w:t xml:space="preserve">El presente apartado complementa al anterior </w:t>
      </w:r>
      <w:r w:rsidR="00B81306">
        <w:rPr>
          <w:rFonts w:cstheme="minorHAnsi"/>
        </w:rPr>
        <w:t>insistiendo en e</w:t>
      </w:r>
      <w:r w:rsidRPr="0051709F">
        <w:rPr>
          <w:rFonts w:cstheme="minorHAnsi"/>
        </w:rPr>
        <w:t xml:space="preserve">l análisis sociodemográfico, socioeconómico, cultural y territorial de la sociedad española, </w:t>
      </w:r>
      <w:r w:rsidR="00B81306">
        <w:rPr>
          <w:rFonts w:cstheme="minorHAnsi"/>
        </w:rPr>
        <w:t xml:space="preserve">con </w:t>
      </w:r>
      <w:r w:rsidRPr="0051709F">
        <w:rPr>
          <w:rFonts w:cstheme="minorHAnsi"/>
        </w:rPr>
        <w:t xml:space="preserve">el propósito de desarrollar una estrategia nacional contra la inactividad física y el </w:t>
      </w:r>
      <w:r w:rsidRPr="0051709F">
        <w:rPr>
          <w:rFonts w:cstheme="minorHAnsi"/>
        </w:rPr>
        <w:lastRenderedPageBreak/>
        <w:t xml:space="preserve">sedentarismo en España. </w:t>
      </w:r>
      <w:r w:rsidR="00B81306">
        <w:rPr>
          <w:rFonts w:cstheme="minorHAnsi"/>
        </w:rPr>
        <w:t xml:space="preserve">A continuación, se pone </w:t>
      </w:r>
      <w:r w:rsidRPr="0051709F">
        <w:rPr>
          <w:rFonts w:cstheme="minorHAnsi"/>
        </w:rPr>
        <w:t xml:space="preserve">en relación los aspectos analizados previamente con las consecuencias </w:t>
      </w:r>
      <w:r w:rsidR="00B81306">
        <w:rPr>
          <w:rFonts w:cstheme="minorHAnsi"/>
        </w:rPr>
        <w:t>e</w:t>
      </w:r>
      <w:r w:rsidRPr="0051709F">
        <w:rPr>
          <w:rFonts w:cstheme="minorHAnsi"/>
        </w:rPr>
        <w:t xml:space="preserve">n la participación deportiva de la sociedad. Cómo ha evolucionado la participación deportiva, qué modelo deportivo ha imperado, qué brechas sociales se identifican en la práctica deportiva y cómo han cambiado los gustos e intereses deportivos de la población española, son </w:t>
      </w:r>
      <w:r w:rsidR="00B81306">
        <w:rPr>
          <w:rFonts w:cstheme="minorHAnsi"/>
        </w:rPr>
        <w:t xml:space="preserve">todas ellas </w:t>
      </w:r>
      <w:r w:rsidRPr="0051709F">
        <w:rPr>
          <w:rFonts w:cstheme="minorHAnsi"/>
        </w:rPr>
        <w:t xml:space="preserve">preguntas cuyas respuestas nos ofrecerán claves de utilidad pública para afinar </w:t>
      </w:r>
      <w:r w:rsidR="00B81306">
        <w:rPr>
          <w:rFonts w:cstheme="minorHAnsi"/>
        </w:rPr>
        <w:t>esta</w:t>
      </w:r>
      <w:r w:rsidRPr="0051709F">
        <w:rPr>
          <w:rFonts w:cstheme="minorHAnsi"/>
        </w:rPr>
        <w:t xml:space="preserve"> Estrategia Nacional.</w:t>
      </w:r>
    </w:p>
    <w:p w14:paraId="5CED39BA" w14:textId="77777777" w:rsidR="00DA303F" w:rsidRPr="0051709F" w:rsidRDefault="00DA303F" w:rsidP="00DA303F">
      <w:pPr>
        <w:jc w:val="both"/>
        <w:rPr>
          <w:rFonts w:cstheme="minorHAnsi"/>
        </w:rPr>
      </w:pPr>
    </w:p>
    <w:p w14:paraId="562C2867" w14:textId="73B42954" w:rsidR="00DA303F" w:rsidRPr="0051709F" w:rsidRDefault="00DA303F" w:rsidP="00DA303F">
      <w:pPr>
        <w:jc w:val="both"/>
        <w:rPr>
          <w:rFonts w:cstheme="minorHAnsi"/>
        </w:rPr>
      </w:pPr>
      <w:r w:rsidRPr="0051709F">
        <w:rPr>
          <w:rFonts w:cstheme="minorHAnsi"/>
        </w:rPr>
        <w:t xml:space="preserve">Comenzando con la evolución de la práctica deportiva en España desde que contamos con cifras oficiales en 1975 (ver gráfico 8), </w:t>
      </w:r>
      <w:r w:rsidR="00B654CE" w:rsidRPr="0051709F">
        <w:rPr>
          <w:rFonts w:cstheme="minorHAnsi"/>
        </w:rPr>
        <w:t>Otero y Ferrando</w:t>
      </w:r>
      <w:r w:rsidRPr="0051709F">
        <w:rPr>
          <w:rFonts w:cstheme="minorHAnsi"/>
        </w:rPr>
        <w:t xml:space="preserve"> (1998) consideran que la transición democrática y, en particular, la Constitución Española de 1978, ejercieron un papel decisivo en la difusión del deporte en España, al ofrecer la oportunidad de que esta actividad dejara de ser un privilegio de la minoría social. En el Capítulo Tercero del Título I de la Constitución Española (artículo 43.3) se señalaba que “los poderes públicos fomentarán la educación sanitaria, la educación física y el deporte”. El proceso democrático supuso un revulsivo en muchos campos sociales, inclu</w:t>
      </w:r>
      <w:r w:rsidR="00B81306">
        <w:rPr>
          <w:rFonts w:cstheme="minorHAnsi"/>
        </w:rPr>
        <w:t>ido</w:t>
      </w:r>
      <w:r w:rsidRPr="0051709F">
        <w:rPr>
          <w:rFonts w:cstheme="minorHAnsi"/>
        </w:rPr>
        <w:t xml:space="preserve"> el del deporte, que no se encontró ajeno a este clima de cambio y </w:t>
      </w:r>
      <w:r w:rsidR="00B81306">
        <w:rPr>
          <w:rFonts w:cstheme="minorHAnsi"/>
        </w:rPr>
        <w:t>moderniza</w:t>
      </w:r>
      <w:r w:rsidR="00B81306" w:rsidRPr="0051709F">
        <w:rPr>
          <w:rFonts w:cstheme="minorHAnsi"/>
        </w:rPr>
        <w:t>ción</w:t>
      </w:r>
      <w:r w:rsidRPr="0051709F">
        <w:rPr>
          <w:rFonts w:cstheme="minorHAnsi"/>
        </w:rPr>
        <w:t>. Según algunos autores (Ibid. 37) “se pretendía ampliar las bases del deporte popular, facilitar la práctica deportiva del mayor número posible de personas en instalaciones apropiadas; se aspiraba a universalizar la enseñanza y la práctica de la educación física y el deporte en la escuela, y todo ello desde la consideración del deporte como un derecho ciudadano, un servicio público”. A partir de ese momento se iría normalizando la situación deportiva en España.</w:t>
      </w:r>
    </w:p>
    <w:p w14:paraId="44459BF5" w14:textId="77777777" w:rsidR="00DA303F" w:rsidRPr="0051709F" w:rsidRDefault="00DA303F" w:rsidP="00DA303F">
      <w:pPr>
        <w:jc w:val="both"/>
        <w:rPr>
          <w:rFonts w:cstheme="minorHAnsi"/>
        </w:rPr>
      </w:pPr>
    </w:p>
    <w:p w14:paraId="0C12AB3F" w14:textId="77777777" w:rsidR="00F6291C" w:rsidRPr="0051709F" w:rsidRDefault="00F6291C" w:rsidP="00DA303F">
      <w:pPr>
        <w:jc w:val="both"/>
        <w:rPr>
          <w:rFonts w:cstheme="minorHAnsi"/>
        </w:rPr>
      </w:pPr>
    </w:p>
    <w:p w14:paraId="7BA6E77F" w14:textId="77777777" w:rsidR="00DA303F" w:rsidRPr="0051709F" w:rsidRDefault="00DA303F" w:rsidP="00DA303F">
      <w:pPr>
        <w:spacing w:after="80"/>
        <w:jc w:val="both"/>
        <w:rPr>
          <w:rFonts w:cstheme="minorHAnsi"/>
        </w:rPr>
      </w:pPr>
      <w:r w:rsidRPr="0051709F">
        <w:rPr>
          <w:rFonts w:cstheme="minorHAnsi"/>
          <w:noProof/>
          <w:lang w:val="en-GB" w:eastAsia="en-GB"/>
        </w:rPr>
        <mc:AlternateContent>
          <mc:Choice Requires="wps">
            <w:drawing>
              <wp:anchor distT="0" distB="0" distL="114300" distR="114300" simplePos="0" relativeHeight="251669504" behindDoc="0" locked="0" layoutInCell="1" allowOverlap="1" wp14:anchorId="0203E19A" wp14:editId="69F29248">
                <wp:simplePos x="0" y="0"/>
                <wp:positionH relativeFrom="column">
                  <wp:posOffset>1021620</wp:posOffset>
                </wp:positionH>
                <wp:positionV relativeFrom="paragraph">
                  <wp:posOffset>387066</wp:posOffset>
                </wp:positionV>
                <wp:extent cx="900288" cy="2737361"/>
                <wp:effectExtent l="0" t="0" r="14605" b="44450"/>
                <wp:wrapNone/>
                <wp:docPr id="2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288" cy="2737361"/>
                        </a:xfrm>
                        <a:prstGeom prst="downArrowCallout">
                          <a:avLst>
                            <a:gd name="adj1" fmla="val 1907"/>
                            <a:gd name="adj2" fmla="val 19185"/>
                            <a:gd name="adj3" fmla="val 21356"/>
                            <a:gd name="adj4" fmla="val 37041"/>
                          </a:avLst>
                        </a:prstGeom>
                        <a:solidFill>
                          <a:srgbClr val="F2F2F2">
                            <a:alpha val="45000"/>
                          </a:srgbClr>
                        </a:solidFill>
                        <a:ln w="9525">
                          <a:solidFill>
                            <a:srgbClr val="7F7F7F"/>
                          </a:solidFill>
                          <a:miter lim="800000"/>
                          <a:headEnd/>
                          <a:tailEnd/>
                        </a:ln>
                      </wps:spPr>
                      <wps:txbx>
                        <w:txbxContent>
                          <w:p w14:paraId="04BA3FB4"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Ley 13/1980 de La Cultura Física Y El Deporte</w:t>
                            </w:r>
                          </w:p>
                          <w:p w14:paraId="782A878C" w14:textId="77777777" w:rsidR="008A069C" w:rsidRPr="00DA303F" w:rsidRDefault="008A069C" w:rsidP="00DA303F">
                            <w:pPr>
                              <w:pStyle w:val="NormalWeb"/>
                              <w:kinsoku w:val="0"/>
                              <w:overflowPunct w:val="0"/>
                              <w:spacing w:before="0" w:beforeAutospacing="0" w:after="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 xml:space="preserve">Campañas de Deporte para Todos </w:t>
                            </w:r>
                          </w:p>
                          <w:p w14:paraId="129EF7AE"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(1984-1985)</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3E19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 o:spid="_x0000_s1026" type="#_x0000_t80" style="position:absolute;left:0;text-align:left;margin-left:80.45pt;margin-top:30.5pt;width:70.9pt;height:215.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" adj="8001,6656,20083,10594" fillcolor="#f2f2f2" strokecolor="#7f7f7f">
                <v:fill opacity="29555f"/>
                <v:textbox>
                  <w:txbxContent>
                    <w:p w14:paraId="04BA3FB4"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Ley 13/1980 de La Cultura Física Y El Deporte</w:t>
                      </w:r>
                    </w:p>
                    <w:p w14:paraId="782A878C" w14:textId="77777777" w:rsidR="008A069C" w:rsidRPr="00DA303F" w:rsidRDefault="008A069C" w:rsidP="00DA303F">
                      <w:pPr>
                        <w:pStyle w:val="NormalWeb"/>
                        <w:kinsoku w:val="0"/>
                        <w:overflowPunct w:val="0"/>
                        <w:spacing w:before="0" w:beforeAutospacing="0" w:after="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 xml:space="preserve">Campañas de Deporte para Todos </w:t>
                      </w:r>
                    </w:p>
                    <w:p w14:paraId="129EF7AE"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(1984-1985)</w:t>
                      </w:r>
                    </w:p>
                  </w:txbxContent>
                </v:textbox>
              </v:shape>
            </w:pict>
          </mc:Fallback>
        </mc:AlternateContent>
      </w:r>
      <w:r w:rsidRPr="0051709F">
        <w:rPr>
          <w:rFonts w:cstheme="minorHAnsi"/>
          <w:noProof/>
          <w:lang w:val="en-GB" w:eastAsia="en-GB"/>
        </w:rPr>
        <mc:AlternateContent>
          <mc:Choice Requires="wps">
            <w:drawing>
              <wp:anchor distT="0" distB="0" distL="114300" distR="114300" simplePos="0" relativeHeight="251671552" behindDoc="0" locked="0" layoutInCell="1" allowOverlap="1" wp14:anchorId="19E2BCFC" wp14:editId="2A78DE73">
                <wp:simplePos x="0" y="0"/>
                <wp:positionH relativeFrom="column">
                  <wp:posOffset>3355387</wp:posOffset>
                </wp:positionH>
                <wp:positionV relativeFrom="paragraph">
                  <wp:posOffset>1656307</wp:posOffset>
                </wp:positionV>
                <wp:extent cx="784225" cy="1468120"/>
                <wp:effectExtent l="0" t="0" r="15875" b="36830"/>
                <wp:wrapNone/>
                <wp:docPr id="25"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225" cy="1468120"/>
                        </a:xfrm>
                        <a:prstGeom prst="downArrowCallout">
                          <a:avLst>
                            <a:gd name="adj1" fmla="val 0"/>
                            <a:gd name="adj2" fmla="val 19185"/>
                            <a:gd name="adj3" fmla="val 22032"/>
                            <a:gd name="adj4" fmla="val 68187"/>
                          </a:avLst>
                        </a:prstGeom>
                        <a:solidFill>
                          <a:srgbClr val="F2F2F2">
                            <a:alpha val="45000"/>
                          </a:srgbClr>
                        </a:solidFill>
                        <a:ln w="9525">
                          <a:solidFill>
                            <a:srgbClr val="7F7F7F"/>
                          </a:solidFill>
                          <a:miter lim="800000"/>
                          <a:headEnd/>
                          <a:tailEnd/>
                        </a:ln>
                      </wps:spPr>
                      <wps:txbx>
                        <w:txbxContent>
                          <w:p w14:paraId="7D4D944C"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 xml:space="preserve">Cambio del </w:t>
                            </w:r>
                            <w:r w:rsidRPr="00DA303F">
                              <w:rPr>
                                <w:rFonts w:asciiTheme="minorHAnsi" w:hAnsiTheme="minorHAnsi" w:cstheme="minorHAnsi"/>
                                <w:bCs/>
                                <w:i/>
                                <w:iCs/>
                                <w:color w:val="000000" w:themeColor="text1"/>
                                <w:sz w:val="15"/>
                                <w:szCs w:val="15"/>
                              </w:rPr>
                              <w:t>Modelo Informal</w:t>
                            </w:r>
                          </w:p>
                          <w:p w14:paraId="243F1D06"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Explosión del deporte salud y el deporte al aire libre</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2BCFC" id="AutoShape 3" o:spid="_x0000_s1027" type="#_x0000_t80" style="position:absolute;left:0;text-align:left;margin-left:264.2pt;margin-top:130.4pt;width:61.75pt;height:11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" adj="14728,6656,19058,10800" fillcolor="#f2f2f2" strokecolor="#7f7f7f">
                <v:fill opacity="29555f"/>
                <v:textbox>
                  <w:txbxContent>
                    <w:p w14:paraId="7D4D944C"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 xml:space="preserve">Cambio del </w:t>
                      </w:r>
                      <w:r w:rsidRPr="00DA303F">
                        <w:rPr>
                          <w:rFonts w:asciiTheme="minorHAnsi" w:hAnsiTheme="minorHAnsi" w:cstheme="minorHAnsi"/>
                          <w:bCs/>
                          <w:i/>
                          <w:iCs/>
                          <w:color w:val="000000" w:themeColor="text1"/>
                          <w:sz w:val="15"/>
                          <w:szCs w:val="15"/>
                        </w:rPr>
                        <w:t>Modelo Informal</w:t>
                      </w:r>
                    </w:p>
                    <w:p w14:paraId="243F1D06"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Explosión del deporte salud y el deporte al aire libre</w:t>
                      </w:r>
                    </w:p>
                  </w:txbxContent>
                </v:textbox>
              </v:shape>
            </w:pict>
          </mc:Fallback>
        </mc:AlternateContent>
      </w:r>
      <w:r w:rsidRPr="0051709F">
        <w:rPr>
          <w:rFonts w:cstheme="minorHAnsi"/>
          <w:noProof/>
          <w:lang w:val="en-GB" w:eastAsia="en-GB"/>
        </w:rPr>
        <mc:AlternateContent>
          <mc:Choice Requires="wps">
            <w:drawing>
              <wp:anchor distT="0" distB="0" distL="114300" distR="114300" simplePos="0" relativeHeight="251670528" behindDoc="0" locked="0" layoutInCell="1" allowOverlap="1" wp14:anchorId="79FA9F84" wp14:editId="1EC67E92">
                <wp:simplePos x="0" y="0"/>
                <wp:positionH relativeFrom="column">
                  <wp:posOffset>2010903</wp:posOffset>
                </wp:positionH>
                <wp:positionV relativeFrom="paragraph">
                  <wp:posOffset>386715</wp:posOffset>
                </wp:positionV>
                <wp:extent cx="818866" cy="2735580"/>
                <wp:effectExtent l="0" t="0" r="19685" b="45720"/>
                <wp:wrapNone/>
                <wp:docPr id="2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8866" cy="2735580"/>
                        </a:xfrm>
                        <a:prstGeom prst="downArrowCallout">
                          <a:avLst>
                            <a:gd name="adj1" fmla="val 1907"/>
                            <a:gd name="adj2" fmla="val 19185"/>
                            <a:gd name="adj3" fmla="val 22032"/>
                            <a:gd name="adj4" fmla="val 37090"/>
                          </a:avLst>
                        </a:prstGeom>
                        <a:solidFill>
                          <a:srgbClr val="F2F2F2">
                            <a:alpha val="45000"/>
                          </a:srgbClr>
                        </a:solidFill>
                        <a:ln w="9525">
                          <a:solidFill>
                            <a:srgbClr val="7F7F7F"/>
                          </a:solidFill>
                          <a:miter lim="800000"/>
                          <a:headEnd/>
                          <a:tailEnd/>
                        </a:ln>
                      </wps:spPr>
                      <wps:txbx>
                        <w:txbxContent>
                          <w:p w14:paraId="2866AECE"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Ley 10/1990 del Deporte</w:t>
                            </w:r>
                          </w:p>
                          <w:p w14:paraId="064CCF5C"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Juegos Olímpicos de Barcelona (1992)</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9F84" id="_x0000_s1028" type="#_x0000_t80" style="position:absolute;left:0;text-align:left;margin-left:158.35pt;margin-top:30.45pt;width:64.5pt;height:21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" adj="8011,6656,20175,10594" fillcolor="#f2f2f2" strokecolor="#7f7f7f">
                <v:fill opacity="29555f"/>
                <v:textbox>
                  <w:txbxContent>
                    <w:p w14:paraId="2866AECE"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Ley 10/1990 del Deporte</w:t>
                      </w:r>
                    </w:p>
                    <w:p w14:paraId="064CCF5C" w14:textId="77777777" w:rsidR="008A069C" w:rsidRPr="00DA303F" w:rsidRDefault="008A069C" w:rsidP="00DA303F">
                      <w:pPr>
                        <w:pStyle w:val="NormalWeb"/>
                        <w:kinsoku w:val="0"/>
                        <w:overflowPunct w:val="0"/>
                        <w:spacing w:before="0" w:beforeAutospacing="0" w:after="160" w:afterAutospacing="0"/>
                        <w:jc w:val="center"/>
                        <w:textAlignment w:val="baseline"/>
                        <w:rPr>
                          <w:rFonts w:asciiTheme="minorHAnsi" w:hAnsiTheme="minorHAnsi" w:cstheme="minorHAnsi"/>
                          <w:sz w:val="15"/>
                          <w:szCs w:val="15"/>
                        </w:rPr>
                      </w:pPr>
                      <w:r w:rsidRPr="00DA303F">
                        <w:rPr>
                          <w:rFonts w:asciiTheme="minorHAnsi" w:hAnsiTheme="minorHAnsi" w:cstheme="minorHAnsi"/>
                          <w:bCs/>
                          <w:color w:val="000000" w:themeColor="text1"/>
                          <w:sz w:val="15"/>
                          <w:szCs w:val="15"/>
                        </w:rPr>
                        <w:t>Juegos Olímpicos de Barcelona (1992)</w:t>
                      </w:r>
                    </w:p>
                  </w:txbxContent>
                </v:textbox>
              </v:shape>
            </w:pict>
          </mc:Fallback>
        </mc:AlternateContent>
      </w:r>
      <w:r w:rsidRPr="0051709F">
        <w:rPr>
          <w:rFonts w:cstheme="minorHAnsi"/>
          <w:noProof/>
          <w:lang w:val="en-GB" w:eastAsia="en-GB"/>
        </w:rPr>
        <w:drawing>
          <wp:inline distT="0" distB="0" distL="0" distR="0" wp14:anchorId="3FF26501" wp14:editId="05EEAC18">
            <wp:extent cx="5400040" cy="3402529"/>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AC8B6FA" w14:textId="77777777" w:rsidR="00F6291C" w:rsidRPr="0051709F" w:rsidRDefault="00F6291C" w:rsidP="00F6291C">
      <w:pPr>
        <w:jc w:val="center"/>
        <w:rPr>
          <w:rFonts w:cstheme="minorHAnsi"/>
          <w:i/>
        </w:rPr>
      </w:pPr>
    </w:p>
    <w:p w14:paraId="434046BC" w14:textId="13E672A4" w:rsidR="00F6291C" w:rsidRPr="007B667D" w:rsidRDefault="00F6291C" w:rsidP="00F6291C">
      <w:pPr>
        <w:jc w:val="center"/>
        <w:rPr>
          <w:rFonts w:cstheme="minorHAnsi"/>
          <w:i/>
          <w:sz w:val="22"/>
          <w:szCs w:val="22"/>
        </w:rPr>
      </w:pPr>
      <w:r w:rsidRPr="007B667D">
        <w:rPr>
          <w:rFonts w:cstheme="minorHAnsi"/>
          <w:i/>
          <w:sz w:val="22"/>
          <w:szCs w:val="22"/>
        </w:rPr>
        <w:t>Gráfico 8. Evolución de la Práctica Deportiva en España (1975 al 2022)</w:t>
      </w:r>
    </w:p>
    <w:p w14:paraId="4D0BFFA0" w14:textId="77777777" w:rsidR="00DA303F" w:rsidRPr="007B667D" w:rsidRDefault="00DA303F" w:rsidP="00F6291C">
      <w:pPr>
        <w:spacing w:before="120" w:after="80"/>
        <w:jc w:val="center"/>
        <w:rPr>
          <w:rFonts w:cstheme="minorHAnsi"/>
          <w:sz w:val="22"/>
          <w:szCs w:val="22"/>
        </w:rPr>
      </w:pPr>
      <w:r w:rsidRPr="007B667D">
        <w:rPr>
          <w:rFonts w:cstheme="minorHAnsi"/>
          <w:sz w:val="22"/>
          <w:szCs w:val="22"/>
        </w:rPr>
        <w:t>Fuente: Elaboración propia a partir de la Encuesta de Hábitos Deportivos en España (2023).</w:t>
      </w:r>
    </w:p>
    <w:p w14:paraId="605A8D24" w14:textId="77777777" w:rsidR="00DA303F" w:rsidRPr="0051709F" w:rsidRDefault="00DA303F" w:rsidP="00DA303F">
      <w:pPr>
        <w:spacing w:after="80"/>
        <w:jc w:val="both"/>
        <w:rPr>
          <w:rFonts w:cstheme="minorHAnsi"/>
        </w:rPr>
      </w:pPr>
    </w:p>
    <w:p w14:paraId="15911991" w14:textId="314E003A" w:rsidR="00DA303F" w:rsidRPr="0051709F" w:rsidRDefault="00DA303F" w:rsidP="00DA303F">
      <w:pPr>
        <w:jc w:val="both"/>
        <w:rPr>
          <w:rFonts w:cstheme="minorHAnsi"/>
        </w:rPr>
      </w:pPr>
      <w:r w:rsidRPr="0051709F">
        <w:rPr>
          <w:rFonts w:cstheme="minorHAnsi"/>
        </w:rPr>
        <w:lastRenderedPageBreak/>
        <w:t>En esos años, España pasó de tener 19.418 instalaciones deportivas en 1975 a 48.723 en 1986</w:t>
      </w:r>
      <w:r w:rsidR="00B81306">
        <w:rPr>
          <w:rFonts w:cstheme="minorHAnsi"/>
        </w:rPr>
        <w:t>, lo que supuso un</w:t>
      </w:r>
      <w:r w:rsidRPr="0051709F">
        <w:rPr>
          <w:rFonts w:cstheme="minorHAnsi"/>
        </w:rPr>
        <w:t xml:space="preserve"> incremento del 60%. En ese último año, además, el 32% de los centros educativos ya disponían de parte de esas instalaciones, según datos del Censo Nacional de Instalaciones Deportivas. En ese contexto</w:t>
      </w:r>
      <w:r w:rsidR="00B81306">
        <w:rPr>
          <w:rFonts w:cstheme="minorHAnsi"/>
        </w:rPr>
        <w:t>,</w:t>
      </w:r>
      <w:r w:rsidRPr="0051709F">
        <w:rPr>
          <w:rFonts w:cstheme="minorHAnsi"/>
        </w:rPr>
        <w:t xml:space="preserve"> se aplicaría una serie de medidas relacionadas con la Carta Europea del Deporte para Todos de 1975. Ésta </w:t>
      </w:r>
      <w:r w:rsidR="00B81306">
        <w:rPr>
          <w:rFonts w:cstheme="minorHAnsi"/>
        </w:rPr>
        <w:t>preveía</w:t>
      </w:r>
      <w:r w:rsidR="00B81306" w:rsidRPr="0051709F">
        <w:rPr>
          <w:rFonts w:cstheme="minorHAnsi"/>
        </w:rPr>
        <w:t xml:space="preserve"> </w:t>
      </w:r>
      <w:r w:rsidRPr="0051709F">
        <w:rPr>
          <w:rFonts w:cstheme="minorHAnsi"/>
        </w:rPr>
        <w:t>que la administración debía promocionar la actividad deportiva y la construcción de instalaciones deportivas, a través de los ayuntamientos y los centros educativos. Algo que se tradujo en el aumento de deportistas en un 11% entre 1980 y 1985</w:t>
      </w:r>
      <w:r w:rsidR="00B81306">
        <w:rPr>
          <w:rFonts w:cstheme="minorHAnsi"/>
        </w:rPr>
        <w:t>,</w:t>
      </w:r>
      <w:r w:rsidRPr="0051709F">
        <w:rPr>
          <w:rFonts w:cstheme="minorHAnsi"/>
        </w:rPr>
        <w:t xml:space="preserve"> </w:t>
      </w:r>
      <w:r w:rsidR="00B81306">
        <w:rPr>
          <w:rFonts w:cstheme="minorHAnsi"/>
        </w:rPr>
        <w:t xml:space="preserve">pasando de </w:t>
      </w:r>
      <w:r w:rsidRPr="0051709F">
        <w:rPr>
          <w:rFonts w:cstheme="minorHAnsi"/>
        </w:rPr>
        <w:t xml:space="preserve">un 25% </w:t>
      </w:r>
      <w:r w:rsidR="00B81306">
        <w:rPr>
          <w:rFonts w:cstheme="minorHAnsi"/>
        </w:rPr>
        <w:t>a</w:t>
      </w:r>
      <w:r w:rsidRPr="0051709F">
        <w:rPr>
          <w:rFonts w:cstheme="minorHAnsi"/>
        </w:rPr>
        <w:t xml:space="preserve"> un 34. </w:t>
      </w:r>
    </w:p>
    <w:p w14:paraId="7A8E7A02" w14:textId="77777777" w:rsidR="00DA303F" w:rsidRPr="0051709F" w:rsidRDefault="00DA303F" w:rsidP="00DA303F">
      <w:pPr>
        <w:jc w:val="both"/>
        <w:rPr>
          <w:rFonts w:cstheme="minorHAnsi"/>
        </w:rPr>
      </w:pPr>
    </w:p>
    <w:p w14:paraId="46EB909E" w14:textId="249BA92E" w:rsidR="00DA303F" w:rsidRPr="0051709F" w:rsidRDefault="00DA303F" w:rsidP="00DA303F">
      <w:pPr>
        <w:jc w:val="both"/>
        <w:rPr>
          <w:rFonts w:cstheme="minorHAnsi"/>
        </w:rPr>
      </w:pPr>
      <w:r w:rsidRPr="0051709F">
        <w:rPr>
          <w:rFonts w:cstheme="minorHAnsi"/>
        </w:rPr>
        <w:t xml:space="preserve">Esta tendencia alcista del número de </w:t>
      </w:r>
      <w:r w:rsidRPr="005C6620">
        <w:rPr>
          <w:rFonts w:cstheme="minorHAnsi"/>
        </w:rPr>
        <w:t xml:space="preserve">deportistas e instalaciones se mantuvo hasta mitad de los noventa del pasado siglo. De tal forma </w:t>
      </w:r>
      <w:r w:rsidR="00B81306" w:rsidRPr="005C6620">
        <w:rPr>
          <w:rFonts w:cstheme="minorHAnsi"/>
        </w:rPr>
        <w:t>que,</w:t>
      </w:r>
      <w:r w:rsidRPr="005C6620">
        <w:rPr>
          <w:rFonts w:cstheme="minorHAnsi"/>
        </w:rPr>
        <w:t xml:space="preserve"> en 1995, el número de españoles </w:t>
      </w:r>
      <w:r w:rsidR="00A60F4D" w:rsidRPr="005C6620">
        <w:rPr>
          <w:rFonts w:cstheme="minorHAnsi"/>
        </w:rPr>
        <w:t xml:space="preserve">que practicaba deporte </w:t>
      </w:r>
      <w:r w:rsidRPr="005C6620">
        <w:rPr>
          <w:rFonts w:cstheme="minorHAnsi"/>
        </w:rPr>
        <w:t>rozaba el 39%</w:t>
      </w:r>
      <w:r w:rsidR="00B81306" w:rsidRPr="005C6620">
        <w:rPr>
          <w:rFonts w:cstheme="minorHAnsi"/>
        </w:rPr>
        <w:t xml:space="preserve"> de la población</w:t>
      </w:r>
      <w:r w:rsidRPr="005C6620">
        <w:rPr>
          <w:rFonts w:cstheme="minorHAnsi"/>
        </w:rPr>
        <w:t xml:space="preserve">, según </w:t>
      </w:r>
      <w:r w:rsidRPr="0051709F">
        <w:rPr>
          <w:rFonts w:cstheme="minorHAnsi"/>
        </w:rPr>
        <w:t xml:space="preserve">datos de la </w:t>
      </w:r>
      <w:r w:rsidRPr="0051709F">
        <w:rPr>
          <w:rFonts w:cstheme="minorHAnsi"/>
          <w:i/>
        </w:rPr>
        <w:t>Encuesta de Hábitos Deportivos en España (EHDE)</w:t>
      </w:r>
      <w:r w:rsidRPr="0051709F">
        <w:rPr>
          <w:rFonts w:cstheme="minorHAnsi"/>
        </w:rPr>
        <w:t xml:space="preserve"> y el número de instalaciones deportivas ascendía a 66.670 en 1997, un incremento del 27% con respecto a 1986.</w:t>
      </w:r>
    </w:p>
    <w:p w14:paraId="73C3905B" w14:textId="77777777" w:rsidR="00DA303F" w:rsidRPr="0051709F" w:rsidRDefault="00DA303F" w:rsidP="00DA303F">
      <w:pPr>
        <w:jc w:val="both"/>
        <w:rPr>
          <w:rFonts w:cstheme="minorHAnsi"/>
        </w:rPr>
      </w:pPr>
    </w:p>
    <w:p w14:paraId="0CE58D20" w14:textId="77777777" w:rsidR="00DA303F" w:rsidRPr="0051709F" w:rsidRDefault="00DA303F" w:rsidP="00DA303F">
      <w:pPr>
        <w:jc w:val="both"/>
        <w:rPr>
          <w:rFonts w:cstheme="minorHAnsi"/>
        </w:rPr>
      </w:pPr>
      <w:r w:rsidRPr="0051709F">
        <w:rPr>
          <w:rFonts w:cstheme="minorHAnsi"/>
        </w:rPr>
        <w:t xml:space="preserve">A principios de los años noventa, la presencia del deporte había adquirido tal relevancia en la población española que resulta difícil entender hoy a esta sociedad sin contemplar el deporte como una parte esencial de su cultura. Tal como expresó </w:t>
      </w:r>
      <w:proofErr w:type="spellStart"/>
      <w:r w:rsidRPr="006A6D22">
        <w:rPr>
          <w:rFonts w:cstheme="minorHAnsi"/>
        </w:rPr>
        <w:t>Lagardera</w:t>
      </w:r>
      <w:proofErr w:type="spellEnd"/>
      <w:r w:rsidRPr="006A6D22">
        <w:rPr>
          <w:rFonts w:cstheme="minorHAnsi"/>
        </w:rPr>
        <w:t xml:space="preserve"> (1992: 16),</w:t>
      </w:r>
      <w:r w:rsidRPr="0051709F">
        <w:rPr>
          <w:rFonts w:cstheme="minorHAnsi"/>
        </w:rPr>
        <w:t xml:space="preserve"> </w:t>
      </w:r>
      <w:r w:rsidRPr="0051709F">
        <w:rPr>
          <w:rFonts w:cstheme="minorHAnsi"/>
          <w:i/>
          <w:iCs/>
        </w:rPr>
        <w:t>“los hombres y mujeres de hoy han aprendido a vivir corriendo tras un balón, contemplando las finales olímpicas en el televisor, apostando dinero o utilizando los chándales y el calzado deportivo como indumentaria usual en sus prácticas físicas o en los descansos del fin de semana”.</w:t>
      </w:r>
    </w:p>
    <w:p w14:paraId="3F18A74C" w14:textId="77777777" w:rsidR="00DA303F" w:rsidRPr="0051709F" w:rsidRDefault="00DA303F" w:rsidP="00DA303F">
      <w:pPr>
        <w:jc w:val="both"/>
        <w:rPr>
          <w:rFonts w:cstheme="minorHAnsi"/>
        </w:rPr>
      </w:pPr>
    </w:p>
    <w:p w14:paraId="5D63BF71" w14:textId="5F938A32" w:rsidR="00DA303F" w:rsidRPr="0051709F" w:rsidRDefault="00DA303F" w:rsidP="00DA303F">
      <w:pPr>
        <w:jc w:val="both"/>
        <w:rPr>
          <w:rFonts w:cstheme="minorHAnsi"/>
        </w:rPr>
      </w:pPr>
      <w:r w:rsidRPr="0051709F">
        <w:rPr>
          <w:rFonts w:cstheme="minorHAnsi"/>
        </w:rPr>
        <w:t>Pero la tendencia prometedora que había marcado la democratización del deporte en España durante la primera fase democrática se fue disipando gradualmente. En primer lugar, el porcentaje de deportistas sólo creció un 1% entre 1995 y 2010</w:t>
      </w:r>
      <w:r w:rsidR="00B81306">
        <w:rPr>
          <w:rFonts w:cstheme="minorHAnsi"/>
        </w:rPr>
        <w:t xml:space="preserve">, </w:t>
      </w:r>
      <w:r w:rsidRPr="0051709F">
        <w:rPr>
          <w:rFonts w:cstheme="minorHAnsi"/>
        </w:rPr>
        <w:t xml:space="preserve">contrastando con el crecimiento experimentado entre 1980 y 1995, que fue de un 11% (ver nuevo gráfico 8). En segundo lugar, el crecimiento del número de instalaciones deportivas construidas menguó considerablemente entre 1996 y 2020: si en 1996 la ratio de instalaciones deportivas por cada 1.000 habitantes era de 1,73, en 2005 esa ratio bajó a 1,67, según los últimos datos actualizados del Censo Nacional de Instalaciones Deportivas. </w:t>
      </w:r>
    </w:p>
    <w:p w14:paraId="3337ED16" w14:textId="77777777" w:rsidR="00DA303F" w:rsidRPr="0051709F" w:rsidRDefault="00DA303F" w:rsidP="00DA303F">
      <w:pPr>
        <w:jc w:val="both"/>
        <w:rPr>
          <w:rFonts w:cstheme="minorHAnsi"/>
        </w:rPr>
      </w:pPr>
    </w:p>
    <w:p w14:paraId="5C65D492" w14:textId="5ED8BAF3" w:rsidR="00DA303F" w:rsidRPr="0051709F" w:rsidRDefault="00081FFB" w:rsidP="00DA303F">
      <w:pPr>
        <w:jc w:val="both"/>
        <w:rPr>
          <w:rFonts w:cstheme="minorHAnsi"/>
        </w:rPr>
      </w:pPr>
      <w:r>
        <w:rPr>
          <w:rFonts w:cstheme="minorHAnsi"/>
        </w:rPr>
        <w:t>L</w:t>
      </w:r>
      <w:r w:rsidR="00DA303F" w:rsidRPr="0051709F">
        <w:rPr>
          <w:rFonts w:cstheme="minorHAnsi"/>
        </w:rPr>
        <w:t xml:space="preserve">a Ley 13/1980 General de la Cultura Física y el Deporte queda derogada por un nuevo marco jurídico, la Ley 10/1990 del Deporte. La nueva Ley constituyó un punto de inflexión en la política deportiva española, por cuanto perseguía como prioridades la regulación del deporte reglado y la consolidación de la alta competición. </w:t>
      </w:r>
    </w:p>
    <w:p w14:paraId="30D5F0F3" w14:textId="77777777" w:rsidR="006D28F2" w:rsidRPr="0051709F" w:rsidRDefault="006D28F2" w:rsidP="00DA303F">
      <w:pPr>
        <w:jc w:val="both"/>
        <w:rPr>
          <w:rFonts w:cstheme="minorHAnsi"/>
        </w:rPr>
      </w:pPr>
    </w:p>
    <w:p w14:paraId="23783442" w14:textId="4A26E6DF" w:rsidR="006D28F2" w:rsidRPr="0051709F" w:rsidRDefault="006C1736" w:rsidP="006D28F2">
      <w:pPr>
        <w:jc w:val="both"/>
        <w:rPr>
          <w:rFonts w:cstheme="minorHAnsi"/>
        </w:rPr>
      </w:pPr>
      <w:r>
        <w:rPr>
          <w:rFonts w:cstheme="minorHAnsi"/>
        </w:rPr>
        <w:t>Desde entonces, se ha producido un</w:t>
      </w:r>
      <w:r w:rsidRPr="006C1736">
        <w:rPr>
          <w:rFonts w:cstheme="minorHAnsi"/>
        </w:rPr>
        <w:t xml:space="preserve"> aumento </w:t>
      </w:r>
      <w:r>
        <w:rPr>
          <w:rFonts w:cstheme="minorHAnsi"/>
        </w:rPr>
        <w:t xml:space="preserve">significativo </w:t>
      </w:r>
      <w:r w:rsidRPr="006C1736">
        <w:rPr>
          <w:rFonts w:cstheme="minorHAnsi"/>
        </w:rPr>
        <w:t>de los recursos públicos destinados al deporte de competición</w:t>
      </w:r>
      <w:r>
        <w:rPr>
          <w:rFonts w:cstheme="minorHAnsi"/>
        </w:rPr>
        <w:t xml:space="preserve">. </w:t>
      </w:r>
      <w:r w:rsidR="006D28F2" w:rsidRPr="0051709F">
        <w:rPr>
          <w:rFonts w:cstheme="minorHAnsi"/>
        </w:rPr>
        <w:t>Según datos del INE, la mayor parte del presupuesto público de la Administración</w:t>
      </w:r>
      <w:r>
        <w:rPr>
          <w:rFonts w:cstheme="minorHAnsi"/>
        </w:rPr>
        <w:t xml:space="preserve"> General</w:t>
      </w:r>
      <w:r w:rsidR="006D28F2" w:rsidRPr="0051709F">
        <w:rPr>
          <w:rFonts w:cstheme="minorHAnsi"/>
        </w:rPr>
        <w:t xml:space="preserve"> del Estado español en materia deportiva</w:t>
      </w:r>
      <w:r>
        <w:rPr>
          <w:rFonts w:cstheme="minorHAnsi"/>
        </w:rPr>
        <w:t>,</w:t>
      </w:r>
      <w:r w:rsidR="006D28F2" w:rsidRPr="0051709F">
        <w:rPr>
          <w:rFonts w:cstheme="minorHAnsi"/>
        </w:rPr>
        <w:t xml:space="preserve"> que supone el 0,01% del PIB nacional</w:t>
      </w:r>
      <w:r>
        <w:rPr>
          <w:rFonts w:cstheme="minorHAnsi"/>
        </w:rPr>
        <w:t xml:space="preserve">, </w:t>
      </w:r>
      <w:r w:rsidR="006D28F2" w:rsidRPr="0051709F">
        <w:rPr>
          <w:rFonts w:cstheme="minorHAnsi"/>
        </w:rPr>
        <w:t xml:space="preserve">está dirigido al deporte federado y al deporte de competición. En 2010 ya suponía el 92% (156 millones de euros) de dicho presupuesto, mientras que en 2021 bajó al 80% (186 millones de euros), </w:t>
      </w:r>
      <w:r>
        <w:rPr>
          <w:rFonts w:cstheme="minorHAnsi"/>
        </w:rPr>
        <w:t>incorporando</w:t>
      </w:r>
      <w:r w:rsidR="006D28F2" w:rsidRPr="0051709F">
        <w:rPr>
          <w:rFonts w:cstheme="minorHAnsi"/>
        </w:rPr>
        <w:t xml:space="preserve"> partidas del Mecanismo de Recuperación y Resiliencia (</w:t>
      </w:r>
      <w:r w:rsidR="006D28F2" w:rsidRPr="006A6D22">
        <w:rPr>
          <w:rFonts w:cstheme="minorHAnsi"/>
        </w:rPr>
        <w:t>CSD, 2021).</w:t>
      </w:r>
    </w:p>
    <w:p w14:paraId="674E74D1" w14:textId="77777777" w:rsidR="001C785A" w:rsidRPr="0051709F" w:rsidRDefault="001C785A" w:rsidP="006D28F2">
      <w:pPr>
        <w:jc w:val="both"/>
        <w:rPr>
          <w:rFonts w:cstheme="minorHAnsi"/>
        </w:rPr>
      </w:pPr>
    </w:p>
    <w:p w14:paraId="1FA6636B" w14:textId="19EEA63A" w:rsidR="001C785A" w:rsidRPr="0051709F" w:rsidRDefault="005C6620" w:rsidP="001C785A">
      <w:pPr>
        <w:jc w:val="both"/>
        <w:rPr>
          <w:rFonts w:cstheme="minorHAnsi"/>
        </w:rPr>
      </w:pPr>
      <w:r>
        <w:rPr>
          <w:rFonts w:cstheme="minorHAnsi"/>
        </w:rPr>
        <w:lastRenderedPageBreak/>
        <w:t>El motivo por el que</w:t>
      </w:r>
      <w:r w:rsidR="001C785A" w:rsidRPr="0051709F">
        <w:rPr>
          <w:rFonts w:cstheme="minorHAnsi"/>
        </w:rPr>
        <w:t xml:space="preserve"> desde los años noventa </w:t>
      </w:r>
      <w:r w:rsidR="006C1736">
        <w:rPr>
          <w:rFonts w:cstheme="minorHAnsi"/>
        </w:rPr>
        <w:t>hasta la fecha</w:t>
      </w:r>
      <w:r w:rsidR="001C785A" w:rsidRPr="0051709F">
        <w:rPr>
          <w:rFonts w:cstheme="minorHAnsi"/>
        </w:rPr>
        <w:t xml:space="preserve"> </w:t>
      </w:r>
      <w:proofErr w:type="gramStart"/>
      <w:r w:rsidR="001C785A" w:rsidRPr="0051709F">
        <w:rPr>
          <w:rFonts w:cstheme="minorHAnsi"/>
        </w:rPr>
        <w:t xml:space="preserve">los recursos destinados a la promoción del deporte para todos </w:t>
      </w:r>
      <w:r w:rsidR="006C1736">
        <w:rPr>
          <w:rFonts w:cstheme="minorHAnsi"/>
        </w:rPr>
        <w:t>no se haya</w:t>
      </w:r>
      <w:proofErr w:type="gramEnd"/>
      <w:r w:rsidR="006C1736">
        <w:rPr>
          <w:rFonts w:cstheme="minorHAnsi"/>
        </w:rPr>
        <w:t xml:space="preserve"> incrementado sustancialmente</w:t>
      </w:r>
      <w:r w:rsidR="001C785A" w:rsidRPr="0051709F">
        <w:rPr>
          <w:rFonts w:cstheme="minorHAnsi"/>
        </w:rPr>
        <w:t>, podría deberse a que la competencia por promover el deporte popular se ha ido transfiriendo desde la Administración del Estado a l</w:t>
      </w:r>
      <w:r w:rsidR="006C1736">
        <w:rPr>
          <w:rFonts w:cstheme="minorHAnsi"/>
        </w:rPr>
        <w:t>a</w:t>
      </w:r>
      <w:r w:rsidR="001C785A" w:rsidRPr="0051709F">
        <w:rPr>
          <w:rFonts w:cstheme="minorHAnsi"/>
        </w:rPr>
        <w:t xml:space="preserve">s </w:t>
      </w:r>
      <w:r w:rsidR="006C1736">
        <w:rPr>
          <w:rFonts w:cstheme="minorHAnsi"/>
        </w:rPr>
        <w:t>administraciones autonómicas</w:t>
      </w:r>
      <w:r w:rsidR="001C785A" w:rsidRPr="0051709F">
        <w:rPr>
          <w:rFonts w:cstheme="minorHAnsi"/>
        </w:rPr>
        <w:t xml:space="preserve"> y desde ést</w:t>
      </w:r>
      <w:r w:rsidR="006C1736">
        <w:rPr>
          <w:rFonts w:cstheme="minorHAnsi"/>
        </w:rPr>
        <w:t>a</w:t>
      </w:r>
      <w:r w:rsidR="001C785A" w:rsidRPr="0051709F">
        <w:rPr>
          <w:rFonts w:cstheme="minorHAnsi"/>
        </w:rPr>
        <w:t xml:space="preserve">s, a su vez, a los </w:t>
      </w:r>
      <w:r w:rsidR="006C1736">
        <w:rPr>
          <w:rFonts w:cstheme="minorHAnsi"/>
        </w:rPr>
        <w:t>A</w:t>
      </w:r>
      <w:r w:rsidR="001C785A" w:rsidRPr="0051709F">
        <w:rPr>
          <w:rFonts w:cstheme="minorHAnsi"/>
        </w:rPr>
        <w:t xml:space="preserve">yuntamientos, limitándose la intervención pública en materia deportiva. Así, por ejemplo, mientras que la Administración General del Estado dedicó en 2021 el 0,06% de su presupuesto a las partidas en materia deportiva (3,7€ hab./año), </w:t>
      </w:r>
      <w:r w:rsidR="006C1736">
        <w:rPr>
          <w:rFonts w:cstheme="minorHAnsi"/>
        </w:rPr>
        <w:t>la administración autonómica</w:t>
      </w:r>
      <w:r w:rsidR="001C785A" w:rsidRPr="0051709F">
        <w:rPr>
          <w:rFonts w:cstheme="minorHAnsi"/>
        </w:rPr>
        <w:t xml:space="preserve"> </w:t>
      </w:r>
      <w:r w:rsidR="006C1736" w:rsidRPr="0051709F">
        <w:rPr>
          <w:rFonts w:cstheme="minorHAnsi"/>
        </w:rPr>
        <w:t>destin</w:t>
      </w:r>
      <w:r w:rsidR="006C1736">
        <w:rPr>
          <w:rFonts w:cstheme="minorHAnsi"/>
        </w:rPr>
        <w:t>ó</w:t>
      </w:r>
      <w:r w:rsidR="006C1736" w:rsidRPr="0051709F">
        <w:rPr>
          <w:rFonts w:cstheme="minorHAnsi"/>
        </w:rPr>
        <w:t xml:space="preserve"> </w:t>
      </w:r>
      <w:r w:rsidR="001C785A" w:rsidRPr="0051709F">
        <w:rPr>
          <w:rFonts w:cstheme="minorHAnsi"/>
        </w:rPr>
        <w:t>a estas partidas el 0,17% (7,7€ hab./año) y l</w:t>
      </w:r>
      <w:r w:rsidR="00201436">
        <w:rPr>
          <w:rFonts w:cstheme="minorHAnsi"/>
        </w:rPr>
        <w:t>a</w:t>
      </w:r>
      <w:r w:rsidR="001C785A" w:rsidRPr="0051709F">
        <w:rPr>
          <w:rFonts w:cstheme="minorHAnsi"/>
        </w:rPr>
        <w:t xml:space="preserve"> </w:t>
      </w:r>
      <w:r w:rsidR="00201436">
        <w:rPr>
          <w:rFonts w:cstheme="minorHAnsi"/>
        </w:rPr>
        <w:t>local</w:t>
      </w:r>
      <w:r w:rsidR="001C785A" w:rsidRPr="0051709F">
        <w:rPr>
          <w:rFonts w:cstheme="minorHAnsi"/>
        </w:rPr>
        <w:t xml:space="preserve"> el 3,23% (50,2€ hab./año). Una situación que constituye </w:t>
      </w:r>
      <w:r w:rsidR="00201436">
        <w:rPr>
          <w:rFonts w:cstheme="minorHAnsi"/>
        </w:rPr>
        <w:t>un especial reto</w:t>
      </w:r>
      <w:r w:rsidR="001C785A" w:rsidRPr="0051709F">
        <w:rPr>
          <w:rFonts w:cstheme="minorHAnsi"/>
        </w:rPr>
        <w:t xml:space="preserve"> para los pequeños </w:t>
      </w:r>
      <w:r w:rsidR="00201436">
        <w:rPr>
          <w:rFonts w:cstheme="minorHAnsi"/>
        </w:rPr>
        <w:t>A</w:t>
      </w:r>
      <w:r w:rsidR="001C785A" w:rsidRPr="0051709F">
        <w:rPr>
          <w:rFonts w:cstheme="minorHAnsi"/>
        </w:rPr>
        <w:t xml:space="preserve">yuntamientos, que se </w:t>
      </w:r>
      <w:r w:rsidR="00201436">
        <w:rPr>
          <w:rFonts w:cstheme="minorHAnsi"/>
        </w:rPr>
        <w:t>enfrentan a la</w:t>
      </w:r>
      <w:r w:rsidR="001C785A" w:rsidRPr="0051709F">
        <w:rPr>
          <w:rFonts w:cstheme="minorHAnsi"/>
        </w:rPr>
        <w:t xml:space="preserve"> </w:t>
      </w:r>
      <w:r w:rsidR="00201436">
        <w:rPr>
          <w:rFonts w:cstheme="minorHAnsi"/>
        </w:rPr>
        <w:t>in</w:t>
      </w:r>
      <w:r w:rsidR="001C785A" w:rsidRPr="0051709F">
        <w:rPr>
          <w:rFonts w:cstheme="minorHAnsi"/>
        </w:rPr>
        <w:t>capacidad presupuestaria para promocionar el deporte popular.</w:t>
      </w:r>
    </w:p>
    <w:p w14:paraId="038F2236" w14:textId="77777777" w:rsidR="00DA303F" w:rsidRPr="0051709F" w:rsidRDefault="00DA303F" w:rsidP="00DA303F">
      <w:pPr>
        <w:jc w:val="both"/>
        <w:rPr>
          <w:rFonts w:cstheme="minorHAnsi"/>
        </w:rPr>
      </w:pPr>
    </w:p>
    <w:p w14:paraId="00B219E9" w14:textId="2A71F689" w:rsidR="00DA303F" w:rsidRPr="0051709F" w:rsidRDefault="00DA303F" w:rsidP="00DA303F">
      <w:pPr>
        <w:jc w:val="both"/>
        <w:rPr>
          <w:rFonts w:cstheme="minorHAnsi"/>
        </w:rPr>
      </w:pPr>
      <w:r w:rsidRPr="00A60F4D">
        <w:rPr>
          <w:rFonts w:cstheme="minorHAnsi"/>
        </w:rPr>
        <w:t xml:space="preserve">Una situación que viene generando un </w:t>
      </w:r>
      <w:r w:rsidR="00A60F4D">
        <w:rPr>
          <w:rFonts w:cstheme="minorHAnsi"/>
        </w:rPr>
        <w:t xml:space="preserve">interesante </w:t>
      </w:r>
      <w:r w:rsidRPr="00A60F4D">
        <w:rPr>
          <w:rFonts w:cstheme="minorHAnsi"/>
        </w:rPr>
        <w:t>debate público en las dos últimas décadas,</w:t>
      </w:r>
      <w:r w:rsidR="00081FFB" w:rsidRPr="00A60F4D">
        <w:rPr>
          <w:rFonts w:cstheme="minorHAnsi"/>
        </w:rPr>
        <w:t xml:space="preserve"> </w:t>
      </w:r>
      <w:r w:rsidR="00A60F4D">
        <w:rPr>
          <w:rFonts w:cstheme="minorHAnsi"/>
        </w:rPr>
        <w:t>y</w:t>
      </w:r>
      <w:r w:rsidR="00081FFB">
        <w:rPr>
          <w:rFonts w:cstheme="minorHAnsi"/>
        </w:rPr>
        <w:t xml:space="preserve"> que pone en el epicentro a u</w:t>
      </w:r>
      <w:r w:rsidRPr="0051709F">
        <w:rPr>
          <w:rFonts w:cstheme="minorHAnsi"/>
        </w:rPr>
        <w:t xml:space="preserve">n modelo que apueste por aumentar las horas de educación física en el sistema educativo, que realice un mayor esfuerzo por el multideporte, que invierta más en recursos deportivos de proximidad, que ofrezca valor añadido a las necesidades de los hogares y las familias y también a las nuevas realidades deportivas </w:t>
      </w:r>
      <w:r w:rsidR="00201436">
        <w:rPr>
          <w:rFonts w:cstheme="minorHAnsi"/>
        </w:rPr>
        <w:t xml:space="preserve">como las </w:t>
      </w:r>
      <w:r w:rsidRPr="0051709F">
        <w:rPr>
          <w:rFonts w:cstheme="minorHAnsi"/>
        </w:rPr>
        <w:t xml:space="preserve">ludotecas en espacios deportivos, instalaciones y equipamientos deportivos abiertos y al aire libre, </w:t>
      </w:r>
      <w:r w:rsidR="00201436">
        <w:rPr>
          <w:rFonts w:cstheme="minorHAnsi"/>
        </w:rPr>
        <w:t>el desarrollo del</w:t>
      </w:r>
      <w:r w:rsidRPr="0051709F">
        <w:rPr>
          <w:rFonts w:cstheme="minorHAnsi"/>
        </w:rPr>
        <w:t xml:space="preserve"> concepto de ciudad activa, </w:t>
      </w:r>
      <w:r w:rsidR="00201436">
        <w:rPr>
          <w:rFonts w:cstheme="minorHAnsi"/>
        </w:rPr>
        <w:t xml:space="preserve">o </w:t>
      </w:r>
      <w:r w:rsidRPr="0051709F">
        <w:rPr>
          <w:rFonts w:cstheme="minorHAnsi"/>
        </w:rPr>
        <w:t>conectar el medio rural con el medio urbano. Una pugna social que ya se expresaba en la propia Encuesta de Hábitos Deportivos en España en su edición de 2010 (ver gráfico 9), en la que la sociedad española exigía mayor apoyo hacia el deporte popular.</w:t>
      </w:r>
    </w:p>
    <w:p w14:paraId="32452E82" w14:textId="77777777" w:rsidR="006D28F2" w:rsidRPr="0051709F" w:rsidRDefault="006D28F2" w:rsidP="00DA303F">
      <w:pPr>
        <w:jc w:val="both"/>
        <w:rPr>
          <w:rFonts w:cstheme="minorHAnsi"/>
        </w:rPr>
      </w:pPr>
    </w:p>
    <w:p w14:paraId="1F11B6BD" w14:textId="710BB258" w:rsidR="006D28F2" w:rsidRPr="0051709F" w:rsidRDefault="006D28F2" w:rsidP="0051709F">
      <w:pPr>
        <w:spacing w:after="120"/>
        <w:jc w:val="both"/>
        <w:rPr>
          <w:rFonts w:cstheme="minorHAnsi"/>
          <w:i/>
        </w:rPr>
      </w:pPr>
      <w:r w:rsidRPr="0051709F">
        <w:rPr>
          <w:rFonts w:cstheme="minorHAnsi"/>
        </w:rPr>
        <w:t>Después del 2010 se produjo un cambio social sin precedentes</w:t>
      </w:r>
      <w:r w:rsidR="00201436">
        <w:rPr>
          <w:rFonts w:cstheme="minorHAnsi"/>
        </w:rPr>
        <w:t>,</w:t>
      </w:r>
      <w:r w:rsidRPr="0051709F">
        <w:rPr>
          <w:rFonts w:cstheme="minorHAnsi"/>
        </w:rPr>
        <w:t xml:space="preserve"> </w:t>
      </w:r>
      <w:r w:rsidR="00201436">
        <w:rPr>
          <w:rFonts w:cstheme="minorHAnsi"/>
        </w:rPr>
        <w:t>l</w:t>
      </w:r>
      <w:r w:rsidRPr="0051709F">
        <w:rPr>
          <w:rFonts w:cstheme="minorHAnsi"/>
        </w:rPr>
        <w:t xml:space="preserve">a sociedad española se emancipó del papel de tutela de </w:t>
      </w:r>
      <w:r w:rsidR="00201436">
        <w:rPr>
          <w:rFonts w:cstheme="minorHAnsi"/>
        </w:rPr>
        <w:t>las instituciones en materia de práctica deportiva</w:t>
      </w:r>
      <w:r w:rsidRPr="0051709F">
        <w:rPr>
          <w:rFonts w:cstheme="minorHAnsi"/>
        </w:rPr>
        <w:t xml:space="preserve">, contribuyendo a difundir de forma espontánea un modelo informal de amplio alcance. En ello influyeron varios factores: la consolidación de un modelo de vida sedentario y estresante y la búsqueda de la realización deportiva orientada a la mejora de la salud y el bienestar ante el déficit de movimiento físico; la propagación de cadenas de gimnasios fitness y empresas de servicios deportivos, con modelos empresariales innovadores, mejor organizados, rentables y con tarifas de bajo coste, que cubrieron con su iniciativa la </w:t>
      </w:r>
      <w:r w:rsidR="00201436">
        <w:rPr>
          <w:rFonts w:cstheme="minorHAnsi"/>
        </w:rPr>
        <w:t>ambición ciudadana</w:t>
      </w:r>
      <w:r w:rsidRPr="0051709F">
        <w:rPr>
          <w:rFonts w:cstheme="minorHAnsi"/>
        </w:rPr>
        <w:t xml:space="preserve">; y el cambio en el modelo legislativo del deporte en las regulaciones autonómicas, en las que ya se recogió esta sensibilidad contribuyendo a impulsar, junto a los Ayuntamientos, un modelo menos competitivo y más popular. Un punto de inflexión a este respecto es el momento en el que se promueve y se aprueba la </w:t>
      </w:r>
      <w:r w:rsidRPr="0051709F">
        <w:rPr>
          <w:rFonts w:cstheme="minorHAnsi"/>
          <w:i/>
        </w:rPr>
        <w:t>Ley 39/2022, de 30 de diciembre, del Deporte</w:t>
      </w:r>
      <w:r w:rsidRPr="0051709F">
        <w:rPr>
          <w:rFonts w:cstheme="minorHAnsi"/>
        </w:rPr>
        <w:t>, que es la ley que rige el deporte en nuestros días. Una Ley en la que ya sí se incorpora toda esta demanda social a lo largo de su amplio articulado.</w:t>
      </w:r>
    </w:p>
    <w:p w14:paraId="66B08CC4" w14:textId="77777777" w:rsidR="00685D72" w:rsidRPr="0051709F" w:rsidRDefault="00685D72" w:rsidP="00DA303F">
      <w:pPr>
        <w:spacing w:after="80"/>
        <w:jc w:val="both"/>
        <w:rPr>
          <w:rFonts w:cstheme="minorHAnsi"/>
        </w:rPr>
      </w:pPr>
    </w:p>
    <w:p w14:paraId="47B1806D" w14:textId="1B59FFA1" w:rsidR="00DA303F" w:rsidRPr="0051709F" w:rsidRDefault="00DA303F" w:rsidP="00DA303F">
      <w:pPr>
        <w:spacing w:after="80"/>
        <w:jc w:val="both"/>
        <w:rPr>
          <w:rFonts w:cstheme="minorHAnsi"/>
        </w:rPr>
      </w:pPr>
      <w:r w:rsidRPr="0051709F">
        <w:rPr>
          <w:rFonts w:cstheme="minorHAnsi"/>
          <w:noProof/>
          <w:lang w:val="en-GB" w:eastAsia="en-GB"/>
        </w:rPr>
        <w:lastRenderedPageBreak/>
        <w:drawing>
          <wp:inline distT="0" distB="0" distL="0" distR="0" wp14:anchorId="62EEFB35" wp14:editId="24E9CE0C">
            <wp:extent cx="5400040" cy="3174365"/>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D79BAAF" w14:textId="77777777" w:rsidR="00685D72" w:rsidRPr="007B667D" w:rsidRDefault="00685D72" w:rsidP="00685D72">
      <w:pPr>
        <w:spacing w:after="120"/>
        <w:jc w:val="center"/>
        <w:rPr>
          <w:rFonts w:cstheme="minorHAnsi"/>
          <w:i/>
          <w:sz w:val="22"/>
          <w:szCs w:val="22"/>
        </w:rPr>
      </w:pPr>
      <w:r w:rsidRPr="007B667D">
        <w:rPr>
          <w:rFonts w:cstheme="minorHAnsi"/>
          <w:i/>
          <w:sz w:val="22"/>
          <w:szCs w:val="22"/>
        </w:rPr>
        <w:t>Gráfico 9. Opinión sobre la política deportiva española (2010)</w:t>
      </w:r>
    </w:p>
    <w:p w14:paraId="7F98BC2C" w14:textId="77777777" w:rsidR="00DA303F" w:rsidRPr="007B667D" w:rsidRDefault="00DA303F" w:rsidP="00685D72">
      <w:pPr>
        <w:spacing w:before="120" w:after="80"/>
        <w:jc w:val="center"/>
        <w:rPr>
          <w:rFonts w:cstheme="minorHAnsi"/>
          <w:sz w:val="22"/>
          <w:szCs w:val="22"/>
        </w:rPr>
      </w:pPr>
      <w:r w:rsidRPr="007B667D">
        <w:rPr>
          <w:rFonts w:cstheme="minorHAnsi"/>
          <w:sz w:val="22"/>
          <w:szCs w:val="22"/>
        </w:rPr>
        <w:t>Fuente: Elaboración propia a partir de la Encuesta de Hábitos Deportivos en España (2010).</w:t>
      </w:r>
    </w:p>
    <w:p w14:paraId="2177D760" w14:textId="77777777" w:rsidR="00DA303F" w:rsidRPr="0051709F" w:rsidRDefault="00DA303F" w:rsidP="00DA303F">
      <w:pPr>
        <w:spacing w:after="120"/>
        <w:jc w:val="both"/>
        <w:rPr>
          <w:rFonts w:cstheme="minorHAnsi"/>
        </w:rPr>
      </w:pPr>
    </w:p>
    <w:p w14:paraId="27356B43" w14:textId="4BBC27AC" w:rsidR="00DA303F" w:rsidRPr="0051709F" w:rsidRDefault="00DA303F" w:rsidP="00DA303F">
      <w:pPr>
        <w:spacing w:after="120"/>
        <w:jc w:val="both"/>
        <w:rPr>
          <w:rFonts w:cstheme="minorHAnsi"/>
        </w:rPr>
      </w:pPr>
      <w:r w:rsidRPr="0051709F">
        <w:rPr>
          <w:rFonts w:cstheme="minorHAnsi"/>
        </w:rPr>
        <w:t>La primera prueba de este proceso de emancipación social y difusión de un modelo más autónomo del deporte por parte de la sociedad española, es que las tres principales motivaciones que definen la participación deportiva son hacer ejercicio físico (72%), divertirse (53%) y mejorar la salud (45%), según datos de la Encuesta de Hábitos Deportivos en España (ver gráfico 10). La primera de esas motivaciones</w:t>
      </w:r>
      <w:r w:rsidR="00201436">
        <w:rPr>
          <w:rFonts w:cstheme="minorHAnsi"/>
        </w:rPr>
        <w:t>,</w:t>
      </w:r>
      <w:r w:rsidRPr="0051709F">
        <w:rPr>
          <w:rFonts w:cstheme="minorHAnsi"/>
        </w:rPr>
        <w:t xml:space="preserve"> hacer ejercicio físico</w:t>
      </w:r>
      <w:r w:rsidR="00201436">
        <w:rPr>
          <w:rFonts w:cstheme="minorHAnsi"/>
        </w:rPr>
        <w:t>,</w:t>
      </w:r>
      <w:r w:rsidRPr="0051709F">
        <w:rPr>
          <w:rFonts w:cstheme="minorHAnsi"/>
        </w:rPr>
        <w:t xml:space="preserve"> ha crecido 14 puntos desde 1980 a 2014</w:t>
      </w:r>
      <w:r w:rsidR="00201436">
        <w:rPr>
          <w:rFonts w:cstheme="minorHAnsi"/>
        </w:rPr>
        <w:t>;</w:t>
      </w:r>
      <w:r w:rsidRPr="0051709F">
        <w:rPr>
          <w:rFonts w:cstheme="minorHAnsi"/>
        </w:rPr>
        <w:t xml:space="preserve"> y la tercera</w:t>
      </w:r>
      <w:r w:rsidR="00201436">
        <w:rPr>
          <w:rFonts w:cstheme="minorHAnsi"/>
        </w:rPr>
        <w:t>,</w:t>
      </w:r>
      <w:r w:rsidRPr="0051709F">
        <w:rPr>
          <w:rFonts w:cstheme="minorHAnsi"/>
        </w:rPr>
        <w:t xml:space="preserve"> mejorar la salud</w:t>
      </w:r>
      <w:r w:rsidR="00201436">
        <w:rPr>
          <w:rFonts w:cstheme="minorHAnsi"/>
        </w:rPr>
        <w:t>,</w:t>
      </w:r>
      <w:r w:rsidRPr="0051709F">
        <w:rPr>
          <w:rFonts w:cstheme="minorHAnsi"/>
        </w:rPr>
        <w:t xml:space="preserve"> ha crecido 18 puntos entre 2000 y 2014</w:t>
      </w:r>
      <w:r w:rsidRPr="0051709F">
        <w:rPr>
          <w:rStyle w:val="Refdenotaalpie"/>
          <w:rFonts w:cstheme="minorHAnsi"/>
        </w:rPr>
        <w:footnoteReference w:id="7"/>
      </w:r>
      <w:r w:rsidRPr="0051709F">
        <w:rPr>
          <w:rFonts w:cstheme="minorHAnsi"/>
        </w:rPr>
        <w:t xml:space="preserve">. Sólo un 5% de la población encuentra motivación en la competición para practicar deporte. Por lo tanto, el déficit de ejercicio físico es la principal motivación para la práctica del deporte, algo de lo que </w:t>
      </w:r>
      <w:r w:rsidR="0060739C">
        <w:rPr>
          <w:rFonts w:cstheme="minorHAnsi"/>
        </w:rPr>
        <w:t>toman</w:t>
      </w:r>
      <w:r w:rsidRPr="0051709F">
        <w:rPr>
          <w:rFonts w:cstheme="minorHAnsi"/>
        </w:rPr>
        <w:t xml:space="preserve"> buena nota las administraciones públicas </w:t>
      </w:r>
      <w:r w:rsidR="0060739C">
        <w:rPr>
          <w:rFonts w:cstheme="minorHAnsi"/>
        </w:rPr>
        <w:t xml:space="preserve">españolas </w:t>
      </w:r>
      <w:r w:rsidRPr="0051709F">
        <w:rPr>
          <w:rFonts w:cstheme="minorHAnsi"/>
        </w:rPr>
        <w:t xml:space="preserve">en el diseño de las políticas deportivas que guíen el futuro del deporte en nuestro país, sobre todo pensando en una estrategia </w:t>
      </w:r>
      <w:r w:rsidR="00EB26A4" w:rsidRPr="0051709F">
        <w:rPr>
          <w:rFonts w:cstheme="minorHAnsi"/>
        </w:rPr>
        <w:t>de fomento del deporte contra el sedentarismo y la</w:t>
      </w:r>
      <w:r w:rsidRPr="0051709F">
        <w:rPr>
          <w:rFonts w:cstheme="minorHAnsi"/>
        </w:rPr>
        <w:t xml:space="preserve"> inactividad </w:t>
      </w:r>
      <w:r w:rsidR="00EB26A4" w:rsidRPr="0051709F">
        <w:rPr>
          <w:rFonts w:cstheme="minorHAnsi"/>
        </w:rPr>
        <w:t>física</w:t>
      </w:r>
      <w:r w:rsidRPr="0051709F">
        <w:rPr>
          <w:rFonts w:cstheme="minorHAnsi"/>
        </w:rPr>
        <w:t>.</w:t>
      </w:r>
    </w:p>
    <w:p w14:paraId="4D40B452" w14:textId="77777777" w:rsidR="001C785A" w:rsidRPr="0051709F" w:rsidRDefault="001C785A" w:rsidP="00DA303F">
      <w:pPr>
        <w:spacing w:after="120"/>
        <w:jc w:val="both"/>
        <w:rPr>
          <w:rFonts w:cstheme="minorHAnsi"/>
        </w:rPr>
      </w:pPr>
    </w:p>
    <w:p w14:paraId="513EC471" w14:textId="77777777" w:rsidR="00DA303F" w:rsidRPr="0051709F" w:rsidRDefault="00DA303F" w:rsidP="00DA303F">
      <w:pPr>
        <w:spacing w:after="80"/>
        <w:jc w:val="both"/>
        <w:rPr>
          <w:rFonts w:cstheme="minorHAnsi"/>
        </w:rPr>
      </w:pPr>
      <w:r w:rsidRPr="0051709F">
        <w:rPr>
          <w:rFonts w:cstheme="minorHAnsi"/>
          <w:noProof/>
          <w:lang w:val="en-GB" w:eastAsia="en-GB"/>
        </w:rPr>
        <w:lastRenderedPageBreak/>
        <w:drawing>
          <wp:inline distT="0" distB="0" distL="0" distR="0" wp14:anchorId="6A11181F" wp14:editId="053E9F12">
            <wp:extent cx="5400040" cy="3364173"/>
            <wp:effectExtent l="0" t="0" r="0" b="8255"/>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0A4163" w14:textId="77777777" w:rsidR="00685D72" w:rsidRPr="007B667D" w:rsidRDefault="00685D72" w:rsidP="00685D72">
      <w:pPr>
        <w:spacing w:after="240"/>
        <w:jc w:val="center"/>
        <w:rPr>
          <w:rFonts w:cstheme="minorHAnsi"/>
          <w:i/>
          <w:spacing w:val="-6"/>
          <w:sz w:val="22"/>
          <w:szCs w:val="22"/>
        </w:rPr>
      </w:pPr>
      <w:r w:rsidRPr="007B667D">
        <w:rPr>
          <w:rFonts w:cstheme="minorHAnsi"/>
          <w:i/>
          <w:spacing w:val="-6"/>
          <w:sz w:val="22"/>
          <w:szCs w:val="22"/>
        </w:rPr>
        <w:t>Gráfico 10. Evolución de las motivaciones de la práctica deportiva en España (1980-2014)</w:t>
      </w:r>
    </w:p>
    <w:p w14:paraId="7002F685" w14:textId="77777777" w:rsidR="00DA303F" w:rsidRPr="0051709F" w:rsidRDefault="00DA303F" w:rsidP="00685D72">
      <w:pPr>
        <w:spacing w:before="120" w:after="80"/>
        <w:jc w:val="center"/>
        <w:rPr>
          <w:rFonts w:cstheme="minorHAnsi"/>
        </w:rPr>
      </w:pPr>
      <w:r w:rsidRPr="007B667D">
        <w:rPr>
          <w:rFonts w:cstheme="minorHAnsi"/>
          <w:sz w:val="22"/>
          <w:szCs w:val="22"/>
        </w:rPr>
        <w:t xml:space="preserve">Fuente: Elaboración propia a partir de la Encuesta de Hábitos Deportivos en </w:t>
      </w:r>
      <w:r w:rsidRPr="007B667D">
        <w:rPr>
          <w:rFonts w:cstheme="minorHAnsi"/>
          <w:sz w:val="20"/>
          <w:szCs w:val="20"/>
        </w:rPr>
        <w:t xml:space="preserve">España </w:t>
      </w:r>
      <w:r w:rsidRPr="007B667D">
        <w:rPr>
          <w:rFonts w:cstheme="minorHAnsi"/>
          <w:sz w:val="22"/>
          <w:szCs w:val="22"/>
        </w:rPr>
        <w:t>(2023).</w:t>
      </w:r>
    </w:p>
    <w:p w14:paraId="3CB8337E" w14:textId="77777777" w:rsidR="00DA303F" w:rsidRPr="0051709F" w:rsidRDefault="00DA303F" w:rsidP="00DA303F">
      <w:pPr>
        <w:spacing w:after="80"/>
        <w:jc w:val="both"/>
        <w:rPr>
          <w:rFonts w:cstheme="minorHAnsi"/>
        </w:rPr>
      </w:pPr>
    </w:p>
    <w:p w14:paraId="019C4743" w14:textId="1812D3F1" w:rsidR="00DA303F" w:rsidRPr="0051709F" w:rsidRDefault="00DA303F" w:rsidP="00DA303F">
      <w:pPr>
        <w:spacing w:after="80"/>
        <w:jc w:val="both"/>
        <w:rPr>
          <w:rFonts w:cstheme="minorHAnsi"/>
        </w:rPr>
      </w:pPr>
      <w:r w:rsidRPr="0051709F">
        <w:rPr>
          <w:rFonts w:cstheme="minorHAnsi"/>
        </w:rPr>
        <w:t xml:space="preserve">La segunda prueba de este cambio es la ruptura de la sociedad con el modelo de deporte reglado tradicional. En efecto, a través de los datos de la Encuesta de Hábitos Deportivos en España, entre 1980 y 2022 se constata cómo aquellas modalidades vinculadas tradicionalmente al deporte de competición, tales como el fútbol, el atletismo, el tenis, el baloncesto o el balonmano, han </w:t>
      </w:r>
      <w:r w:rsidR="00EB26A4" w:rsidRPr="0051709F">
        <w:rPr>
          <w:rFonts w:cstheme="minorHAnsi"/>
        </w:rPr>
        <w:t>perdido interés</w:t>
      </w:r>
      <w:r w:rsidRPr="0051709F">
        <w:rPr>
          <w:rFonts w:cstheme="minorHAnsi"/>
        </w:rPr>
        <w:t xml:space="preserve"> </w:t>
      </w:r>
      <w:r w:rsidR="00EB26A4" w:rsidRPr="0051709F">
        <w:rPr>
          <w:rFonts w:cstheme="minorHAnsi"/>
        </w:rPr>
        <w:t>en</w:t>
      </w:r>
      <w:r w:rsidRPr="0051709F">
        <w:rPr>
          <w:rFonts w:cstheme="minorHAnsi"/>
        </w:rPr>
        <w:t xml:space="preserve"> la sociedad, que han ido abandonando su práctica (ver gráfico 11). En cambio, aquellas otras modalidades deportivas que se identifican en nuestros días por estar orientadas hacia la mejora de la salud, la diversión o la ejercitación física, e incluso el estar al aire libre, han crecido de forma abrumadora</w:t>
      </w:r>
      <w:r w:rsidR="00AB6CFD">
        <w:rPr>
          <w:rFonts w:cstheme="minorHAnsi"/>
        </w:rPr>
        <w:t>.</w:t>
      </w:r>
      <w:r w:rsidRPr="0051709F">
        <w:rPr>
          <w:rFonts w:cstheme="minorHAnsi"/>
        </w:rPr>
        <w:t xml:space="preserve"> </w:t>
      </w:r>
      <w:r w:rsidR="00AB6CFD">
        <w:rPr>
          <w:rFonts w:cstheme="minorHAnsi"/>
        </w:rPr>
        <w:t xml:space="preserve">Este </w:t>
      </w:r>
      <w:r w:rsidRPr="0051709F">
        <w:rPr>
          <w:rFonts w:cstheme="minorHAnsi"/>
        </w:rPr>
        <w:t xml:space="preserve">es el caso de las modalidades deportivas de gimnasio (gimnasia, pilates, aerobic, relajación, etc.) y musculación, deportes de naturaleza como el senderismo y el montañismo y la bicicleta </w:t>
      </w:r>
      <w:proofErr w:type="gramStart"/>
      <w:r w:rsidRPr="0051709F">
        <w:rPr>
          <w:rFonts w:cstheme="minorHAnsi"/>
        </w:rPr>
        <w:t>amateur</w:t>
      </w:r>
      <w:proofErr w:type="gramEnd"/>
      <w:r w:rsidRPr="0051709F">
        <w:rPr>
          <w:rFonts w:cstheme="minorHAnsi"/>
        </w:rPr>
        <w:t xml:space="preserve"> (de carretera y montaña) o el pádel. La natación, que históricamente representa</w:t>
      </w:r>
      <w:r w:rsidR="00EB26A4" w:rsidRPr="0051709F">
        <w:rPr>
          <w:rFonts w:cstheme="minorHAnsi"/>
        </w:rPr>
        <w:t>ba</w:t>
      </w:r>
      <w:r w:rsidRPr="0051709F">
        <w:rPr>
          <w:rFonts w:cstheme="minorHAnsi"/>
        </w:rPr>
        <w:t xml:space="preserve"> justo una modalidad de deporte salud, aun reduciéndose por la mayor oferta de modalidades con este mismo propósito, se mantiene cerca de sus cifras </w:t>
      </w:r>
      <w:r w:rsidR="00EB26A4" w:rsidRPr="0051709F">
        <w:rPr>
          <w:rFonts w:cstheme="minorHAnsi"/>
        </w:rPr>
        <w:t>de partida</w:t>
      </w:r>
      <w:r w:rsidRPr="0051709F">
        <w:rPr>
          <w:rFonts w:cstheme="minorHAnsi"/>
        </w:rPr>
        <w:t xml:space="preserve"> 42 años </w:t>
      </w:r>
      <w:r w:rsidR="00AB6CFD">
        <w:rPr>
          <w:rFonts w:cstheme="minorHAnsi"/>
        </w:rPr>
        <w:t>después</w:t>
      </w:r>
      <w:r w:rsidRPr="0051709F">
        <w:rPr>
          <w:rFonts w:cstheme="minorHAnsi"/>
        </w:rPr>
        <w:t>. Sin duda, un cambio en la elección de las disciplinas deportivas que se corresponde con un modelo de deporte salud, no competitivo y de práctica al aire libre, demandado por la sociedad.</w:t>
      </w:r>
    </w:p>
    <w:p w14:paraId="293600FA" w14:textId="77777777" w:rsidR="00EB26A4" w:rsidRPr="0051709F" w:rsidRDefault="00EB26A4" w:rsidP="00DA303F">
      <w:pPr>
        <w:spacing w:after="80"/>
        <w:jc w:val="both"/>
        <w:rPr>
          <w:rFonts w:cstheme="minorHAnsi"/>
        </w:rPr>
      </w:pPr>
    </w:p>
    <w:p w14:paraId="0227A8B5" w14:textId="77777777" w:rsidR="00DA303F" w:rsidRPr="0051709F" w:rsidRDefault="00DA303F" w:rsidP="00DA303F">
      <w:pPr>
        <w:spacing w:after="80"/>
        <w:jc w:val="both"/>
        <w:rPr>
          <w:rFonts w:cstheme="minorHAnsi"/>
        </w:rPr>
      </w:pPr>
      <w:r w:rsidRPr="0051709F">
        <w:rPr>
          <w:rFonts w:cstheme="minorHAnsi"/>
          <w:noProof/>
          <w:lang w:val="en-GB" w:eastAsia="en-GB"/>
        </w:rPr>
        <w:lastRenderedPageBreak/>
        <mc:AlternateContent>
          <mc:Choice Requires="wps">
            <w:drawing>
              <wp:anchor distT="0" distB="0" distL="114300" distR="114300" simplePos="0" relativeHeight="251674624" behindDoc="0" locked="0" layoutInCell="1" allowOverlap="1" wp14:anchorId="59F634C2" wp14:editId="5552E778">
                <wp:simplePos x="0" y="0"/>
                <wp:positionH relativeFrom="column">
                  <wp:posOffset>884536</wp:posOffset>
                </wp:positionH>
                <wp:positionV relativeFrom="paragraph">
                  <wp:posOffset>706859</wp:posOffset>
                </wp:positionV>
                <wp:extent cx="1143000" cy="571500"/>
                <wp:effectExtent l="0" t="0" r="0" b="0"/>
                <wp:wrapNone/>
                <wp:docPr id="3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roundRect">
                          <a:avLst>
                            <a:gd name="adj" fmla="val 16667"/>
                          </a:avLst>
                        </a:prstGeom>
                        <a:noFill/>
                        <a:ln>
                          <a:noFill/>
                        </a:ln>
                      </wps:spPr>
                      <wps:txbx>
                        <w:txbxContent>
                          <w:p w14:paraId="798BC568" w14:textId="77777777" w:rsidR="008A069C" w:rsidRPr="00BD5E29" w:rsidRDefault="008A069C" w:rsidP="00DA303F">
                            <w:pPr>
                              <w:pStyle w:val="NormalWeb"/>
                              <w:spacing w:before="0" w:beforeAutospacing="0" w:after="0" w:afterAutospacing="0"/>
                              <w:jc w:val="center"/>
                            </w:pPr>
                            <w:r w:rsidRPr="00EB26A4">
                              <w:rPr>
                                <w:rFonts w:asciiTheme="minorHAnsi" w:eastAsia="Times New Roman" w:hAnsiTheme="minorHAnsi" w:cstheme="minorHAnsi"/>
                                <w:bCs/>
                                <w:sz w:val="22"/>
                                <w:szCs w:val="22"/>
                              </w:rPr>
                              <w:t>Deporte</w:t>
                            </w:r>
                            <w:r w:rsidRPr="00BD5E29">
                              <w:rPr>
                                <w:rFonts w:eastAsia="Times New Roman"/>
                                <w:bCs/>
                              </w:rPr>
                              <w:t xml:space="preserve"> Salud</w:t>
                            </w:r>
                          </w:p>
                        </w:txbxContent>
                      </wps:txbx>
                      <wps:bodyPr rot="0" vert="horz" wrap="square" lIns="91440" tIns="45720" rIns="91440" bIns="45720" anchor="t" anchorCtr="0" upright="1">
                        <a:noAutofit/>
                      </wps:bodyPr>
                    </wps:wsp>
                  </a:graphicData>
                </a:graphic>
              </wp:anchor>
            </w:drawing>
          </mc:Choice>
          <mc:Fallback>
            <w:pict>
              <v:roundrect w14:anchorId="59F634C2" id="AutoShape 8" o:spid="_x0000_s1029" style="position:absolute;left:0;text-align:left;margin-left:69.65pt;margin-top:55.65pt;width:90pt;height:45pt;z-index:2516746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" filled="f" stroked="f">
                <v:textbox>
                  <w:txbxContent>
                    <w:p w14:paraId="798BC568" w14:textId="77777777" w:rsidR="008A069C" w:rsidRPr="00BD5E29" w:rsidRDefault="008A069C" w:rsidP="00DA303F">
                      <w:pPr>
                        <w:pStyle w:val="NormalWeb"/>
                        <w:spacing w:before="0" w:beforeAutospacing="0" w:after="0" w:afterAutospacing="0"/>
                        <w:jc w:val="center"/>
                      </w:pPr>
                      <w:r w:rsidRPr="00EB26A4">
                        <w:rPr>
                          <w:rFonts w:asciiTheme="minorHAnsi" w:eastAsia="Times New Roman" w:hAnsiTheme="minorHAnsi" w:cstheme="minorHAnsi"/>
                          <w:bCs/>
                          <w:sz w:val="22"/>
                          <w:szCs w:val="22"/>
                        </w:rPr>
                        <w:t>Deporte</w:t>
                      </w:r>
                      <w:r w:rsidRPr="00BD5E29">
                        <w:rPr>
                          <w:rFonts w:eastAsia="Times New Roman"/>
                          <w:bCs/>
                        </w:rPr>
                        <w:t xml:space="preserve"> Salud</w:t>
                      </w:r>
                    </w:p>
                  </w:txbxContent>
                </v:textbox>
              </v:roundrect>
            </w:pict>
          </mc:Fallback>
        </mc:AlternateContent>
      </w:r>
      <w:r w:rsidRPr="0051709F">
        <w:rPr>
          <w:rFonts w:cstheme="minorHAnsi"/>
          <w:noProof/>
          <w:lang w:val="en-GB" w:eastAsia="en-GB"/>
        </w:rPr>
        <mc:AlternateContent>
          <mc:Choice Requires="wps">
            <w:drawing>
              <wp:anchor distT="0" distB="0" distL="114300" distR="114300" simplePos="0" relativeHeight="251675648" behindDoc="0" locked="0" layoutInCell="1" allowOverlap="1" wp14:anchorId="6886BD22" wp14:editId="1412B9B0">
                <wp:simplePos x="0" y="0"/>
                <wp:positionH relativeFrom="column">
                  <wp:posOffset>3951027</wp:posOffset>
                </wp:positionH>
                <wp:positionV relativeFrom="paragraph">
                  <wp:posOffset>768037</wp:posOffset>
                </wp:positionV>
                <wp:extent cx="1143000" cy="571500"/>
                <wp:effectExtent l="0" t="0" r="0" b="0"/>
                <wp:wrapNone/>
                <wp:docPr id="3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roundRect">
                          <a:avLst>
                            <a:gd name="adj" fmla="val 16667"/>
                          </a:avLst>
                        </a:prstGeom>
                        <a:noFill/>
                        <a:ln>
                          <a:noFill/>
                        </a:ln>
                      </wps:spPr>
                      <wps:txbx>
                        <w:txbxContent>
                          <w:p w14:paraId="4AAB1CD8" w14:textId="77777777" w:rsidR="008A069C" w:rsidRPr="00EB26A4" w:rsidRDefault="008A069C" w:rsidP="00DA303F">
                            <w:pPr>
                              <w:pStyle w:val="NormalWeb"/>
                              <w:spacing w:before="0" w:beforeAutospacing="0" w:after="0" w:afterAutospacing="0"/>
                              <w:jc w:val="center"/>
                              <w:rPr>
                                <w:rFonts w:asciiTheme="minorHAnsi" w:hAnsiTheme="minorHAnsi" w:cstheme="minorHAnsi"/>
                                <w:sz w:val="22"/>
                                <w:szCs w:val="22"/>
                              </w:rPr>
                            </w:pPr>
                            <w:r w:rsidRPr="00EB26A4">
                              <w:rPr>
                                <w:rFonts w:asciiTheme="minorHAnsi" w:eastAsia="Times New Roman" w:hAnsiTheme="minorHAnsi" w:cstheme="minorHAnsi"/>
                                <w:bCs/>
                                <w:sz w:val="22"/>
                                <w:szCs w:val="22"/>
                              </w:rPr>
                              <w:t>Deporte Competición</w:t>
                            </w:r>
                          </w:p>
                        </w:txbxContent>
                      </wps:txbx>
                      <wps:bodyPr rot="0" vert="horz" wrap="square" lIns="91440" tIns="45720" rIns="91440" bIns="45720" anchor="t" anchorCtr="0" upright="1">
                        <a:noAutofit/>
                      </wps:bodyPr>
                    </wps:wsp>
                  </a:graphicData>
                </a:graphic>
              </wp:anchor>
            </w:drawing>
          </mc:Choice>
          <mc:Fallback>
            <w:pict>
              <v:roundrect w14:anchorId="6886BD22" id="_x0000_s1030" style="position:absolute;left:0;text-align:left;margin-left:311.1pt;margin-top:60.5pt;width:90pt;height:45pt;z-index:25167564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" filled="f" stroked="f">
                <v:textbox>
                  <w:txbxContent>
                    <w:p w14:paraId="4AAB1CD8" w14:textId="77777777" w:rsidR="008A069C" w:rsidRPr="00EB26A4" w:rsidRDefault="008A069C" w:rsidP="00DA303F">
                      <w:pPr>
                        <w:pStyle w:val="NormalWeb"/>
                        <w:spacing w:before="0" w:beforeAutospacing="0" w:after="0" w:afterAutospacing="0"/>
                        <w:jc w:val="center"/>
                        <w:rPr>
                          <w:rFonts w:asciiTheme="minorHAnsi" w:hAnsiTheme="minorHAnsi" w:cstheme="minorHAnsi"/>
                          <w:sz w:val="22"/>
                          <w:szCs w:val="22"/>
                        </w:rPr>
                      </w:pPr>
                      <w:r w:rsidRPr="00EB26A4">
                        <w:rPr>
                          <w:rFonts w:asciiTheme="minorHAnsi" w:eastAsia="Times New Roman" w:hAnsiTheme="minorHAnsi" w:cstheme="minorHAnsi"/>
                          <w:bCs/>
                          <w:sz w:val="22"/>
                          <w:szCs w:val="22"/>
                        </w:rPr>
                        <w:t>Deporte Competición</w:t>
                      </w:r>
                    </w:p>
                  </w:txbxContent>
                </v:textbox>
              </v:roundrect>
            </w:pict>
          </mc:Fallback>
        </mc:AlternateContent>
      </w:r>
      <w:r w:rsidRPr="0051709F">
        <w:rPr>
          <w:rFonts w:cstheme="minorHAnsi"/>
          <w:noProof/>
          <w:lang w:val="en-GB" w:eastAsia="en-GB"/>
        </w:rPr>
        <mc:AlternateContent>
          <mc:Choice Requires="wps">
            <w:drawing>
              <wp:anchor distT="0" distB="0" distL="114300" distR="114300" simplePos="0" relativeHeight="251672576" behindDoc="0" locked="0" layoutInCell="1" allowOverlap="1" wp14:anchorId="2D6A63D7" wp14:editId="6D6BA53A">
                <wp:simplePos x="0" y="0"/>
                <wp:positionH relativeFrom="column">
                  <wp:posOffset>-186207</wp:posOffset>
                </wp:positionH>
                <wp:positionV relativeFrom="paragraph">
                  <wp:posOffset>72959</wp:posOffset>
                </wp:positionV>
                <wp:extent cx="3574415" cy="3233145"/>
                <wp:effectExtent l="38100" t="0" r="45085" b="43815"/>
                <wp:wrapNone/>
                <wp:docPr id="33" name="Forma libre 6"/>
                <wp:cNvGraphicFramePr/>
                <a:graphic xmlns:a="http://schemas.openxmlformats.org/drawingml/2006/main">
                  <a:graphicData uri="http://schemas.microsoft.com/office/word/2010/wordprocessingShape">
                    <wps:wsp>
                      <wps:cNvSpPr/>
                      <wps:spPr>
                        <a:xfrm>
                          <a:off x="0" y="0"/>
                          <a:ext cx="3574415" cy="3233145"/>
                        </a:xfrm>
                        <a:custGeom>
                          <a:avLst/>
                          <a:gdLst>
                            <a:gd name="connsiteX0" fmla="*/ 0 w 4397828"/>
                            <a:gd name="connsiteY0" fmla="*/ 4931944 h 5070617"/>
                            <a:gd name="connsiteX1" fmla="*/ 0 w 4397828"/>
                            <a:gd name="connsiteY1" fmla="*/ 4931944 h 5070617"/>
                            <a:gd name="connsiteX2" fmla="*/ 174171 w 4397828"/>
                            <a:gd name="connsiteY2" fmla="*/ 5019030 h 5070617"/>
                            <a:gd name="connsiteX3" fmla="*/ 631371 w 4397828"/>
                            <a:gd name="connsiteY3" fmla="*/ 5029916 h 5070617"/>
                            <a:gd name="connsiteX4" fmla="*/ 794657 w 4397828"/>
                            <a:gd name="connsiteY4" fmla="*/ 5019030 h 5070617"/>
                            <a:gd name="connsiteX5" fmla="*/ 1034143 w 4397828"/>
                            <a:gd name="connsiteY5" fmla="*/ 4997259 h 5070617"/>
                            <a:gd name="connsiteX6" fmla="*/ 1121228 w 4397828"/>
                            <a:gd name="connsiteY6" fmla="*/ 4986373 h 5070617"/>
                            <a:gd name="connsiteX7" fmla="*/ 1251857 w 4397828"/>
                            <a:gd name="connsiteY7" fmla="*/ 4975487 h 5070617"/>
                            <a:gd name="connsiteX8" fmla="*/ 1404257 w 4397828"/>
                            <a:gd name="connsiteY8" fmla="*/ 4953716 h 5070617"/>
                            <a:gd name="connsiteX9" fmla="*/ 1447800 w 4397828"/>
                            <a:gd name="connsiteY9" fmla="*/ 4942830 h 5070617"/>
                            <a:gd name="connsiteX10" fmla="*/ 1632857 w 4397828"/>
                            <a:gd name="connsiteY10" fmla="*/ 4921059 h 5070617"/>
                            <a:gd name="connsiteX11" fmla="*/ 2035628 w 4397828"/>
                            <a:gd name="connsiteY11" fmla="*/ 4910173 h 5070617"/>
                            <a:gd name="connsiteX12" fmla="*/ 2253343 w 4397828"/>
                            <a:gd name="connsiteY12" fmla="*/ 4877516 h 5070617"/>
                            <a:gd name="connsiteX13" fmla="*/ 2677885 w 4397828"/>
                            <a:gd name="connsiteY13" fmla="*/ 4855744 h 5070617"/>
                            <a:gd name="connsiteX14" fmla="*/ 2862943 w 4397828"/>
                            <a:gd name="connsiteY14" fmla="*/ 4833973 h 5070617"/>
                            <a:gd name="connsiteX15" fmla="*/ 3015343 w 4397828"/>
                            <a:gd name="connsiteY15" fmla="*/ 4823087 h 5070617"/>
                            <a:gd name="connsiteX16" fmla="*/ 3135085 w 4397828"/>
                            <a:gd name="connsiteY16" fmla="*/ 4801316 h 5070617"/>
                            <a:gd name="connsiteX17" fmla="*/ 3178628 w 4397828"/>
                            <a:gd name="connsiteY17" fmla="*/ 4790430 h 5070617"/>
                            <a:gd name="connsiteX18" fmla="*/ 3276600 w 4397828"/>
                            <a:gd name="connsiteY18" fmla="*/ 4779544 h 5070617"/>
                            <a:gd name="connsiteX19" fmla="*/ 3341914 w 4397828"/>
                            <a:gd name="connsiteY19" fmla="*/ 4768659 h 5070617"/>
                            <a:gd name="connsiteX20" fmla="*/ 4060371 w 4397828"/>
                            <a:gd name="connsiteY20" fmla="*/ 4757773 h 5070617"/>
                            <a:gd name="connsiteX21" fmla="*/ 4093028 w 4397828"/>
                            <a:gd name="connsiteY21" fmla="*/ 4746887 h 5070617"/>
                            <a:gd name="connsiteX22" fmla="*/ 4299857 w 4397828"/>
                            <a:gd name="connsiteY22" fmla="*/ 4725116 h 5070617"/>
                            <a:gd name="connsiteX23" fmla="*/ 4332514 w 4397828"/>
                            <a:gd name="connsiteY23" fmla="*/ 4714230 h 5070617"/>
                            <a:gd name="connsiteX24" fmla="*/ 4365171 w 4397828"/>
                            <a:gd name="connsiteY24" fmla="*/ 4670687 h 5070617"/>
                            <a:gd name="connsiteX25" fmla="*/ 4386943 w 4397828"/>
                            <a:gd name="connsiteY25" fmla="*/ 4648916 h 5070617"/>
                            <a:gd name="connsiteX26" fmla="*/ 4354285 w 4397828"/>
                            <a:gd name="connsiteY26" fmla="*/ 4333230 h 5070617"/>
                            <a:gd name="connsiteX27" fmla="*/ 4343400 w 4397828"/>
                            <a:gd name="connsiteY27" fmla="*/ 4300573 h 5070617"/>
                            <a:gd name="connsiteX28" fmla="*/ 4332514 w 4397828"/>
                            <a:gd name="connsiteY28" fmla="*/ 4257030 h 5070617"/>
                            <a:gd name="connsiteX29" fmla="*/ 4288971 w 4397828"/>
                            <a:gd name="connsiteY29" fmla="*/ 4191716 h 5070617"/>
                            <a:gd name="connsiteX30" fmla="*/ 4278085 w 4397828"/>
                            <a:gd name="connsiteY30" fmla="*/ 4148173 h 5070617"/>
                            <a:gd name="connsiteX31" fmla="*/ 4299857 w 4397828"/>
                            <a:gd name="connsiteY31" fmla="*/ 3865144 h 5070617"/>
                            <a:gd name="connsiteX32" fmla="*/ 4310743 w 4397828"/>
                            <a:gd name="connsiteY32" fmla="*/ 3832487 h 5070617"/>
                            <a:gd name="connsiteX33" fmla="*/ 4321628 w 4397828"/>
                            <a:gd name="connsiteY33" fmla="*/ 3756287 h 5070617"/>
                            <a:gd name="connsiteX34" fmla="*/ 4343400 w 4397828"/>
                            <a:gd name="connsiteY34" fmla="*/ 3690973 h 5070617"/>
                            <a:gd name="connsiteX35" fmla="*/ 4354285 w 4397828"/>
                            <a:gd name="connsiteY35" fmla="*/ 3647430 h 5070617"/>
                            <a:gd name="connsiteX36" fmla="*/ 4365171 w 4397828"/>
                            <a:gd name="connsiteY36" fmla="*/ 3614773 h 5070617"/>
                            <a:gd name="connsiteX37" fmla="*/ 4376057 w 4397828"/>
                            <a:gd name="connsiteY37" fmla="*/ 3571230 h 5070617"/>
                            <a:gd name="connsiteX38" fmla="*/ 4397828 w 4397828"/>
                            <a:gd name="connsiteY38" fmla="*/ 3495030 h 5070617"/>
                            <a:gd name="connsiteX39" fmla="*/ 4376057 w 4397828"/>
                            <a:gd name="connsiteY39" fmla="*/ 2939859 h 5070617"/>
                            <a:gd name="connsiteX40" fmla="*/ 4354285 w 4397828"/>
                            <a:gd name="connsiteY40" fmla="*/ 2787459 h 5070617"/>
                            <a:gd name="connsiteX41" fmla="*/ 4310743 w 4397828"/>
                            <a:gd name="connsiteY41" fmla="*/ 2645944 h 5070617"/>
                            <a:gd name="connsiteX42" fmla="*/ 4288971 w 4397828"/>
                            <a:gd name="connsiteY42" fmla="*/ 2602401 h 5070617"/>
                            <a:gd name="connsiteX43" fmla="*/ 4278085 w 4397828"/>
                            <a:gd name="connsiteY43" fmla="*/ 2569744 h 5070617"/>
                            <a:gd name="connsiteX44" fmla="*/ 4256314 w 4397828"/>
                            <a:gd name="connsiteY44" fmla="*/ 2526201 h 5070617"/>
                            <a:gd name="connsiteX45" fmla="*/ 4234543 w 4397828"/>
                            <a:gd name="connsiteY45" fmla="*/ 2471773 h 5070617"/>
                            <a:gd name="connsiteX46" fmla="*/ 4212771 w 4397828"/>
                            <a:gd name="connsiteY46" fmla="*/ 2439116 h 5070617"/>
                            <a:gd name="connsiteX47" fmla="*/ 4191000 w 4397828"/>
                            <a:gd name="connsiteY47" fmla="*/ 2384687 h 5070617"/>
                            <a:gd name="connsiteX48" fmla="*/ 4180114 w 4397828"/>
                            <a:gd name="connsiteY48" fmla="*/ 2352030 h 5070617"/>
                            <a:gd name="connsiteX49" fmla="*/ 4158343 w 4397828"/>
                            <a:gd name="connsiteY49" fmla="*/ 2319373 h 5070617"/>
                            <a:gd name="connsiteX50" fmla="*/ 4125685 w 4397828"/>
                            <a:gd name="connsiteY50" fmla="*/ 2264944 h 5070617"/>
                            <a:gd name="connsiteX51" fmla="*/ 4093028 w 4397828"/>
                            <a:gd name="connsiteY51" fmla="*/ 2221401 h 5070617"/>
                            <a:gd name="connsiteX52" fmla="*/ 4060371 w 4397828"/>
                            <a:gd name="connsiteY52" fmla="*/ 2166973 h 5070617"/>
                            <a:gd name="connsiteX53" fmla="*/ 4027714 w 4397828"/>
                            <a:gd name="connsiteY53" fmla="*/ 2123430 h 5070617"/>
                            <a:gd name="connsiteX54" fmla="*/ 3995057 w 4397828"/>
                            <a:gd name="connsiteY54" fmla="*/ 2069001 h 5070617"/>
                            <a:gd name="connsiteX55" fmla="*/ 3973285 w 4397828"/>
                            <a:gd name="connsiteY55" fmla="*/ 2047230 h 5070617"/>
                            <a:gd name="connsiteX56" fmla="*/ 3929743 w 4397828"/>
                            <a:gd name="connsiteY56" fmla="*/ 1992801 h 5070617"/>
                            <a:gd name="connsiteX57" fmla="*/ 3897085 w 4397828"/>
                            <a:gd name="connsiteY57" fmla="*/ 1960144 h 5070617"/>
                            <a:gd name="connsiteX58" fmla="*/ 3875314 w 4397828"/>
                            <a:gd name="connsiteY58" fmla="*/ 1927487 h 5070617"/>
                            <a:gd name="connsiteX59" fmla="*/ 3820885 w 4397828"/>
                            <a:gd name="connsiteY59" fmla="*/ 1862173 h 5070617"/>
                            <a:gd name="connsiteX60" fmla="*/ 3799114 w 4397828"/>
                            <a:gd name="connsiteY60" fmla="*/ 1818630 h 5070617"/>
                            <a:gd name="connsiteX61" fmla="*/ 3766457 w 4397828"/>
                            <a:gd name="connsiteY61" fmla="*/ 1731544 h 5070617"/>
                            <a:gd name="connsiteX62" fmla="*/ 3744685 w 4397828"/>
                            <a:gd name="connsiteY62" fmla="*/ 1709773 h 5070617"/>
                            <a:gd name="connsiteX63" fmla="*/ 3722914 w 4397828"/>
                            <a:gd name="connsiteY63" fmla="*/ 1666230 h 5070617"/>
                            <a:gd name="connsiteX64" fmla="*/ 3701143 w 4397828"/>
                            <a:gd name="connsiteY64" fmla="*/ 1600916 h 5070617"/>
                            <a:gd name="connsiteX65" fmla="*/ 3668485 w 4397828"/>
                            <a:gd name="connsiteY65" fmla="*/ 1546487 h 5070617"/>
                            <a:gd name="connsiteX66" fmla="*/ 3657600 w 4397828"/>
                            <a:gd name="connsiteY66" fmla="*/ 1513830 h 5070617"/>
                            <a:gd name="connsiteX67" fmla="*/ 3603171 w 4397828"/>
                            <a:gd name="connsiteY67" fmla="*/ 1415859 h 5070617"/>
                            <a:gd name="connsiteX68" fmla="*/ 3581400 w 4397828"/>
                            <a:gd name="connsiteY68" fmla="*/ 1394087 h 5070617"/>
                            <a:gd name="connsiteX69" fmla="*/ 3570514 w 4397828"/>
                            <a:gd name="connsiteY69" fmla="*/ 1361430 h 5070617"/>
                            <a:gd name="connsiteX70" fmla="*/ 3537857 w 4397828"/>
                            <a:gd name="connsiteY70" fmla="*/ 1317887 h 5070617"/>
                            <a:gd name="connsiteX71" fmla="*/ 3483428 w 4397828"/>
                            <a:gd name="connsiteY71" fmla="*/ 1252573 h 5070617"/>
                            <a:gd name="connsiteX72" fmla="*/ 3472543 w 4397828"/>
                            <a:gd name="connsiteY72" fmla="*/ 1219916 h 5070617"/>
                            <a:gd name="connsiteX73" fmla="*/ 3418114 w 4397828"/>
                            <a:gd name="connsiteY73" fmla="*/ 1154601 h 5070617"/>
                            <a:gd name="connsiteX74" fmla="*/ 3374571 w 4397828"/>
                            <a:gd name="connsiteY74" fmla="*/ 1100173 h 5070617"/>
                            <a:gd name="connsiteX75" fmla="*/ 3298371 w 4397828"/>
                            <a:gd name="connsiteY75" fmla="*/ 1013087 h 5070617"/>
                            <a:gd name="connsiteX76" fmla="*/ 3200400 w 4397828"/>
                            <a:gd name="connsiteY76" fmla="*/ 926001 h 5070617"/>
                            <a:gd name="connsiteX77" fmla="*/ 3145971 w 4397828"/>
                            <a:gd name="connsiteY77" fmla="*/ 860687 h 5070617"/>
                            <a:gd name="connsiteX78" fmla="*/ 3124200 w 4397828"/>
                            <a:gd name="connsiteY78" fmla="*/ 828030 h 5070617"/>
                            <a:gd name="connsiteX79" fmla="*/ 3069771 w 4397828"/>
                            <a:gd name="connsiteY79" fmla="*/ 784487 h 5070617"/>
                            <a:gd name="connsiteX80" fmla="*/ 3048000 w 4397828"/>
                            <a:gd name="connsiteY80" fmla="*/ 751830 h 5070617"/>
                            <a:gd name="connsiteX81" fmla="*/ 2982685 w 4397828"/>
                            <a:gd name="connsiteY81" fmla="*/ 697401 h 5070617"/>
                            <a:gd name="connsiteX82" fmla="*/ 2950028 w 4397828"/>
                            <a:gd name="connsiteY82" fmla="*/ 664744 h 5070617"/>
                            <a:gd name="connsiteX83" fmla="*/ 2884714 w 4397828"/>
                            <a:gd name="connsiteY83" fmla="*/ 621201 h 5070617"/>
                            <a:gd name="connsiteX84" fmla="*/ 2764971 w 4397828"/>
                            <a:gd name="connsiteY84" fmla="*/ 523230 h 5070617"/>
                            <a:gd name="connsiteX85" fmla="*/ 2667000 w 4397828"/>
                            <a:gd name="connsiteY85" fmla="*/ 436144 h 5070617"/>
                            <a:gd name="connsiteX86" fmla="*/ 2645228 w 4397828"/>
                            <a:gd name="connsiteY86" fmla="*/ 414373 h 5070617"/>
                            <a:gd name="connsiteX87" fmla="*/ 2623457 w 4397828"/>
                            <a:gd name="connsiteY87" fmla="*/ 392601 h 5070617"/>
                            <a:gd name="connsiteX88" fmla="*/ 2590800 w 4397828"/>
                            <a:gd name="connsiteY88" fmla="*/ 381716 h 5070617"/>
                            <a:gd name="connsiteX89" fmla="*/ 2492828 w 4397828"/>
                            <a:gd name="connsiteY89" fmla="*/ 305516 h 5070617"/>
                            <a:gd name="connsiteX90" fmla="*/ 2416628 w 4397828"/>
                            <a:gd name="connsiteY90" fmla="*/ 251087 h 5070617"/>
                            <a:gd name="connsiteX91" fmla="*/ 2383971 w 4397828"/>
                            <a:gd name="connsiteY91" fmla="*/ 229316 h 5070617"/>
                            <a:gd name="connsiteX92" fmla="*/ 2340428 w 4397828"/>
                            <a:gd name="connsiteY92" fmla="*/ 196659 h 5070617"/>
                            <a:gd name="connsiteX93" fmla="*/ 2296885 w 4397828"/>
                            <a:gd name="connsiteY93" fmla="*/ 185773 h 5070617"/>
                            <a:gd name="connsiteX94" fmla="*/ 2242457 w 4397828"/>
                            <a:gd name="connsiteY94" fmla="*/ 153116 h 5070617"/>
                            <a:gd name="connsiteX95" fmla="*/ 2177143 w 4397828"/>
                            <a:gd name="connsiteY95" fmla="*/ 120459 h 5070617"/>
                            <a:gd name="connsiteX96" fmla="*/ 2155371 w 4397828"/>
                            <a:gd name="connsiteY96" fmla="*/ 98687 h 5070617"/>
                            <a:gd name="connsiteX97" fmla="*/ 2111828 w 4397828"/>
                            <a:gd name="connsiteY97" fmla="*/ 87801 h 5070617"/>
                            <a:gd name="connsiteX98" fmla="*/ 2079171 w 4397828"/>
                            <a:gd name="connsiteY98" fmla="*/ 76916 h 5070617"/>
                            <a:gd name="connsiteX99" fmla="*/ 2035628 w 4397828"/>
                            <a:gd name="connsiteY99" fmla="*/ 66030 h 5070617"/>
                            <a:gd name="connsiteX100" fmla="*/ 2002971 w 4397828"/>
                            <a:gd name="connsiteY100" fmla="*/ 55144 h 5070617"/>
                            <a:gd name="connsiteX101" fmla="*/ 1905000 w 4397828"/>
                            <a:gd name="connsiteY101" fmla="*/ 33373 h 5070617"/>
                            <a:gd name="connsiteX102" fmla="*/ 1785257 w 4397828"/>
                            <a:gd name="connsiteY102" fmla="*/ 22487 h 5070617"/>
                            <a:gd name="connsiteX103" fmla="*/ 1328057 w 4397828"/>
                            <a:gd name="connsiteY103" fmla="*/ 22487 h 5070617"/>
                            <a:gd name="connsiteX104" fmla="*/ 1240971 w 4397828"/>
                            <a:gd name="connsiteY104" fmla="*/ 44259 h 5070617"/>
                            <a:gd name="connsiteX105" fmla="*/ 1197428 w 4397828"/>
                            <a:gd name="connsiteY105" fmla="*/ 55144 h 5070617"/>
                            <a:gd name="connsiteX106" fmla="*/ 1164771 w 4397828"/>
                            <a:gd name="connsiteY106" fmla="*/ 76916 h 5070617"/>
                            <a:gd name="connsiteX107" fmla="*/ 1055914 w 4397828"/>
                            <a:gd name="connsiteY107" fmla="*/ 109573 h 5070617"/>
                            <a:gd name="connsiteX108" fmla="*/ 1023257 w 4397828"/>
                            <a:gd name="connsiteY108" fmla="*/ 131344 h 5070617"/>
                            <a:gd name="connsiteX109" fmla="*/ 1001485 w 4397828"/>
                            <a:gd name="connsiteY109" fmla="*/ 153116 h 5070617"/>
                            <a:gd name="connsiteX110" fmla="*/ 968828 w 4397828"/>
                            <a:gd name="connsiteY110" fmla="*/ 164001 h 5070617"/>
                            <a:gd name="connsiteX111" fmla="*/ 936171 w 4397828"/>
                            <a:gd name="connsiteY111" fmla="*/ 185773 h 5070617"/>
                            <a:gd name="connsiteX112" fmla="*/ 892628 w 4397828"/>
                            <a:gd name="connsiteY112" fmla="*/ 207544 h 5070617"/>
                            <a:gd name="connsiteX113" fmla="*/ 838200 w 4397828"/>
                            <a:gd name="connsiteY113" fmla="*/ 261973 h 5070617"/>
                            <a:gd name="connsiteX114" fmla="*/ 783771 w 4397828"/>
                            <a:gd name="connsiteY114" fmla="*/ 305516 h 5070617"/>
                            <a:gd name="connsiteX115" fmla="*/ 740228 w 4397828"/>
                            <a:gd name="connsiteY115" fmla="*/ 338173 h 5070617"/>
                            <a:gd name="connsiteX116" fmla="*/ 696685 w 4397828"/>
                            <a:gd name="connsiteY116" fmla="*/ 381716 h 5070617"/>
                            <a:gd name="connsiteX117" fmla="*/ 653143 w 4397828"/>
                            <a:gd name="connsiteY117" fmla="*/ 414373 h 5070617"/>
                            <a:gd name="connsiteX118" fmla="*/ 587828 w 4397828"/>
                            <a:gd name="connsiteY118" fmla="*/ 479687 h 5070617"/>
                            <a:gd name="connsiteX119" fmla="*/ 544285 w 4397828"/>
                            <a:gd name="connsiteY119" fmla="*/ 545001 h 5070617"/>
                            <a:gd name="connsiteX120" fmla="*/ 446314 w 4397828"/>
                            <a:gd name="connsiteY120" fmla="*/ 632087 h 5070617"/>
                            <a:gd name="connsiteX121" fmla="*/ 413657 w 4397828"/>
                            <a:gd name="connsiteY121" fmla="*/ 664744 h 5070617"/>
                            <a:gd name="connsiteX122" fmla="*/ 381000 w 4397828"/>
                            <a:gd name="connsiteY122" fmla="*/ 697401 h 5070617"/>
                            <a:gd name="connsiteX123" fmla="*/ 326571 w 4397828"/>
                            <a:gd name="connsiteY123" fmla="*/ 773601 h 5070617"/>
                            <a:gd name="connsiteX124" fmla="*/ 304800 w 4397828"/>
                            <a:gd name="connsiteY124" fmla="*/ 806259 h 5070617"/>
                            <a:gd name="connsiteX125" fmla="*/ 293914 w 4397828"/>
                            <a:gd name="connsiteY125" fmla="*/ 849801 h 5070617"/>
                            <a:gd name="connsiteX126" fmla="*/ 272143 w 4397828"/>
                            <a:gd name="connsiteY126" fmla="*/ 871573 h 5070617"/>
                            <a:gd name="connsiteX127" fmla="*/ 228600 w 4397828"/>
                            <a:gd name="connsiteY127" fmla="*/ 969544 h 5070617"/>
                            <a:gd name="connsiteX128" fmla="*/ 217714 w 4397828"/>
                            <a:gd name="connsiteY128" fmla="*/ 1013087 h 5070617"/>
                            <a:gd name="connsiteX129" fmla="*/ 195943 w 4397828"/>
                            <a:gd name="connsiteY129" fmla="*/ 1078401 h 5070617"/>
                            <a:gd name="connsiteX130" fmla="*/ 174171 w 4397828"/>
                            <a:gd name="connsiteY130" fmla="*/ 1143716 h 5070617"/>
                            <a:gd name="connsiteX131" fmla="*/ 163285 w 4397828"/>
                            <a:gd name="connsiteY131" fmla="*/ 1176373 h 5070617"/>
                            <a:gd name="connsiteX132" fmla="*/ 152400 w 4397828"/>
                            <a:gd name="connsiteY132" fmla="*/ 1209030 h 5070617"/>
                            <a:gd name="connsiteX133" fmla="*/ 163285 w 4397828"/>
                            <a:gd name="connsiteY133" fmla="*/ 1546487 h 5070617"/>
                            <a:gd name="connsiteX134" fmla="*/ 174171 w 4397828"/>
                            <a:gd name="connsiteY134" fmla="*/ 1590030 h 5070617"/>
                            <a:gd name="connsiteX135" fmla="*/ 195943 w 4397828"/>
                            <a:gd name="connsiteY135" fmla="*/ 1633573 h 5070617"/>
                            <a:gd name="connsiteX136" fmla="*/ 217714 w 4397828"/>
                            <a:gd name="connsiteY136" fmla="*/ 1775087 h 5070617"/>
                            <a:gd name="connsiteX137" fmla="*/ 206828 w 4397828"/>
                            <a:gd name="connsiteY137" fmla="*/ 1971030 h 5070617"/>
                            <a:gd name="connsiteX138" fmla="*/ 185057 w 4397828"/>
                            <a:gd name="connsiteY138" fmla="*/ 2079887 h 5070617"/>
                            <a:gd name="connsiteX139" fmla="*/ 174171 w 4397828"/>
                            <a:gd name="connsiteY139" fmla="*/ 2166973 h 5070617"/>
                            <a:gd name="connsiteX140" fmla="*/ 185057 w 4397828"/>
                            <a:gd name="connsiteY140" fmla="*/ 2482659 h 5070617"/>
                            <a:gd name="connsiteX141" fmla="*/ 195943 w 4397828"/>
                            <a:gd name="connsiteY141" fmla="*/ 2537087 h 5070617"/>
                            <a:gd name="connsiteX142" fmla="*/ 185057 w 4397828"/>
                            <a:gd name="connsiteY142" fmla="*/ 2765687 h 5070617"/>
                            <a:gd name="connsiteX143" fmla="*/ 163285 w 4397828"/>
                            <a:gd name="connsiteY143" fmla="*/ 3026944 h 5070617"/>
                            <a:gd name="connsiteX144" fmla="*/ 174171 w 4397828"/>
                            <a:gd name="connsiteY144" fmla="*/ 3799830 h 5070617"/>
                            <a:gd name="connsiteX145" fmla="*/ 195943 w 4397828"/>
                            <a:gd name="connsiteY145" fmla="*/ 3886916 h 5070617"/>
                            <a:gd name="connsiteX146" fmla="*/ 206828 w 4397828"/>
                            <a:gd name="connsiteY146" fmla="*/ 3930459 h 5070617"/>
                            <a:gd name="connsiteX147" fmla="*/ 228600 w 4397828"/>
                            <a:gd name="connsiteY147" fmla="*/ 4006659 h 5070617"/>
                            <a:gd name="connsiteX148" fmla="*/ 239485 w 4397828"/>
                            <a:gd name="connsiteY148" fmla="*/ 4071973 h 5070617"/>
                            <a:gd name="connsiteX149" fmla="*/ 250371 w 4397828"/>
                            <a:gd name="connsiteY149" fmla="*/ 4126401 h 5070617"/>
                            <a:gd name="connsiteX150" fmla="*/ 272143 w 4397828"/>
                            <a:gd name="connsiteY150" fmla="*/ 4191716 h 5070617"/>
                            <a:gd name="connsiteX151" fmla="*/ 250371 w 4397828"/>
                            <a:gd name="connsiteY151" fmla="*/ 4518287 h 5070617"/>
                            <a:gd name="connsiteX152" fmla="*/ 217714 w 4397828"/>
                            <a:gd name="connsiteY152" fmla="*/ 4692459 h 5070617"/>
                            <a:gd name="connsiteX153" fmla="*/ 206828 w 4397828"/>
                            <a:gd name="connsiteY153" fmla="*/ 4725116 h 5070617"/>
                            <a:gd name="connsiteX154" fmla="*/ 163285 w 4397828"/>
                            <a:gd name="connsiteY154" fmla="*/ 4779544 h 5070617"/>
                            <a:gd name="connsiteX155" fmla="*/ 152400 w 4397828"/>
                            <a:gd name="connsiteY155" fmla="*/ 4812201 h 5070617"/>
                            <a:gd name="connsiteX156" fmla="*/ 65314 w 4397828"/>
                            <a:gd name="connsiteY156" fmla="*/ 4888401 h 5070617"/>
                            <a:gd name="connsiteX157" fmla="*/ 76200 w 4397828"/>
                            <a:gd name="connsiteY157" fmla="*/ 4942830 h 5070617"/>
                            <a:gd name="connsiteX158" fmla="*/ 87085 w 4397828"/>
                            <a:gd name="connsiteY158" fmla="*/ 4975487 h 5070617"/>
                            <a:gd name="connsiteX159" fmla="*/ 119743 w 4397828"/>
                            <a:gd name="connsiteY159" fmla="*/ 4986373 h 5070617"/>
                            <a:gd name="connsiteX160" fmla="*/ 174171 w 4397828"/>
                            <a:gd name="connsiteY160" fmla="*/ 5029916 h 5070617"/>
                            <a:gd name="connsiteX161" fmla="*/ 0 w 4397828"/>
                            <a:gd name="connsiteY161" fmla="*/ 4931944 h 507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Lst>
                          <a:rect l="l" t="t" r="r" b="b"/>
                          <a:pathLst>
                            <a:path w="4397828" h="5070617">
                              <a:moveTo>
                                <a:pt x="0" y="4931944"/>
                              </a:moveTo>
                              <a:lnTo>
                                <a:pt x="0" y="4931944"/>
                              </a:lnTo>
                              <a:cubicBezTo>
                                <a:pt x="135352" y="5018077"/>
                                <a:pt x="73351" y="4998865"/>
                                <a:pt x="174171" y="5019030"/>
                              </a:cubicBezTo>
                              <a:cubicBezTo>
                                <a:pt x="323959" y="5118887"/>
                                <a:pt x="200837" y="5045861"/>
                                <a:pt x="631371" y="5029916"/>
                              </a:cubicBezTo>
                              <a:cubicBezTo>
                                <a:pt x="685883" y="5027897"/>
                                <a:pt x="740228" y="5022659"/>
                                <a:pt x="794657" y="5019030"/>
                              </a:cubicBezTo>
                              <a:cubicBezTo>
                                <a:pt x="957107" y="4995822"/>
                                <a:pt x="776694" y="5019646"/>
                                <a:pt x="1034143" y="4997259"/>
                              </a:cubicBezTo>
                              <a:cubicBezTo>
                                <a:pt x="1063287" y="4994725"/>
                                <a:pt x="1092119" y="4989284"/>
                                <a:pt x="1121228" y="4986373"/>
                              </a:cubicBezTo>
                              <a:cubicBezTo>
                                <a:pt x="1164705" y="4982025"/>
                                <a:pt x="1208314" y="4979116"/>
                                <a:pt x="1251857" y="4975487"/>
                              </a:cubicBezTo>
                              <a:cubicBezTo>
                                <a:pt x="1399164" y="4946025"/>
                                <a:pt x="1180170" y="4988190"/>
                                <a:pt x="1404257" y="4953716"/>
                              </a:cubicBezTo>
                              <a:cubicBezTo>
                                <a:pt x="1419044" y="4951441"/>
                                <a:pt x="1433080" y="4945506"/>
                                <a:pt x="1447800" y="4942830"/>
                              </a:cubicBezTo>
                              <a:cubicBezTo>
                                <a:pt x="1489685" y="4935214"/>
                                <a:pt x="1598548" y="4922519"/>
                                <a:pt x="1632857" y="4921059"/>
                              </a:cubicBezTo>
                              <a:cubicBezTo>
                                <a:pt x="1767042" y="4915349"/>
                                <a:pt x="1901371" y="4913802"/>
                                <a:pt x="2035628" y="4910173"/>
                              </a:cubicBezTo>
                              <a:cubicBezTo>
                                <a:pt x="2078190" y="4903079"/>
                                <a:pt x="2199941" y="4880961"/>
                                <a:pt x="2253343" y="4877516"/>
                              </a:cubicBezTo>
                              <a:cubicBezTo>
                                <a:pt x="2655010" y="4851602"/>
                                <a:pt x="2355454" y="4880546"/>
                                <a:pt x="2677885" y="4855744"/>
                              </a:cubicBezTo>
                              <a:cubicBezTo>
                                <a:pt x="3057927" y="4826511"/>
                                <a:pt x="2577802" y="4861130"/>
                                <a:pt x="2862943" y="4833973"/>
                              </a:cubicBezTo>
                              <a:cubicBezTo>
                                <a:pt x="2913643" y="4829144"/>
                                <a:pt x="2964543" y="4826716"/>
                                <a:pt x="3015343" y="4823087"/>
                              </a:cubicBezTo>
                              <a:cubicBezTo>
                                <a:pt x="3085409" y="4799731"/>
                                <a:pt x="3011995" y="4821831"/>
                                <a:pt x="3135085" y="4801316"/>
                              </a:cubicBezTo>
                              <a:cubicBezTo>
                                <a:pt x="3149842" y="4798856"/>
                                <a:pt x="3163841" y="4792705"/>
                                <a:pt x="3178628" y="4790430"/>
                              </a:cubicBezTo>
                              <a:cubicBezTo>
                                <a:pt x="3211104" y="4785434"/>
                                <a:pt x="3244030" y="4783887"/>
                                <a:pt x="3276600" y="4779544"/>
                              </a:cubicBezTo>
                              <a:cubicBezTo>
                                <a:pt x="3298478" y="4776627"/>
                                <a:pt x="3319851" y="4769272"/>
                                <a:pt x="3341914" y="4768659"/>
                              </a:cubicBezTo>
                              <a:cubicBezTo>
                                <a:pt x="3581335" y="4762009"/>
                                <a:pt x="3820885" y="4761402"/>
                                <a:pt x="4060371" y="4757773"/>
                              </a:cubicBezTo>
                              <a:cubicBezTo>
                                <a:pt x="4071257" y="4754144"/>
                                <a:pt x="4081827" y="4749376"/>
                                <a:pt x="4093028" y="4746887"/>
                              </a:cubicBezTo>
                              <a:cubicBezTo>
                                <a:pt x="4162195" y="4731516"/>
                                <a:pt x="4228110" y="4730635"/>
                                <a:pt x="4299857" y="4725116"/>
                              </a:cubicBezTo>
                              <a:cubicBezTo>
                                <a:pt x="4310743" y="4721487"/>
                                <a:pt x="4323699" y="4721576"/>
                                <a:pt x="4332514" y="4714230"/>
                              </a:cubicBezTo>
                              <a:cubicBezTo>
                                <a:pt x="4346452" y="4702615"/>
                                <a:pt x="4353556" y="4684625"/>
                                <a:pt x="4365171" y="4670687"/>
                              </a:cubicBezTo>
                              <a:cubicBezTo>
                                <a:pt x="4371741" y="4662803"/>
                                <a:pt x="4379686" y="4656173"/>
                                <a:pt x="4386943" y="4648916"/>
                              </a:cubicBezTo>
                              <a:cubicBezTo>
                                <a:pt x="4380337" y="4510190"/>
                                <a:pt x="4392323" y="4447350"/>
                                <a:pt x="4354285" y="4333230"/>
                              </a:cubicBezTo>
                              <a:cubicBezTo>
                                <a:pt x="4350657" y="4322344"/>
                                <a:pt x="4346552" y="4311606"/>
                                <a:pt x="4343400" y="4300573"/>
                              </a:cubicBezTo>
                              <a:cubicBezTo>
                                <a:pt x="4339290" y="4286188"/>
                                <a:pt x="4339205" y="4270412"/>
                                <a:pt x="4332514" y="4257030"/>
                              </a:cubicBezTo>
                              <a:cubicBezTo>
                                <a:pt x="4320812" y="4233627"/>
                                <a:pt x="4288971" y="4191716"/>
                                <a:pt x="4288971" y="4191716"/>
                              </a:cubicBezTo>
                              <a:cubicBezTo>
                                <a:pt x="4285342" y="4177202"/>
                                <a:pt x="4278085" y="4163134"/>
                                <a:pt x="4278085" y="4148173"/>
                              </a:cubicBezTo>
                              <a:cubicBezTo>
                                <a:pt x="4278085" y="4054725"/>
                                <a:pt x="4276863" y="3957116"/>
                                <a:pt x="4299857" y="3865144"/>
                              </a:cubicBezTo>
                              <a:cubicBezTo>
                                <a:pt x="4302640" y="3854012"/>
                                <a:pt x="4307114" y="3843373"/>
                                <a:pt x="4310743" y="3832487"/>
                              </a:cubicBezTo>
                              <a:cubicBezTo>
                                <a:pt x="4314371" y="3807087"/>
                                <a:pt x="4315859" y="3781288"/>
                                <a:pt x="4321628" y="3756287"/>
                              </a:cubicBezTo>
                              <a:cubicBezTo>
                                <a:pt x="4326788" y="3733926"/>
                                <a:pt x="4336806" y="3712954"/>
                                <a:pt x="4343400" y="3690973"/>
                              </a:cubicBezTo>
                              <a:cubicBezTo>
                                <a:pt x="4347699" y="3676643"/>
                                <a:pt x="4350175" y="3661815"/>
                                <a:pt x="4354285" y="3647430"/>
                              </a:cubicBezTo>
                              <a:cubicBezTo>
                                <a:pt x="4357437" y="3636397"/>
                                <a:pt x="4362019" y="3625806"/>
                                <a:pt x="4365171" y="3614773"/>
                              </a:cubicBezTo>
                              <a:cubicBezTo>
                                <a:pt x="4369281" y="3600388"/>
                                <a:pt x="4371947" y="3585615"/>
                                <a:pt x="4376057" y="3571230"/>
                              </a:cubicBezTo>
                              <a:cubicBezTo>
                                <a:pt x="4407280" y="3461953"/>
                                <a:pt x="4363813" y="3631100"/>
                                <a:pt x="4397828" y="3495030"/>
                              </a:cubicBezTo>
                              <a:cubicBezTo>
                                <a:pt x="4389330" y="3146595"/>
                                <a:pt x="4400948" y="3163875"/>
                                <a:pt x="4376057" y="2939859"/>
                              </a:cubicBezTo>
                              <a:cubicBezTo>
                                <a:pt x="4371978" y="2903146"/>
                                <a:pt x="4362780" y="2827101"/>
                                <a:pt x="4354285" y="2787459"/>
                              </a:cubicBezTo>
                              <a:cubicBezTo>
                                <a:pt x="4340297" y="2722183"/>
                                <a:pt x="4335449" y="2701532"/>
                                <a:pt x="4310743" y="2645944"/>
                              </a:cubicBezTo>
                              <a:cubicBezTo>
                                <a:pt x="4304152" y="2631115"/>
                                <a:pt x="4295364" y="2617316"/>
                                <a:pt x="4288971" y="2602401"/>
                              </a:cubicBezTo>
                              <a:cubicBezTo>
                                <a:pt x="4284451" y="2591854"/>
                                <a:pt x="4282605" y="2580291"/>
                                <a:pt x="4278085" y="2569744"/>
                              </a:cubicBezTo>
                              <a:cubicBezTo>
                                <a:pt x="4271693" y="2554829"/>
                                <a:pt x="4262905" y="2541030"/>
                                <a:pt x="4256314" y="2526201"/>
                              </a:cubicBezTo>
                              <a:cubicBezTo>
                                <a:pt x="4248378" y="2508345"/>
                                <a:pt x="4243282" y="2489250"/>
                                <a:pt x="4234543" y="2471773"/>
                              </a:cubicBezTo>
                              <a:cubicBezTo>
                                <a:pt x="4228692" y="2460071"/>
                                <a:pt x="4218622" y="2450818"/>
                                <a:pt x="4212771" y="2439116"/>
                              </a:cubicBezTo>
                              <a:cubicBezTo>
                                <a:pt x="4204032" y="2421638"/>
                                <a:pt x="4197861" y="2402983"/>
                                <a:pt x="4191000" y="2384687"/>
                              </a:cubicBezTo>
                              <a:cubicBezTo>
                                <a:pt x="4186971" y="2373943"/>
                                <a:pt x="4185246" y="2362293"/>
                                <a:pt x="4180114" y="2352030"/>
                              </a:cubicBezTo>
                              <a:cubicBezTo>
                                <a:pt x="4174263" y="2340328"/>
                                <a:pt x="4165277" y="2330467"/>
                                <a:pt x="4158343" y="2319373"/>
                              </a:cubicBezTo>
                              <a:cubicBezTo>
                                <a:pt x="4147129" y="2301431"/>
                                <a:pt x="4137422" y="2282549"/>
                                <a:pt x="4125685" y="2264944"/>
                              </a:cubicBezTo>
                              <a:cubicBezTo>
                                <a:pt x="4115621" y="2249848"/>
                                <a:pt x="4103092" y="2236497"/>
                                <a:pt x="4093028" y="2221401"/>
                              </a:cubicBezTo>
                              <a:cubicBezTo>
                                <a:pt x="4081292" y="2203797"/>
                                <a:pt x="4072107" y="2184577"/>
                                <a:pt x="4060371" y="2166973"/>
                              </a:cubicBezTo>
                              <a:cubicBezTo>
                                <a:pt x="4050307" y="2151877"/>
                                <a:pt x="4037778" y="2138526"/>
                                <a:pt x="4027714" y="2123430"/>
                              </a:cubicBezTo>
                              <a:cubicBezTo>
                                <a:pt x="4015978" y="2105825"/>
                                <a:pt x="4007355" y="2086218"/>
                                <a:pt x="3995057" y="2069001"/>
                              </a:cubicBezTo>
                              <a:cubicBezTo>
                                <a:pt x="3989092" y="2060650"/>
                                <a:pt x="3979964" y="2055022"/>
                                <a:pt x="3973285" y="2047230"/>
                              </a:cubicBezTo>
                              <a:cubicBezTo>
                                <a:pt x="3958164" y="2029589"/>
                                <a:pt x="3945043" y="2010286"/>
                                <a:pt x="3929743" y="1992801"/>
                              </a:cubicBezTo>
                              <a:cubicBezTo>
                                <a:pt x="3919605" y="1981215"/>
                                <a:pt x="3906941" y="1971971"/>
                                <a:pt x="3897085" y="1960144"/>
                              </a:cubicBezTo>
                              <a:cubicBezTo>
                                <a:pt x="3888709" y="1950094"/>
                                <a:pt x="3882918" y="1938133"/>
                                <a:pt x="3875314" y="1927487"/>
                              </a:cubicBezTo>
                              <a:cubicBezTo>
                                <a:pt x="3842968" y="1882202"/>
                                <a:pt x="3851827" y="1893114"/>
                                <a:pt x="3820885" y="1862173"/>
                              </a:cubicBezTo>
                              <a:cubicBezTo>
                                <a:pt x="3813628" y="1847659"/>
                                <a:pt x="3805506" y="1833545"/>
                                <a:pt x="3799114" y="1818630"/>
                              </a:cubicBezTo>
                              <a:cubicBezTo>
                                <a:pt x="3782204" y="1779174"/>
                                <a:pt x="3792224" y="1776636"/>
                                <a:pt x="3766457" y="1731544"/>
                              </a:cubicBezTo>
                              <a:cubicBezTo>
                                <a:pt x="3761365" y="1722633"/>
                                <a:pt x="3751942" y="1717030"/>
                                <a:pt x="3744685" y="1709773"/>
                              </a:cubicBezTo>
                              <a:cubicBezTo>
                                <a:pt x="3737428" y="1695259"/>
                                <a:pt x="3728941" y="1681297"/>
                                <a:pt x="3722914" y="1666230"/>
                              </a:cubicBezTo>
                              <a:cubicBezTo>
                                <a:pt x="3714391" y="1644922"/>
                                <a:pt x="3712950" y="1620594"/>
                                <a:pt x="3701143" y="1600916"/>
                              </a:cubicBezTo>
                              <a:cubicBezTo>
                                <a:pt x="3690257" y="1582773"/>
                                <a:pt x="3677947" y="1565412"/>
                                <a:pt x="3668485" y="1546487"/>
                              </a:cubicBezTo>
                              <a:cubicBezTo>
                                <a:pt x="3663353" y="1536224"/>
                                <a:pt x="3662120" y="1524377"/>
                                <a:pt x="3657600" y="1513830"/>
                              </a:cubicBezTo>
                              <a:cubicBezTo>
                                <a:pt x="3646508" y="1487948"/>
                                <a:pt x="3617915" y="1436501"/>
                                <a:pt x="3603171" y="1415859"/>
                              </a:cubicBezTo>
                              <a:cubicBezTo>
                                <a:pt x="3597206" y="1407507"/>
                                <a:pt x="3588657" y="1401344"/>
                                <a:pt x="3581400" y="1394087"/>
                              </a:cubicBezTo>
                              <a:cubicBezTo>
                                <a:pt x="3577771" y="1383201"/>
                                <a:pt x="3576207" y="1371393"/>
                                <a:pt x="3570514" y="1361430"/>
                              </a:cubicBezTo>
                              <a:cubicBezTo>
                                <a:pt x="3561513" y="1345678"/>
                                <a:pt x="3548402" y="1332650"/>
                                <a:pt x="3537857" y="1317887"/>
                              </a:cubicBezTo>
                              <a:cubicBezTo>
                                <a:pt x="3499970" y="1264846"/>
                                <a:pt x="3534250" y="1303395"/>
                                <a:pt x="3483428" y="1252573"/>
                              </a:cubicBezTo>
                              <a:cubicBezTo>
                                <a:pt x="3479800" y="1241687"/>
                                <a:pt x="3477675" y="1230179"/>
                                <a:pt x="3472543" y="1219916"/>
                              </a:cubicBezTo>
                              <a:cubicBezTo>
                                <a:pt x="3457389" y="1189608"/>
                                <a:pt x="3442186" y="1178674"/>
                                <a:pt x="3418114" y="1154601"/>
                              </a:cubicBezTo>
                              <a:cubicBezTo>
                                <a:pt x="3396921" y="1091024"/>
                                <a:pt x="3423810" y="1149412"/>
                                <a:pt x="3374571" y="1100173"/>
                              </a:cubicBezTo>
                              <a:cubicBezTo>
                                <a:pt x="3315755" y="1041357"/>
                                <a:pt x="3351205" y="1057115"/>
                                <a:pt x="3298371" y="1013087"/>
                              </a:cubicBezTo>
                              <a:cubicBezTo>
                                <a:pt x="3249286" y="972183"/>
                                <a:pt x="3253335" y="1005400"/>
                                <a:pt x="3200400" y="926001"/>
                              </a:cubicBezTo>
                              <a:cubicBezTo>
                                <a:pt x="3146340" y="844913"/>
                                <a:pt x="3215824" y="944511"/>
                                <a:pt x="3145971" y="860687"/>
                              </a:cubicBezTo>
                              <a:cubicBezTo>
                                <a:pt x="3137596" y="850636"/>
                                <a:pt x="3133451" y="837281"/>
                                <a:pt x="3124200" y="828030"/>
                              </a:cubicBezTo>
                              <a:cubicBezTo>
                                <a:pt x="3067619" y="771449"/>
                                <a:pt x="3112863" y="838352"/>
                                <a:pt x="3069771" y="784487"/>
                              </a:cubicBezTo>
                              <a:cubicBezTo>
                                <a:pt x="3061598" y="774271"/>
                                <a:pt x="3056375" y="761881"/>
                                <a:pt x="3048000" y="751830"/>
                              </a:cubicBezTo>
                              <a:cubicBezTo>
                                <a:pt x="3004634" y="699791"/>
                                <a:pt x="3029391" y="736322"/>
                                <a:pt x="2982685" y="697401"/>
                              </a:cubicBezTo>
                              <a:cubicBezTo>
                                <a:pt x="2970858" y="687546"/>
                                <a:pt x="2962180" y="674195"/>
                                <a:pt x="2950028" y="664744"/>
                              </a:cubicBezTo>
                              <a:cubicBezTo>
                                <a:pt x="2929374" y="648680"/>
                                <a:pt x="2903216" y="639703"/>
                                <a:pt x="2884714" y="621201"/>
                              </a:cubicBezTo>
                              <a:cubicBezTo>
                                <a:pt x="2826399" y="562886"/>
                                <a:pt x="2864373" y="597781"/>
                                <a:pt x="2764971" y="523230"/>
                              </a:cubicBezTo>
                              <a:cubicBezTo>
                                <a:pt x="2700898" y="475176"/>
                                <a:pt x="2734262" y="503406"/>
                                <a:pt x="2667000" y="436144"/>
                              </a:cubicBezTo>
                              <a:lnTo>
                                <a:pt x="2645228" y="414373"/>
                              </a:lnTo>
                              <a:cubicBezTo>
                                <a:pt x="2637971" y="407116"/>
                                <a:pt x="2633194" y="395846"/>
                                <a:pt x="2623457" y="392601"/>
                              </a:cubicBezTo>
                              <a:lnTo>
                                <a:pt x="2590800" y="381716"/>
                              </a:lnTo>
                              <a:cubicBezTo>
                                <a:pt x="2517371" y="308287"/>
                                <a:pt x="2554695" y="326137"/>
                                <a:pt x="2492828" y="305516"/>
                              </a:cubicBezTo>
                              <a:cubicBezTo>
                                <a:pt x="2415847" y="254193"/>
                                <a:pt x="2511170" y="318617"/>
                                <a:pt x="2416628" y="251087"/>
                              </a:cubicBezTo>
                              <a:cubicBezTo>
                                <a:pt x="2405982" y="243483"/>
                                <a:pt x="2394617" y="236920"/>
                                <a:pt x="2383971" y="229316"/>
                              </a:cubicBezTo>
                              <a:cubicBezTo>
                                <a:pt x="2369207" y="218771"/>
                                <a:pt x="2356655" y="204773"/>
                                <a:pt x="2340428" y="196659"/>
                              </a:cubicBezTo>
                              <a:cubicBezTo>
                                <a:pt x="2327046" y="189968"/>
                                <a:pt x="2311399" y="189402"/>
                                <a:pt x="2296885" y="185773"/>
                              </a:cubicBezTo>
                              <a:cubicBezTo>
                                <a:pt x="2254361" y="143247"/>
                                <a:pt x="2298982" y="181379"/>
                                <a:pt x="2242457" y="153116"/>
                              </a:cubicBezTo>
                              <a:cubicBezTo>
                                <a:pt x="2158049" y="110912"/>
                                <a:pt x="2259227" y="147819"/>
                                <a:pt x="2177143" y="120459"/>
                              </a:cubicBezTo>
                              <a:cubicBezTo>
                                <a:pt x="2169886" y="113202"/>
                                <a:pt x="2164551" y="103277"/>
                                <a:pt x="2155371" y="98687"/>
                              </a:cubicBezTo>
                              <a:cubicBezTo>
                                <a:pt x="2141989" y="91996"/>
                                <a:pt x="2126213" y="91911"/>
                                <a:pt x="2111828" y="87801"/>
                              </a:cubicBezTo>
                              <a:cubicBezTo>
                                <a:pt x="2100795" y="84649"/>
                                <a:pt x="2090204" y="80068"/>
                                <a:pt x="2079171" y="76916"/>
                              </a:cubicBezTo>
                              <a:cubicBezTo>
                                <a:pt x="2064786" y="72806"/>
                                <a:pt x="2050013" y="70140"/>
                                <a:pt x="2035628" y="66030"/>
                              </a:cubicBezTo>
                              <a:cubicBezTo>
                                <a:pt x="2024595" y="62878"/>
                                <a:pt x="2014004" y="58296"/>
                                <a:pt x="2002971" y="55144"/>
                              </a:cubicBezTo>
                              <a:cubicBezTo>
                                <a:pt x="1981226" y="48931"/>
                                <a:pt x="1924943" y="35866"/>
                                <a:pt x="1905000" y="33373"/>
                              </a:cubicBezTo>
                              <a:cubicBezTo>
                                <a:pt x="1865231" y="28402"/>
                                <a:pt x="1825171" y="26116"/>
                                <a:pt x="1785257" y="22487"/>
                              </a:cubicBezTo>
                              <a:cubicBezTo>
                                <a:pt x="1607757" y="-13014"/>
                                <a:pt x="1686703" y="-1423"/>
                                <a:pt x="1328057" y="22487"/>
                              </a:cubicBezTo>
                              <a:cubicBezTo>
                                <a:pt x="1298201" y="24477"/>
                                <a:pt x="1270000" y="37002"/>
                                <a:pt x="1240971" y="44259"/>
                              </a:cubicBezTo>
                              <a:lnTo>
                                <a:pt x="1197428" y="55144"/>
                              </a:lnTo>
                              <a:cubicBezTo>
                                <a:pt x="1186542" y="62401"/>
                                <a:pt x="1176726" y="71602"/>
                                <a:pt x="1164771" y="76916"/>
                              </a:cubicBezTo>
                              <a:cubicBezTo>
                                <a:pt x="1130700" y="92059"/>
                                <a:pt x="1092099" y="100526"/>
                                <a:pt x="1055914" y="109573"/>
                              </a:cubicBezTo>
                              <a:cubicBezTo>
                                <a:pt x="1045028" y="116830"/>
                                <a:pt x="1033473" y="123171"/>
                                <a:pt x="1023257" y="131344"/>
                              </a:cubicBezTo>
                              <a:cubicBezTo>
                                <a:pt x="1015243" y="137755"/>
                                <a:pt x="1010286" y="147836"/>
                                <a:pt x="1001485" y="153116"/>
                              </a:cubicBezTo>
                              <a:cubicBezTo>
                                <a:pt x="991646" y="159019"/>
                                <a:pt x="979714" y="160373"/>
                                <a:pt x="968828" y="164001"/>
                              </a:cubicBezTo>
                              <a:cubicBezTo>
                                <a:pt x="957942" y="171258"/>
                                <a:pt x="947530" y="179282"/>
                                <a:pt x="936171" y="185773"/>
                              </a:cubicBezTo>
                              <a:cubicBezTo>
                                <a:pt x="922082" y="193824"/>
                                <a:pt x="905437" y="197581"/>
                                <a:pt x="892628" y="207544"/>
                              </a:cubicBezTo>
                              <a:cubicBezTo>
                                <a:pt x="872375" y="223296"/>
                                <a:pt x="859549" y="247741"/>
                                <a:pt x="838200" y="261973"/>
                              </a:cubicBezTo>
                              <a:cubicBezTo>
                                <a:pt x="757459" y="315799"/>
                                <a:pt x="845816" y="253812"/>
                                <a:pt x="783771" y="305516"/>
                              </a:cubicBezTo>
                              <a:cubicBezTo>
                                <a:pt x="769833" y="317131"/>
                                <a:pt x="753882" y="326226"/>
                                <a:pt x="740228" y="338173"/>
                              </a:cubicBezTo>
                              <a:cubicBezTo>
                                <a:pt x="724780" y="351690"/>
                                <a:pt x="712133" y="368199"/>
                                <a:pt x="696685" y="381716"/>
                              </a:cubicBezTo>
                              <a:cubicBezTo>
                                <a:pt x="683031" y="393663"/>
                                <a:pt x="666628" y="402236"/>
                                <a:pt x="653143" y="414373"/>
                              </a:cubicBezTo>
                              <a:cubicBezTo>
                                <a:pt x="630257" y="434970"/>
                                <a:pt x="604907" y="454069"/>
                                <a:pt x="587828" y="479687"/>
                              </a:cubicBezTo>
                              <a:cubicBezTo>
                                <a:pt x="573314" y="501458"/>
                                <a:pt x="566056" y="530486"/>
                                <a:pt x="544285" y="545001"/>
                              </a:cubicBezTo>
                              <a:cubicBezTo>
                                <a:pt x="486010" y="583852"/>
                                <a:pt x="520879" y="557522"/>
                                <a:pt x="446314" y="632087"/>
                              </a:cubicBezTo>
                              <a:lnTo>
                                <a:pt x="413657" y="664744"/>
                              </a:lnTo>
                              <a:cubicBezTo>
                                <a:pt x="402771" y="675630"/>
                                <a:pt x="389539" y="684592"/>
                                <a:pt x="381000" y="697401"/>
                              </a:cubicBezTo>
                              <a:cubicBezTo>
                                <a:pt x="329677" y="774385"/>
                                <a:pt x="394101" y="679058"/>
                                <a:pt x="326571" y="773601"/>
                              </a:cubicBezTo>
                              <a:cubicBezTo>
                                <a:pt x="318967" y="784247"/>
                                <a:pt x="312057" y="795373"/>
                                <a:pt x="304800" y="806259"/>
                              </a:cubicBezTo>
                              <a:cubicBezTo>
                                <a:pt x="301171" y="820773"/>
                                <a:pt x="300605" y="836420"/>
                                <a:pt x="293914" y="849801"/>
                              </a:cubicBezTo>
                              <a:cubicBezTo>
                                <a:pt x="289324" y="858981"/>
                                <a:pt x="276733" y="862393"/>
                                <a:pt x="272143" y="871573"/>
                              </a:cubicBezTo>
                              <a:cubicBezTo>
                                <a:pt x="194418" y="1027024"/>
                                <a:pt x="292640" y="873482"/>
                                <a:pt x="228600" y="969544"/>
                              </a:cubicBezTo>
                              <a:cubicBezTo>
                                <a:pt x="224971" y="984058"/>
                                <a:pt x="222013" y="998757"/>
                                <a:pt x="217714" y="1013087"/>
                              </a:cubicBezTo>
                              <a:cubicBezTo>
                                <a:pt x="211120" y="1035068"/>
                                <a:pt x="203200" y="1056630"/>
                                <a:pt x="195943" y="1078401"/>
                              </a:cubicBezTo>
                              <a:lnTo>
                                <a:pt x="174171" y="1143716"/>
                              </a:lnTo>
                              <a:lnTo>
                                <a:pt x="163285" y="1176373"/>
                              </a:lnTo>
                              <a:lnTo>
                                <a:pt x="152400" y="1209030"/>
                              </a:lnTo>
                              <a:cubicBezTo>
                                <a:pt x="156028" y="1321516"/>
                                <a:pt x="156865" y="1434126"/>
                                <a:pt x="163285" y="1546487"/>
                              </a:cubicBezTo>
                              <a:cubicBezTo>
                                <a:pt x="164139" y="1561424"/>
                                <a:pt x="168918" y="1576022"/>
                                <a:pt x="174171" y="1590030"/>
                              </a:cubicBezTo>
                              <a:cubicBezTo>
                                <a:pt x="179869" y="1605224"/>
                                <a:pt x="188686" y="1619059"/>
                                <a:pt x="195943" y="1633573"/>
                              </a:cubicBezTo>
                              <a:cubicBezTo>
                                <a:pt x="204229" y="1675004"/>
                                <a:pt x="217714" y="1735550"/>
                                <a:pt x="217714" y="1775087"/>
                              </a:cubicBezTo>
                              <a:cubicBezTo>
                                <a:pt x="217714" y="1840502"/>
                                <a:pt x="212260" y="1905841"/>
                                <a:pt x="206828" y="1971030"/>
                              </a:cubicBezTo>
                              <a:cubicBezTo>
                                <a:pt x="198842" y="2066867"/>
                                <a:pt x="197664" y="2004245"/>
                                <a:pt x="185057" y="2079887"/>
                              </a:cubicBezTo>
                              <a:cubicBezTo>
                                <a:pt x="180247" y="2108744"/>
                                <a:pt x="177800" y="2137944"/>
                                <a:pt x="174171" y="2166973"/>
                              </a:cubicBezTo>
                              <a:cubicBezTo>
                                <a:pt x="177800" y="2272202"/>
                                <a:pt x="178874" y="2377549"/>
                                <a:pt x="185057" y="2482659"/>
                              </a:cubicBezTo>
                              <a:cubicBezTo>
                                <a:pt x="186144" y="2501129"/>
                                <a:pt x="195943" y="2518585"/>
                                <a:pt x="195943" y="2537087"/>
                              </a:cubicBezTo>
                              <a:cubicBezTo>
                                <a:pt x="195943" y="2613373"/>
                                <a:pt x="189289" y="2689518"/>
                                <a:pt x="185057" y="2765687"/>
                              </a:cubicBezTo>
                              <a:cubicBezTo>
                                <a:pt x="176342" y="2922545"/>
                                <a:pt x="177571" y="2898378"/>
                                <a:pt x="163285" y="3026944"/>
                              </a:cubicBezTo>
                              <a:cubicBezTo>
                                <a:pt x="166914" y="3284573"/>
                                <a:pt x="164393" y="3542361"/>
                                <a:pt x="174171" y="3799830"/>
                              </a:cubicBezTo>
                              <a:cubicBezTo>
                                <a:pt x="175306" y="3829731"/>
                                <a:pt x="188686" y="3857887"/>
                                <a:pt x="195943" y="3886916"/>
                              </a:cubicBezTo>
                              <a:cubicBezTo>
                                <a:pt x="199572" y="3901430"/>
                                <a:pt x="202097" y="3916266"/>
                                <a:pt x="206828" y="3930459"/>
                              </a:cubicBezTo>
                              <a:cubicBezTo>
                                <a:pt x="217203" y="3961583"/>
                                <a:pt x="221766" y="3972489"/>
                                <a:pt x="228600" y="4006659"/>
                              </a:cubicBezTo>
                              <a:cubicBezTo>
                                <a:pt x="232929" y="4028302"/>
                                <a:pt x="235537" y="4050257"/>
                                <a:pt x="239485" y="4071973"/>
                              </a:cubicBezTo>
                              <a:cubicBezTo>
                                <a:pt x="242795" y="4090177"/>
                                <a:pt x="245503" y="4108551"/>
                                <a:pt x="250371" y="4126401"/>
                              </a:cubicBezTo>
                              <a:cubicBezTo>
                                <a:pt x="256410" y="4148542"/>
                                <a:pt x="272143" y="4191716"/>
                                <a:pt x="272143" y="4191716"/>
                              </a:cubicBezTo>
                              <a:cubicBezTo>
                                <a:pt x="268381" y="4251913"/>
                                <a:pt x="256383" y="4452155"/>
                                <a:pt x="250371" y="4518287"/>
                              </a:cubicBezTo>
                              <a:cubicBezTo>
                                <a:pt x="244776" y="4579830"/>
                                <a:pt x="237372" y="4633486"/>
                                <a:pt x="217714" y="4692459"/>
                              </a:cubicBezTo>
                              <a:cubicBezTo>
                                <a:pt x="214085" y="4703345"/>
                                <a:pt x="211960" y="4714853"/>
                                <a:pt x="206828" y="4725116"/>
                              </a:cubicBezTo>
                              <a:cubicBezTo>
                                <a:pt x="193095" y="4752582"/>
                                <a:pt x="183537" y="4759293"/>
                                <a:pt x="163285" y="4779544"/>
                              </a:cubicBezTo>
                              <a:cubicBezTo>
                                <a:pt x="159657" y="4790430"/>
                                <a:pt x="159285" y="4803021"/>
                                <a:pt x="152400" y="4812201"/>
                              </a:cubicBezTo>
                              <a:cubicBezTo>
                                <a:pt x="120560" y="4854655"/>
                                <a:pt x="103085" y="4863221"/>
                                <a:pt x="65314" y="4888401"/>
                              </a:cubicBezTo>
                              <a:cubicBezTo>
                                <a:pt x="68943" y="4906544"/>
                                <a:pt x="71713" y="4924880"/>
                                <a:pt x="76200" y="4942830"/>
                              </a:cubicBezTo>
                              <a:cubicBezTo>
                                <a:pt x="78983" y="4953962"/>
                                <a:pt x="78971" y="4967373"/>
                                <a:pt x="87085" y="4975487"/>
                              </a:cubicBezTo>
                              <a:cubicBezTo>
                                <a:pt x="95199" y="4983601"/>
                                <a:pt x="108857" y="4982744"/>
                                <a:pt x="119743" y="4986373"/>
                              </a:cubicBezTo>
                              <a:cubicBezTo>
                                <a:pt x="158137" y="5024767"/>
                                <a:pt x="138631" y="5012145"/>
                                <a:pt x="174171" y="5029916"/>
                              </a:cubicBezTo>
                              <a:lnTo>
                                <a:pt x="0" y="4931944"/>
                              </a:lnTo>
                              <a:close/>
                            </a:path>
                          </a:pathLst>
                        </a:custGeom>
                        <a:noFill/>
                        <a:ln w="19050">
                          <a:solidFill>
                            <a:schemeClr val="accent1">
                              <a:lumMod val="60000"/>
                              <a:lumOff val="4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E890DFB" id="Forma libre 6" o:spid="_x0000_s1026" style="position:absolute;margin-left:-14.65pt;margin-top:5.75pt;width:281.45pt;height:25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7828,5070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" path="m,4931944r,c135352,5018077,73351,4998865,174171,5019030v149788,99857,26666,26831,457200,10886c685883,5027897,740228,5022659,794657,5019030v162450,-23208,-17963,616,239486,-21771c1063287,4994725,1092119,4989284,1121228,4986373v43477,-4348,87086,-7257,130629,-10886c1399164,4946025,1180170,4988190,1404257,4953716v14787,-2275,28823,-8210,43543,-10886c1489685,4935214,1598548,4922519,1632857,4921059v134185,-5710,268514,-7257,402771,-10886c2078190,4903079,2199941,4880961,2253343,4877516v401667,-25914,102111,3030,424542,-21772c3057927,4826511,2577802,4861130,2862943,4833973v50700,-4829,101600,-7257,152400,-10886c3085409,4799731,3011995,4821831,3135085,4801316v14757,-2460,28756,-8611,43543,-10886c3211104,4785434,3244030,4783887,3276600,4779544v21878,-2917,43251,-10272,65314,-10885c3581335,4762009,3820885,4761402,4060371,4757773v10886,-3629,21456,-8397,32657,-10886c4162195,4731516,4228110,4730635,4299857,4725116v10886,-3629,23842,-3540,32657,-10886c4346452,4702615,4353556,4684625,4365171,4670687v6570,-7884,14515,-14514,21772,-21771c4380337,4510190,4392323,4447350,4354285,4333230v-3628,-10886,-7733,-21624,-10885,-32657c4339290,4286188,4339205,4270412,4332514,4257030v-11702,-23403,-43543,-65314,-43543,-65314c4285342,4177202,4278085,4163134,4278085,4148173v,-93448,-1222,-191057,21772,-283029c4302640,3854012,4307114,3843373,4310743,3832487v3628,-25400,5116,-51199,10885,-76200c4326788,3733926,4336806,3712954,4343400,3690973v4299,-14330,6775,-29158,10885,-43543c4357437,3636397,4362019,3625806,4365171,3614773v4110,-14385,6776,-29158,10886,-43543c4407280,3461953,4363813,3631100,4397828,3495030v-8498,-348435,3120,-331155,-21771,-555171c4371978,2903146,4362780,2827101,4354285,2787459v-13988,-65276,-18836,-85927,-43542,-141515c4304152,2631115,4295364,2617316,4288971,2602401v-4520,-10547,-6366,-22110,-10886,-32657c4271693,2554829,4262905,2541030,4256314,2526201v-7936,-17856,-13032,-36951,-21771,-54428c4228692,2460071,4218622,2450818,4212771,2439116v-8739,-17478,-14910,-36133,-21771,-54429c4186971,2373943,4185246,2362293,4180114,2352030v-5851,-11702,-14837,-21563,-21771,-32657c4147129,2301431,4137422,2282549,4125685,2264944v-10064,-15096,-22593,-28447,-32657,-43543c4081292,2203797,4072107,2184577,4060371,2166973v-10064,-15096,-22593,-28447,-32657,-43543c4015978,2105825,4007355,2086218,3995057,2069001v-5965,-8351,-15093,-13979,-21772,-21771c3958164,2029589,3945043,2010286,3929743,1992801v-10138,-11586,-22802,-20830,-32658,-32657c3888709,1950094,3882918,1938133,3875314,1927487v-32346,-45285,-23487,-34373,-54429,-65314c3813628,1847659,3805506,1833545,3799114,1818630v-16910,-39456,-6890,-41994,-32657,-87086c3761365,1722633,3751942,1717030,3744685,1709773v-7257,-14514,-15744,-28476,-21771,-43543c3714391,1644922,3712950,1620594,3701143,1600916v-10886,-18143,-23196,-35504,-32658,-54429c3663353,1536224,3662120,1524377,3657600,1513830v-11092,-25882,-39685,-77329,-54429,-97971c3597206,1407507,3588657,1401344,3581400,1394087v-3629,-10886,-5193,-22694,-10886,-32657c3561513,1345678,3548402,1332650,3537857,1317887v-37887,-53041,-3607,-14492,-54429,-65314c3479800,1241687,3477675,1230179,3472543,1219916v-15154,-30308,-30357,-41242,-54429,-65315c3396921,1091024,3423810,1149412,3374571,1100173v-58816,-58816,-23366,-43058,-76200,-87086c3249286,972183,3253335,1005400,3200400,926001v-54060,-81088,15424,18510,-54429,-65314c3137596,850636,3133451,837281,3124200,828030v-56581,-56581,-11337,10322,-54429,-43543c3061598,774271,3056375,761881,3048000,751830v-43366,-52039,-18609,-15508,-65315,-54429c2970858,687546,2962180,674195,2950028,664744v-20654,-16064,-46812,-25041,-65314,-43543c2826399,562886,2864373,597781,2764971,523230v-64073,-48054,-30709,-19824,-97971,-87086l2645228,414373v-7257,-7257,-12034,-18527,-21771,-21772l2590800,381716v-73429,-73429,-36105,-55579,-97972,-76200c2415847,254193,2511170,318617,2416628,251087v-10646,-7604,-22011,-14167,-32657,-21771c2369207,218771,2356655,204773,2340428,196659v-13382,-6691,-29029,-7257,-43543,-10886c2254361,143247,2298982,181379,2242457,153116v-84408,-42204,16770,-5297,-65314,-32657c2169886,113202,2164551,103277,2155371,98687v-13382,-6691,-29158,-6776,-43543,-10886c2100795,84649,2090204,80068,2079171,76916v-14385,-4110,-29158,-6776,-43543,-10886c2024595,62878,2014004,58296,2002971,55144v-21745,-6213,-78028,-19278,-97971,-21771c1865231,28402,1825171,26116,1785257,22487v-177500,-35501,-98554,-23910,-457200,c1298201,24477,1270000,37002,1240971,44259r-43543,10885c1186542,62401,1176726,71602,1164771,76916v-34071,15143,-72672,23610,-108857,32657c1045028,116830,1033473,123171,1023257,131344v-8014,6411,-12971,16492,-21772,21772c991646,159019,979714,160373,968828,164001v-10886,7257,-21298,15281,-32657,21772c922082,193824,905437,197581,892628,207544v-20253,15752,-33079,40197,-54428,54429c757459,315799,845816,253812,783771,305516v-13938,11615,-29889,20710,-43543,32657c724780,351690,712133,368199,696685,381716v-13654,11947,-30057,20520,-43542,32657c630257,434970,604907,454069,587828,479687v-14514,21771,-21772,50799,-43543,65314c486010,583852,520879,557522,446314,632087r-32657,32657c402771,675630,389539,684592,381000,697401v-51323,76984,13101,-18343,-54429,76200c318967,784247,312057,795373,304800,806259v-3629,14514,-4195,30161,-10886,43542c289324,858981,276733,862393,272143,871573v-77725,155451,20497,1909,-43543,97971c224971,984058,222013,998757,217714,1013087v-6594,21981,-14514,43543,-21771,65314l174171,1143716r-10886,32657l152400,1209030v3628,112486,4465,225096,10885,337457c164139,1561424,168918,1576022,174171,1590030v5698,15194,14515,29029,21772,43543c204229,1675004,217714,1735550,217714,1775087v,65415,-5454,130754,-10886,195943c198842,2066867,197664,2004245,185057,2079887v-4810,28857,-7257,58057,-10886,87086c177800,2272202,178874,2377549,185057,2482659v1087,18470,10886,35926,10886,54428c195943,2613373,189289,2689518,185057,2765687v-8715,156858,-7486,132691,-21772,261257c166914,3284573,164393,3542361,174171,3799830v1135,29901,14515,58057,21772,87086c199572,3901430,202097,3916266,206828,3930459v10375,31124,14938,42030,21772,76200c232929,4028302,235537,4050257,239485,4071973v3310,18204,6018,36578,10886,54428c256410,4148542,272143,4191716,272143,4191716v-3762,60197,-15760,260439,-21772,326571c244776,4579830,237372,4633486,217714,4692459v-3629,10886,-5754,22394,-10886,32657c193095,4752582,183537,4759293,163285,4779544v-3628,10886,-4000,23477,-10885,32657c120560,4854655,103085,4863221,65314,4888401v3629,18143,6399,36479,10886,54429c78983,4953962,78971,4967373,87085,4975487v8114,8114,21772,7257,32658,10886c158137,5024767,138631,5012145,174171,5029916l,4931944xe" filled="f" strokecolor="#8eaadb [1940]" strokeweight="1.5pt">
                <v:stroke dashstyle="1 1" joinstyle="miter"/>
                <v:path arrowok="t" o:connecttype="custom" o:connectlocs="0,3144724;0,3144724;141561,3200252;513158,3207193;645872,3200252;840519,3186370;911299,3179429;1017470,3172488;1141336,3158606;1176726,3151665;1327134,3137783;1654494,3130842;1831446,3110019;2176500,3096137;2326909,3082255;2450775,3075314;2548098,3061432;2583488,3054491;2663116,3047550;2716202,3040609;3300141,3033668;3326683,3026727;3494787,3012845;3521330,3005904;3547872,2978140;3565568,2964258;3539025,2762970;3530178,2742147;3521330,2714383;3485939,2672737;3477092,2644973;3494787,2464507;3503635,2443684;3512482,2395097;3530178,2353451;3539025,2325687;3547872,2304865;3556720,2277100;3574415,2228514;3556720,1874523;3539025,1777350;3503635,1687116;3485939,1659352;3477092,1638529;3459397,1610765;3441702,1576061;3424007,1555238;3406312,1520533;3397464,1499710;3379769,1478887;3353226,1444182;3326683,1416418;3300141,1381713;3273598,1353949;3247056,1319244;3229360,1305362;3193970,1270657;3167427,1249834;3149732,1229011;3105494,1187365;3087799,1159601;3061257,1104073;3043561,1090192;3025866,1062428;3008172,1020782;2981628,986077;2972781,965254;2928543,902785;2910848,888903;2902000,868080;2875458,840316;2831220,798670;2822373,777847;2778135,736201;2742744,701496;2680811,645968;2601184,590440;2556945,548794;2539251,527971;2495012,500207;2477318,479385;2424232,444679;2397689,423856;2344604,396092;2247281,333624;2167653,278096;2149957,264214;2132263,250332;2105720,243391;2026091,194804;1964159,160099;1937616,146217;1902226,125394;1866835,118453;1822598,97630;1769513,76807;1751817,62925;1716427,55984;1689884,49043;1654494,42102;1627951,35161;1548324,21279;1451000,14338;1079403,14338;1008622,28221;973231,35161;946689,49043;858213,69866;831671,83748;813975,97630;787433,104571;760890,118453;725500,132335;681262,167040;637024,194804;601634,215627;566243,243391;530854,264214;477768,305860;442378,347505;362750,403034;336207,423856;309665,444679;265427,493266;247732,514090;238884,541853;221189,555736;185799,618204;176951,645968;159256,687614;141561,729260;132713,750083;123866,770906;132713,986077;141561,1013841;159256,1041605;176951,1131837;168103,1256775;150408,1326185;141561,1381713;150408,1583002;159256,1617707;150408,1763467;132713,1930051;141561,2422861;159256,2478389;168103,2506153;185799,2554740;194646,2596386;203494,2631091;221189,2672737;203494,2880966;176951,2992023;168103,3012845;132713,3047550;123866,3068373;53085,3116960;61933,3151665;70780,3172488;97323,3179429;141561,3207193;0,3144724" o:connectangles="0,0,0,0,0,0,0,0,0,0,0,0,0,0,0,0,0,0,0,0,0,0,0,0,0,0,0,0,0,0,0,0,0,0,0,0,0,0,0,0,0,0,0,0,0,0,0,0,0,0,0,0,0,0,0,0,0,0,0,0,0,0,0,0,0,0,0,0,0,0,0,0,0,0,0,0,0,0,0,0,0,0,0,0,0,0,0,0,0,0,0,0,0,0,0,0,0,0,0,0,0,0,0,0,0,0,0,0,0,0,0,0,0,0,0,0,0,0,0,0,0,0,0,0,0,0,0,0,0,0,0,0,0,0,0,0,0,0,0,0,0,0,0,0,0,0,0,0,0,0,0,0,0,0,0,0,0,0,0,0,0,0"/>
              </v:shape>
            </w:pict>
          </mc:Fallback>
        </mc:AlternateContent>
      </w:r>
      <w:r w:rsidRPr="0051709F">
        <w:rPr>
          <w:rFonts w:cstheme="minorHAnsi"/>
          <w:noProof/>
          <w:lang w:val="en-GB" w:eastAsia="en-GB"/>
        </w:rPr>
        <mc:AlternateContent>
          <mc:Choice Requires="wps">
            <w:drawing>
              <wp:anchor distT="0" distB="0" distL="114300" distR="114300" simplePos="0" relativeHeight="251673600" behindDoc="0" locked="0" layoutInCell="1" allowOverlap="1" wp14:anchorId="377F0E15" wp14:editId="43806AFF">
                <wp:simplePos x="0" y="0"/>
                <wp:positionH relativeFrom="column">
                  <wp:posOffset>3218910</wp:posOffset>
                </wp:positionH>
                <wp:positionV relativeFrom="paragraph">
                  <wp:posOffset>489215</wp:posOffset>
                </wp:positionV>
                <wp:extent cx="3057098" cy="2640425"/>
                <wp:effectExtent l="38100" t="0" r="29210" b="45720"/>
                <wp:wrapNone/>
                <wp:docPr id="34" name="Forma libre 13"/>
                <wp:cNvGraphicFramePr/>
                <a:graphic xmlns:a="http://schemas.openxmlformats.org/drawingml/2006/main">
                  <a:graphicData uri="http://schemas.microsoft.com/office/word/2010/wordprocessingShape">
                    <wps:wsp>
                      <wps:cNvSpPr/>
                      <wps:spPr>
                        <a:xfrm>
                          <a:off x="0" y="0"/>
                          <a:ext cx="3057098" cy="2640425"/>
                        </a:xfrm>
                        <a:custGeom>
                          <a:avLst/>
                          <a:gdLst>
                            <a:gd name="connsiteX0" fmla="*/ 0 w 4397828"/>
                            <a:gd name="connsiteY0" fmla="*/ 4931944 h 5070617"/>
                            <a:gd name="connsiteX1" fmla="*/ 0 w 4397828"/>
                            <a:gd name="connsiteY1" fmla="*/ 4931944 h 5070617"/>
                            <a:gd name="connsiteX2" fmla="*/ 174171 w 4397828"/>
                            <a:gd name="connsiteY2" fmla="*/ 5019030 h 5070617"/>
                            <a:gd name="connsiteX3" fmla="*/ 631371 w 4397828"/>
                            <a:gd name="connsiteY3" fmla="*/ 5029916 h 5070617"/>
                            <a:gd name="connsiteX4" fmla="*/ 794657 w 4397828"/>
                            <a:gd name="connsiteY4" fmla="*/ 5019030 h 5070617"/>
                            <a:gd name="connsiteX5" fmla="*/ 1034143 w 4397828"/>
                            <a:gd name="connsiteY5" fmla="*/ 4997259 h 5070617"/>
                            <a:gd name="connsiteX6" fmla="*/ 1121228 w 4397828"/>
                            <a:gd name="connsiteY6" fmla="*/ 4986373 h 5070617"/>
                            <a:gd name="connsiteX7" fmla="*/ 1251857 w 4397828"/>
                            <a:gd name="connsiteY7" fmla="*/ 4975487 h 5070617"/>
                            <a:gd name="connsiteX8" fmla="*/ 1404257 w 4397828"/>
                            <a:gd name="connsiteY8" fmla="*/ 4953716 h 5070617"/>
                            <a:gd name="connsiteX9" fmla="*/ 1447800 w 4397828"/>
                            <a:gd name="connsiteY9" fmla="*/ 4942830 h 5070617"/>
                            <a:gd name="connsiteX10" fmla="*/ 1632857 w 4397828"/>
                            <a:gd name="connsiteY10" fmla="*/ 4921059 h 5070617"/>
                            <a:gd name="connsiteX11" fmla="*/ 2035628 w 4397828"/>
                            <a:gd name="connsiteY11" fmla="*/ 4910173 h 5070617"/>
                            <a:gd name="connsiteX12" fmla="*/ 2253343 w 4397828"/>
                            <a:gd name="connsiteY12" fmla="*/ 4877516 h 5070617"/>
                            <a:gd name="connsiteX13" fmla="*/ 2677885 w 4397828"/>
                            <a:gd name="connsiteY13" fmla="*/ 4855744 h 5070617"/>
                            <a:gd name="connsiteX14" fmla="*/ 2862943 w 4397828"/>
                            <a:gd name="connsiteY14" fmla="*/ 4833973 h 5070617"/>
                            <a:gd name="connsiteX15" fmla="*/ 3015343 w 4397828"/>
                            <a:gd name="connsiteY15" fmla="*/ 4823087 h 5070617"/>
                            <a:gd name="connsiteX16" fmla="*/ 3135085 w 4397828"/>
                            <a:gd name="connsiteY16" fmla="*/ 4801316 h 5070617"/>
                            <a:gd name="connsiteX17" fmla="*/ 3178628 w 4397828"/>
                            <a:gd name="connsiteY17" fmla="*/ 4790430 h 5070617"/>
                            <a:gd name="connsiteX18" fmla="*/ 3276600 w 4397828"/>
                            <a:gd name="connsiteY18" fmla="*/ 4779544 h 5070617"/>
                            <a:gd name="connsiteX19" fmla="*/ 3341914 w 4397828"/>
                            <a:gd name="connsiteY19" fmla="*/ 4768659 h 5070617"/>
                            <a:gd name="connsiteX20" fmla="*/ 4060371 w 4397828"/>
                            <a:gd name="connsiteY20" fmla="*/ 4757773 h 5070617"/>
                            <a:gd name="connsiteX21" fmla="*/ 4093028 w 4397828"/>
                            <a:gd name="connsiteY21" fmla="*/ 4746887 h 5070617"/>
                            <a:gd name="connsiteX22" fmla="*/ 4299857 w 4397828"/>
                            <a:gd name="connsiteY22" fmla="*/ 4725116 h 5070617"/>
                            <a:gd name="connsiteX23" fmla="*/ 4332514 w 4397828"/>
                            <a:gd name="connsiteY23" fmla="*/ 4714230 h 5070617"/>
                            <a:gd name="connsiteX24" fmla="*/ 4365171 w 4397828"/>
                            <a:gd name="connsiteY24" fmla="*/ 4670687 h 5070617"/>
                            <a:gd name="connsiteX25" fmla="*/ 4386943 w 4397828"/>
                            <a:gd name="connsiteY25" fmla="*/ 4648916 h 5070617"/>
                            <a:gd name="connsiteX26" fmla="*/ 4354285 w 4397828"/>
                            <a:gd name="connsiteY26" fmla="*/ 4333230 h 5070617"/>
                            <a:gd name="connsiteX27" fmla="*/ 4343400 w 4397828"/>
                            <a:gd name="connsiteY27" fmla="*/ 4300573 h 5070617"/>
                            <a:gd name="connsiteX28" fmla="*/ 4332514 w 4397828"/>
                            <a:gd name="connsiteY28" fmla="*/ 4257030 h 5070617"/>
                            <a:gd name="connsiteX29" fmla="*/ 4288971 w 4397828"/>
                            <a:gd name="connsiteY29" fmla="*/ 4191716 h 5070617"/>
                            <a:gd name="connsiteX30" fmla="*/ 4278085 w 4397828"/>
                            <a:gd name="connsiteY30" fmla="*/ 4148173 h 5070617"/>
                            <a:gd name="connsiteX31" fmla="*/ 4299857 w 4397828"/>
                            <a:gd name="connsiteY31" fmla="*/ 3865144 h 5070617"/>
                            <a:gd name="connsiteX32" fmla="*/ 4310743 w 4397828"/>
                            <a:gd name="connsiteY32" fmla="*/ 3832487 h 5070617"/>
                            <a:gd name="connsiteX33" fmla="*/ 4321628 w 4397828"/>
                            <a:gd name="connsiteY33" fmla="*/ 3756287 h 5070617"/>
                            <a:gd name="connsiteX34" fmla="*/ 4343400 w 4397828"/>
                            <a:gd name="connsiteY34" fmla="*/ 3690973 h 5070617"/>
                            <a:gd name="connsiteX35" fmla="*/ 4354285 w 4397828"/>
                            <a:gd name="connsiteY35" fmla="*/ 3647430 h 5070617"/>
                            <a:gd name="connsiteX36" fmla="*/ 4365171 w 4397828"/>
                            <a:gd name="connsiteY36" fmla="*/ 3614773 h 5070617"/>
                            <a:gd name="connsiteX37" fmla="*/ 4376057 w 4397828"/>
                            <a:gd name="connsiteY37" fmla="*/ 3571230 h 5070617"/>
                            <a:gd name="connsiteX38" fmla="*/ 4397828 w 4397828"/>
                            <a:gd name="connsiteY38" fmla="*/ 3495030 h 5070617"/>
                            <a:gd name="connsiteX39" fmla="*/ 4376057 w 4397828"/>
                            <a:gd name="connsiteY39" fmla="*/ 2939859 h 5070617"/>
                            <a:gd name="connsiteX40" fmla="*/ 4354285 w 4397828"/>
                            <a:gd name="connsiteY40" fmla="*/ 2787459 h 5070617"/>
                            <a:gd name="connsiteX41" fmla="*/ 4310743 w 4397828"/>
                            <a:gd name="connsiteY41" fmla="*/ 2645944 h 5070617"/>
                            <a:gd name="connsiteX42" fmla="*/ 4288971 w 4397828"/>
                            <a:gd name="connsiteY42" fmla="*/ 2602401 h 5070617"/>
                            <a:gd name="connsiteX43" fmla="*/ 4278085 w 4397828"/>
                            <a:gd name="connsiteY43" fmla="*/ 2569744 h 5070617"/>
                            <a:gd name="connsiteX44" fmla="*/ 4256314 w 4397828"/>
                            <a:gd name="connsiteY44" fmla="*/ 2526201 h 5070617"/>
                            <a:gd name="connsiteX45" fmla="*/ 4234543 w 4397828"/>
                            <a:gd name="connsiteY45" fmla="*/ 2471773 h 5070617"/>
                            <a:gd name="connsiteX46" fmla="*/ 4212771 w 4397828"/>
                            <a:gd name="connsiteY46" fmla="*/ 2439116 h 5070617"/>
                            <a:gd name="connsiteX47" fmla="*/ 4191000 w 4397828"/>
                            <a:gd name="connsiteY47" fmla="*/ 2384687 h 5070617"/>
                            <a:gd name="connsiteX48" fmla="*/ 4180114 w 4397828"/>
                            <a:gd name="connsiteY48" fmla="*/ 2352030 h 5070617"/>
                            <a:gd name="connsiteX49" fmla="*/ 4158343 w 4397828"/>
                            <a:gd name="connsiteY49" fmla="*/ 2319373 h 5070617"/>
                            <a:gd name="connsiteX50" fmla="*/ 4125685 w 4397828"/>
                            <a:gd name="connsiteY50" fmla="*/ 2264944 h 5070617"/>
                            <a:gd name="connsiteX51" fmla="*/ 4093028 w 4397828"/>
                            <a:gd name="connsiteY51" fmla="*/ 2221401 h 5070617"/>
                            <a:gd name="connsiteX52" fmla="*/ 4060371 w 4397828"/>
                            <a:gd name="connsiteY52" fmla="*/ 2166973 h 5070617"/>
                            <a:gd name="connsiteX53" fmla="*/ 4027714 w 4397828"/>
                            <a:gd name="connsiteY53" fmla="*/ 2123430 h 5070617"/>
                            <a:gd name="connsiteX54" fmla="*/ 3995057 w 4397828"/>
                            <a:gd name="connsiteY54" fmla="*/ 2069001 h 5070617"/>
                            <a:gd name="connsiteX55" fmla="*/ 3973285 w 4397828"/>
                            <a:gd name="connsiteY55" fmla="*/ 2047230 h 5070617"/>
                            <a:gd name="connsiteX56" fmla="*/ 3929743 w 4397828"/>
                            <a:gd name="connsiteY56" fmla="*/ 1992801 h 5070617"/>
                            <a:gd name="connsiteX57" fmla="*/ 3897085 w 4397828"/>
                            <a:gd name="connsiteY57" fmla="*/ 1960144 h 5070617"/>
                            <a:gd name="connsiteX58" fmla="*/ 3875314 w 4397828"/>
                            <a:gd name="connsiteY58" fmla="*/ 1927487 h 5070617"/>
                            <a:gd name="connsiteX59" fmla="*/ 3820885 w 4397828"/>
                            <a:gd name="connsiteY59" fmla="*/ 1862173 h 5070617"/>
                            <a:gd name="connsiteX60" fmla="*/ 3799114 w 4397828"/>
                            <a:gd name="connsiteY60" fmla="*/ 1818630 h 5070617"/>
                            <a:gd name="connsiteX61" fmla="*/ 3766457 w 4397828"/>
                            <a:gd name="connsiteY61" fmla="*/ 1731544 h 5070617"/>
                            <a:gd name="connsiteX62" fmla="*/ 3744685 w 4397828"/>
                            <a:gd name="connsiteY62" fmla="*/ 1709773 h 5070617"/>
                            <a:gd name="connsiteX63" fmla="*/ 3722914 w 4397828"/>
                            <a:gd name="connsiteY63" fmla="*/ 1666230 h 5070617"/>
                            <a:gd name="connsiteX64" fmla="*/ 3701143 w 4397828"/>
                            <a:gd name="connsiteY64" fmla="*/ 1600916 h 5070617"/>
                            <a:gd name="connsiteX65" fmla="*/ 3668485 w 4397828"/>
                            <a:gd name="connsiteY65" fmla="*/ 1546487 h 5070617"/>
                            <a:gd name="connsiteX66" fmla="*/ 3657600 w 4397828"/>
                            <a:gd name="connsiteY66" fmla="*/ 1513830 h 5070617"/>
                            <a:gd name="connsiteX67" fmla="*/ 3603171 w 4397828"/>
                            <a:gd name="connsiteY67" fmla="*/ 1415859 h 5070617"/>
                            <a:gd name="connsiteX68" fmla="*/ 3581400 w 4397828"/>
                            <a:gd name="connsiteY68" fmla="*/ 1394087 h 5070617"/>
                            <a:gd name="connsiteX69" fmla="*/ 3570514 w 4397828"/>
                            <a:gd name="connsiteY69" fmla="*/ 1361430 h 5070617"/>
                            <a:gd name="connsiteX70" fmla="*/ 3537857 w 4397828"/>
                            <a:gd name="connsiteY70" fmla="*/ 1317887 h 5070617"/>
                            <a:gd name="connsiteX71" fmla="*/ 3483428 w 4397828"/>
                            <a:gd name="connsiteY71" fmla="*/ 1252573 h 5070617"/>
                            <a:gd name="connsiteX72" fmla="*/ 3472543 w 4397828"/>
                            <a:gd name="connsiteY72" fmla="*/ 1219916 h 5070617"/>
                            <a:gd name="connsiteX73" fmla="*/ 3418114 w 4397828"/>
                            <a:gd name="connsiteY73" fmla="*/ 1154601 h 5070617"/>
                            <a:gd name="connsiteX74" fmla="*/ 3374571 w 4397828"/>
                            <a:gd name="connsiteY74" fmla="*/ 1100173 h 5070617"/>
                            <a:gd name="connsiteX75" fmla="*/ 3298371 w 4397828"/>
                            <a:gd name="connsiteY75" fmla="*/ 1013087 h 5070617"/>
                            <a:gd name="connsiteX76" fmla="*/ 3200400 w 4397828"/>
                            <a:gd name="connsiteY76" fmla="*/ 926001 h 5070617"/>
                            <a:gd name="connsiteX77" fmla="*/ 3145971 w 4397828"/>
                            <a:gd name="connsiteY77" fmla="*/ 860687 h 5070617"/>
                            <a:gd name="connsiteX78" fmla="*/ 3124200 w 4397828"/>
                            <a:gd name="connsiteY78" fmla="*/ 828030 h 5070617"/>
                            <a:gd name="connsiteX79" fmla="*/ 3069771 w 4397828"/>
                            <a:gd name="connsiteY79" fmla="*/ 784487 h 5070617"/>
                            <a:gd name="connsiteX80" fmla="*/ 3048000 w 4397828"/>
                            <a:gd name="connsiteY80" fmla="*/ 751830 h 5070617"/>
                            <a:gd name="connsiteX81" fmla="*/ 2982685 w 4397828"/>
                            <a:gd name="connsiteY81" fmla="*/ 697401 h 5070617"/>
                            <a:gd name="connsiteX82" fmla="*/ 2950028 w 4397828"/>
                            <a:gd name="connsiteY82" fmla="*/ 664744 h 5070617"/>
                            <a:gd name="connsiteX83" fmla="*/ 2884714 w 4397828"/>
                            <a:gd name="connsiteY83" fmla="*/ 621201 h 5070617"/>
                            <a:gd name="connsiteX84" fmla="*/ 2764971 w 4397828"/>
                            <a:gd name="connsiteY84" fmla="*/ 523230 h 5070617"/>
                            <a:gd name="connsiteX85" fmla="*/ 2667000 w 4397828"/>
                            <a:gd name="connsiteY85" fmla="*/ 436144 h 5070617"/>
                            <a:gd name="connsiteX86" fmla="*/ 2645228 w 4397828"/>
                            <a:gd name="connsiteY86" fmla="*/ 414373 h 5070617"/>
                            <a:gd name="connsiteX87" fmla="*/ 2623457 w 4397828"/>
                            <a:gd name="connsiteY87" fmla="*/ 392601 h 5070617"/>
                            <a:gd name="connsiteX88" fmla="*/ 2590800 w 4397828"/>
                            <a:gd name="connsiteY88" fmla="*/ 381716 h 5070617"/>
                            <a:gd name="connsiteX89" fmla="*/ 2492828 w 4397828"/>
                            <a:gd name="connsiteY89" fmla="*/ 305516 h 5070617"/>
                            <a:gd name="connsiteX90" fmla="*/ 2416628 w 4397828"/>
                            <a:gd name="connsiteY90" fmla="*/ 251087 h 5070617"/>
                            <a:gd name="connsiteX91" fmla="*/ 2383971 w 4397828"/>
                            <a:gd name="connsiteY91" fmla="*/ 229316 h 5070617"/>
                            <a:gd name="connsiteX92" fmla="*/ 2340428 w 4397828"/>
                            <a:gd name="connsiteY92" fmla="*/ 196659 h 5070617"/>
                            <a:gd name="connsiteX93" fmla="*/ 2296885 w 4397828"/>
                            <a:gd name="connsiteY93" fmla="*/ 185773 h 5070617"/>
                            <a:gd name="connsiteX94" fmla="*/ 2242457 w 4397828"/>
                            <a:gd name="connsiteY94" fmla="*/ 153116 h 5070617"/>
                            <a:gd name="connsiteX95" fmla="*/ 2177143 w 4397828"/>
                            <a:gd name="connsiteY95" fmla="*/ 120459 h 5070617"/>
                            <a:gd name="connsiteX96" fmla="*/ 2155371 w 4397828"/>
                            <a:gd name="connsiteY96" fmla="*/ 98687 h 5070617"/>
                            <a:gd name="connsiteX97" fmla="*/ 2111828 w 4397828"/>
                            <a:gd name="connsiteY97" fmla="*/ 87801 h 5070617"/>
                            <a:gd name="connsiteX98" fmla="*/ 2079171 w 4397828"/>
                            <a:gd name="connsiteY98" fmla="*/ 76916 h 5070617"/>
                            <a:gd name="connsiteX99" fmla="*/ 2035628 w 4397828"/>
                            <a:gd name="connsiteY99" fmla="*/ 66030 h 5070617"/>
                            <a:gd name="connsiteX100" fmla="*/ 2002971 w 4397828"/>
                            <a:gd name="connsiteY100" fmla="*/ 55144 h 5070617"/>
                            <a:gd name="connsiteX101" fmla="*/ 1905000 w 4397828"/>
                            <a:gd name="connsiteY101" fmla="*/ 33373 h 5070617"/>
                            <a:gd name="connsiteX102" fmla="*/ 1785257 w 4397828"/>
                            <a:gd name="connsiteY102" fmla="*/ 22487 h 5070617"/>
                            <a:gd name="connsiteX103" fmla="*/ 1328057 w 4397828"/>
                            <a:gd name="connsiteY103" fmla="*/ 22487 h 5070617"/>
                            <a:gd name="connsiteX104" fmla="*/ 1240971 w 4397828"/>
                            <a:gd name="connsiteY104" fmla="*/ 44259 h 5070617"/>
                            <a:gd name="connsiteX105" fmla="*/ 1197428 w 4397828"/>
                            <a:gd name="connsiteY105" fmla="*/ 55144 h 5070617"/>
                            <a:gd name="connsiteX106" fmla="*/ 1164771 w 4397828"/>
                            <a:gd name="connsiteY106" fmla="*/ 76916 h 5070617"/>
                            <a:gd name="connsiteX107" fmla="*/ 1055914 w 4397828"/>
                            <a:gd name="connsiteY107" fmla="*/ 109573 h 5070617"/>
                            <a:gd name="connsiteX108" fmla="*/ 1023257 w 4397828"/>
                            <a:gd name="connsiteY108" fmla="*/ 131344 h 5070617"/>
                            <a:gd name="connsiteX109" fmla="*/ 1001485 w 4397828"/>
                            <a:gd name="connsiteY109" fmla="*/ 153116 h 5070617"/>
                            <a:gd name="connsiteX110" fmla="*/ 968828 w 4397828"/>
                            <a:gd name="connsiteY110" fmla="*/ 164001 h 5070617"/>
                            <a:gd name="connsiteX111" fmla="*/ 936171 w 4397828"/>
                            <a:gd name="connsiteY111" fmla="*/ 185773 h 5070617"/>
                            <a:gd name="connsiteX112" fmla="*/ 892628 w 4397828"/>
                            <a:gd name="connsiteY112" fmla="*/ 207544 h 5070617"/>
                            <a:gd name="connsiteX113" fmla="*/ 838200 w 4397828"/>
                            <a:gd name="connsiteY113" fmla="*/ 261973 h 5070617"/>
                            <a:gd name="connsiteX114" fmla="*/ 783771 w 4397828"/>
                            <a:gd name="connsiteY114" fmla="*/ 305516 h 5070617"/>
                            <a:gd name="connsiteX115" fmla="*/ 740228 w 4397828"/>
                            <a:gd name="connsiteY115" fmla="*/ 338173 h 5070617"/>
                            <a:gd name="connsiteX116" fmla="*/ 696685 w 4397828"/>
                            <a:gd name="connsiteY116" fmla="*/ 381716 h 5070617"/>
                            <a:gd name="connsiteX117" fmla="*/ 653143 w 4397828"/>
                            <a:gd name="connsiteY117" fmla="*/ 414373 h 5070617"/>
                            <a:gd name="connsiteX118" fmla="*/ 587828 w 4397828"/>
                            <a:gd name="connsiteY118" fmla="*/ 479687 h 5070617"/>
                            <a:gd name="connsiteX119" fmla="*/ 544285 w 4397828"/>
                            <a:gd name="connsiteY119" fmla="*/ 545001 h 5070617"/>
                            <a:gd name="connsiteX120" fmla="*/ 446314 w 4397828"/>
                            <a:gd name="connsiteY120" fmla="*/ 632087 h 5070617"/>
                            <a:gd name="connsiteX121" fmla="*/ 413657 w 4397828"/>
                            <a:gd name="connsiteY121" fmla="*/ 664744 h 5070617"/>
                            <a:gd name="connsiteX122" fmla="*/ 381000 w 4397828"/>
                            <a:gd name="connsiteY122" fmla="*/ 697401 h 5070617"/>
                            <a:gd name="connsiteX123" fmla="*/ 326571 w 4397828"/>
                            <a:gd name="connsiteY123" fmla="*/ 773601 h 5070617"/>
                            <a:gd name="connsiteX124" fmla="*/ 304800 w 4397828"/>
                            <a:gd name="connsiteY124" fmla="*/ 806259 h 5070617"/>
                            <a:gd name="connsiteX125" fmla="*/ 293914 w 4397828"/>
                            <a:gd name="connsiteY125" fmla="*/ 849801 h 5070617"/>
                            <a:gd name="connsiteX126" fmla="*/ 272143 w 4397828"/>
                            <a:gd name="connsiteY126" fmla="*/ 871573 h 5070617"/>
                            <a:gd name="connsiteX127" fmla="*/ 228600 w 4397828"/>
                            <a:gd name="connsiteY127" fmla="*/ 969544 h 5070617"/>
                            <a:gd name="connsiteX128" fmla="*/ 217714 w 4397828"/>
                            <a:gd name="connsiteY128" fmla="*/ 1013087 h 5070617"/>
                            <a:gd name="connsiteX129" fmla="*/ 195943 w 4397828"/>
                            <a:gd name="connsiteY129" fmla="*/ 1078401 h 5070617"/>
                            <a:gd name="connsiteX130" fmla="*/ 174171 w 4397828"/>
                            <a:gd name="connsiteY130" fmla="*/ 1143716 h 5070617"/>
                            <a:gd name="connsiteX131" fmla="*/ 163285 w 4397828"/>
                            <a:gd name="connsiteY131" fmla="*/ 1176373 h 5070617"/>
                            <a:gd name="connsiteX132" fmla="*/ 152400 w 4397828"/>
                            <a:gd name="connsiteY132" fmla="*/ 1209030 h 5070617"/>
                            <a:gd name="connsiteX133" fmla="*/ 163285 w 4397828"/>
                            <a:gd name="connsiteY133" fmla="*/ 1546487 h 5070617"/>
                            <a:gd name="connsiteX134" fmla="*/ 174171 w 4397828"/>
                            <a:gd name="connsiteY134" fmla="*/ 1590030 h 5070617"/>
                            <a:gd name="connsiteX135" fmla="*/ 195943 w 4397828"/>
                            <a:gd name="connsiteY135" fmla="*/ 1633573 h 5070617"/>
                            <a:gd name="connsiteX136" fmla="*/ 217714 w 4397828"/>
                            <a:gd name="connsiteY136" fmla="*/ 1775087 h 5070617"/>
                            <a:gd name="connsiteX137" fmla="*/ 206828 w 4397828"/>
                            <a:gd name="connsiteY137" fmla="*/ 1971030 h 5070617"/>
                            <a:gd name="connsiteX138" fmla="*/ 185057 w 4397828"/>
                            <a:gd name="connsiteY138" fmla="*/ 2079887 h 5070617"/>
                            <a:gd name="connsiteX139" fmla="*/ 174171 w 4397828"/>
                            <a:gd name="connsiteY139" fmla="*/ 2166973 h 5070617"/>
                            <a:gd name="connsiteX140" fmla="*/ 185057 w 4397828"/>
                            <a:gd name="connsiteY140" fmla="*/ 2482659 h 5070617"/>
                            <a:gd name="connsiteX141" fmla="*/ 195943 w 4397828"/>
                            <a:gd name="connsiteY141" fmla="*/ 2537087 h 5070617"/>
                            <a:gd name="connsiteX142" fmla="*/ 185057 w 4397828"/>
                            <a:gd name="connsiteY142" fmla="*/ 2765687 h 5070617"/>
                            <a:gd name="connsiteX143" fmla="*/ 163285 w 4397828"/>
                            <a:gd name="connsiteY143" fmla="*/ 3026944 h 5070617"/>
                            <a:gd name="connsiteX144" fmla="*/ 174171 w 4397828"/>
                            <a:gd name="connsiteY144" fmla="*/ 3799830 h 5070617"/>
                            <a:gd name="connsiteX145" fmla="*/ 195943 w 4397828"/>
                            <a:gd name="connsiteY145" fmla="*/ 3886916 h 5070617"/>
                            <a:gd name="connsiteX146" fmla="*/ 206828 w 4397828"/>
                            <a:gd name="connsiteY146" fmla="*/ 3930459 h 5070617"/>
                            <a:gd name="connsiteX147" fmla="*/ 228600 w 4397828"/>
                            <a:gd name="connsiteY147" fmla="*/ 4006659 h 5070617"/>
                            <a:gd name="connsiteX148" fmla="*/ 239485 w 4397828"/>
                            <a:gd name="connsiteY148" fmla="*/ 4071973 h 5070617"/>
                            <a:gd name="connsiteX149" fmla="*/ 250371 w 4397828"/>
                            <a:gd name="connsiteY149" fmla="*/ 4126401 h 5070617"/>
                            <a:gd name="connsiteX150" fmla="*/ 272143 w 4397828"/>
                            <a:gd name="connsiteY150" fmla="*/ 4191716 h 5070617"/>
                            <a:gd name="connsiteX151" fmla="*/ 250371 w 4397828"/>
                            <a:gd name="connsiteY151" fmla="*/ 4518287 h 5070617"/>
                            <a:gd name="connsiteX152" fmla="*/ 217714 w 4397828"/>
                            <a:gd name="connsiteY152" fmla="*/ 4692459 h 5070617"/>
                            <a:gd name="connsiteX153" fmla="*/ 206828 w 4397828"/>
                            <a:gd name="connsiteY153" fmla="*/ 4725116 h 5070617"/>
                            <a:gd name="connsiteX154" fmla="*/ 163285 w 4397828"/>
                            <a:gd name="connsiteY154" fmla="*/ 4779544 h 5070617"/>
                            <a:gd name="connsiteX155" fmla="*/ 152400 w 4397828"/>
                            <a:gd name="connsiteY155" fmla="*/ 4812201 h 5070617"/>
                            <a:gd name="connsiteX156" fmla="*/ 65314 w 4397828"/>
                            <a:gd name="connsiteY156" fmla="*/ 4888401 h 5070617"/>
                            <a:gd name="connsiteX157" fmla="*/ 76200 w 4397828"/>
                            <a:gd name="connsiteY157" fmla="*/ 4942830 h 5070617"/>
                            <a:gd name="connsiteX158" fmla="*/ 87085 w 4397828"/>
                            <a:gd name="connsiteY158" fmla="*/ 4975487 h 5070617"/>
                            <a:gd name="connsiteX159" fmla="*/ 119743 w 4397828"/>
                            <a:gd name="connsiteY159" fmla="*/ 4986373 h 5070617"/>
                            <a:gd name="connsiteX160" fmla="*/ 174171 w 4397828"/>
                            <a:gd name="connsiteY160" fmla="*/ 5029916 h 5070617"/>
                            <a:gd name="connsiteX161" fmla="*/ 0 w 4397828"/>
                            <a:gd name="connsiteY161" fmla="*/ 4931944 h 507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Lst>
                          <a:rect l="l" t="t" r="r" b="b"/>
                          <a:pathLst>
                            <a:path w="4397828" h="5070617">
                              <a:moveTo>
                                <a:pt x="0" y="4931944"/>
                              </a:moveTo>
                              <a:lnTo>
                                <a:pt x="0" y="4931944"/>
                              </a:lnTo>
                              <a:cubicBezTo>
                                <a:pt x="135352" y="5018077"/>
                                <a:pt x="73351" y="4998865"/>
                                <a:pt x="174171" y="5019030"/>
                              </a:cubicBezTo>
                              <a:cubicBezTo>
                                <a:pt x="323959" y="5118887"/>
                                <a:pt x="200837" y="5045861"/>
                                <a:pt x="631371" y="5029916"/>
                              </a:cubicBezTo>
                              <a:cubicBezTo>
                                <a:pt x="685883" y="5027897"/>
                                <a:pt x="740228" y="5022659"/>
                                <a:pt x="794657" y="5019030"/>
                              </a:cubicBezTo>
                              <a:cubicBezTo>
                                <a:pt x="957107" y="4995822"/>
                                <a:pt x="776694" y="5019646"/>
                                <a:pt x="1034143" y="4997259"/>
                              </a:cubicBezTo>
                              <a:cubicBezTo>
                                <a:pt x="1063287" y="4994725"/>
                                <a:pt x="1092119" y="4989284"/>
                                <a:pt x="1121228" y="4986373"/>
                              </a:cubicBezTo>
                              <a:cubicBezTo>
                                <a:pt x="1164705" y="4982025"/>
                                <a:pt x="1208314" y="4979116"/>
                                <a:pt x="1251857" y="4975487"/>
                              </a:cubicBezTo>
                              <a:cubicBezTo>
                                <a:pt x="1399164" y="4946025"/>
                                <a:pt x="1180170" y="4988190"/>
                                <a:pt x="1404257" y="4953716"/>
                              </a:cubicBezTo>
                              <a:cubicBezTo>
                                <a:pt x="1419044" y="4951441"/>
                                <a:pt x="1433080" y="4945506"/>
                                <a:pt x="1447800" y="4942830"/>
                              </a:cubicBezTo>
                              <a:cubicBezTo>
                                <a:pt x="1489685" y="4935214"/>
                                <a:pt x="1598548" y="4922519"/>
                                <a:pt x="1632857" y="4921059"/>
                              </a:cubicBezTo>
                              <a:cubicBezTo>
                                <a:pt x="1767042" y="4915349"/>
                                <a:pt x="1901371" y="4913802"/>
                                <a:pt x="2035628" y="4910173"/>
                              </a:cubicBezTo>
                              <a:cubicBezTo>
                                <a:pt x="2078190" y="4903079"/>
                                <a:pt x="2199941" y="4880961"/>
                                <a:pt x="2253343" y="4877516"/>
                              </a:cubicBezTo>
                              <a:cubicBezTo>
                                <a:pt x="2655010" y="4851602"/>
                                <a:pt x="2355454" y="4880546"/>
                                <a:pt x="2677885" y="4855744"/>
                              </a:cubicBezTo>
                              <a:cubicBezTo>
                                <a:pt x="3057927" y="4826511"/>
                                <a:pt x="2577802" y="4861130"/>
                                <a:pt x="2862943" y="4833973"/>
                              </a:cubicBezTo>
                              <a:cubicBezTo>
                                <a:pt x="2913643" y="4829144"/>
                                <a:pt x="2964543" y="4826716"/>
                                <a:pt x="3015343" y="4823087"/>
                              </a:cubicBezTo>
                              <a:cubicBezTo>
                                <a:pt x="3085409" y="4799731"/>
                                <a:pt x="3011995" y="4821831"/>
                                <a:pt x="3135085" y="4801316"/>
                              </a:cubicBezTo>
                              <a:cubicBezTo>
                                <a:pt x="3149842" y="4798856"/>
                                <a:pt x="3163841" y="4792705"/>
                                <a:pt x="3178628" y="4790430"/>
                              </a:cubicBezTo>
                              <a:cubicBezTo>
                                <a:pt x="3211104" y="4785434"/>
                                <a:pt x="3244030" y="4783887"/>
                                <a:pt x="3276600" y="4779544"/>
                              </a:cubicBezTo>
                              <a:cubicBezTo>
                                <a:pt x="3298478" y="4776627"/>
                                <a:pt x="3319851" y="4769272"/>
                                <a:pt x="3341914" y="4768659"/>
                              </a:cubicBezTo>
                              <a:cubicBezTo>
                                <a:pt x="3581335" y="4762009"/>
                                <a:pt x="3820885" y="4761402"/>
                                <a:pt x="4060371" y="4757773"/>
                              </a:cubicBezTo>
                              <a:cubicBezTo>
                                <a:pt x="4071257" y="4754144"/>
                                <a:pt x="4081827" y="4749376"/>
                                <a:pt x="4093028" y="4746887"/>
                              </a:cubicBezTo>
                              <a:cubicBezTo>
                                <a:pt x="4162195" y="4731516"/>
                                <a:pt x="4228110" y="4730635"/>
                                <a:pt x="4299857" y="4725116"/>
                              </a:cubicBezTo>
                              <a:cubicBezTo>
                                <a:pt x="4310743" y="4721487"/>
                                <a:pt x="4323699" y="4721576"/>
                                <a:pt x="4332514" y="4714230"/>
                              </a:cubicBezTo>
                              <a:cubicBezTo>
                                <a:pt x="4346452" y="4702615"/>
                                <a:pt x="4353556" y="4684625"/>
                                <a:pt x="4365171" y="4670687"/>
                              </a:cubicBezTo>
                              <a:cubicBezTo>
                                <a:pt x="4371741" y="4662803"/>
                                <a:pt x="4379686" y="4656173"/>
                                <a:pt x="4386943" y="4648916"/>
                              </a:cubicBezTo>
                              <a:cubicBezTo>
                                <a:pt x="4380337" y="4510190"/>
                                <a:pt x="4392323" y="4447350"/>
                                <a:pt x="4354285" y="4333230"/>
                              </a:cubicBezTo>
                              <a:cubicBezTo>
                                <a:pt x="4350657" y="4322344"/>
                                <a:pt x="4346552" y="4311606"/>
                                <a:pt x="4343400" y="4300573"/>
                              </a:cubicBezTo>
                              <a:cubicBezTo>
                                <a:pt x="4339290" y="4286188"/>
                                <a:pt x="4339205" y="4270412"/>
                                <a:pt x="4332514" y="4257030"/>
                              </a:cubicBezTo>
                              <a:cubicBezTo>
                                <a:pt x="4320812" y="4233627"/>
                                <a:pt x="4288971" y="4191716"/>
                                <a:pt x="4288971" y="4191716"/>
                              </a:cubicBezTo>
                              <a:cubicBezTo>
                                <a:pt x="4285342" y="4177202"/>
                                <a:pt x="4278085" y="4163134"/>
                                <a:pt x="4278085" y="4148173"/>
                              </a:cubicBezTo>
                              <a:cubicBezTo>
                                <a:pt x="4278085" y="4054725"/>
                                <a:pt x="4276863" y="3957116"/>
                                <a:pt x="4299857" y="3865144"/>
                              </a:cubicBezTo>
                              <a:cubicBezTo>
                                <a:pt x="4302640" y="3854012"/>
                                <a:pt x="4307114" y="3843373"/>
                                <a:pt x="4310743" y="3832487"/>
                              </a:cubicBezTo>
                              <a:cubicBezTo>
                                <a:pt x="4314371" y="3807087"/>
                                <a:pt x="4315859" y="3781288"/>
                                <a:pt x="4321628" y="3756287"/>
                              </a:cubicBezTo>
                              <a:cubicBezTo>
                                <a:pt x="4326788" y="3733926"/>
                                <a:pt x="4336806" y="3712954"/>
                                <a:pt x="4343400" y="3690973"/>
                              </a:cubicBezTo>
                              <a:cubicBezTo>
                                <a:pt x="4347699" y="3676643"/>
                                <a:pt x="4350175" y="3661815"/>
                                <a:pt x="4354285" y="3647430"/>
                              </a:cubicBezTo>
                              <a:cubicBezTo>
                                <a:pt x="4357437" y="3636397"/>
                                <a:pt x="4362019" y="3625806"/>
                                <a:pt x="4365171" y="3614773"/>
                              </a:cubicBezTo>
                              <a:cubicBezTo>
                                <a:pt x="4369281" y="3600388"/>
                                <a:pt x="4371947" y="3585615"/>
                                <a:pt x="4376057" y="3571230"/>
                              </a:cubicBezTo>
                              <a:cubicBezTo>
                                <a:pt x="4407280" y="3461953"/>
                                <a:pt x="4363813" y="3631100"/>
                                <a:pt x="4397828" y="3495030"/>
                              </a:cubicBezTo>
                              <a:cubicBezTo>
                                <a:pt x="4389330" y="3146595"/>
                                <a:pt x="4400948" y="3163875"/>
                                <a:pt x="4376057" y="2939859"/>
                              </a:cubicBezTo>
                              <a:cubicBezTo>
                                <a:pt x="4371978" y="2903146"/>
                                <a:pt x="4362780" y="2827101"/>
                                <a:pt x="4354285" y="2787459"/>
                              </a:cubicBezTo>
                              <a:cubicBezTo>
                                <a:pt x="4340297" y="2722183"/>
                                <a:pt x="4335449" y="2701532"/>
                                <a:pt x="4310743" y="2645944"/>
                              </a:cubicBezTo>
                              <a:cubicBezTo>
                                <a:pt x="4304152" y="2631115"/>
                                <a:pt x="4295364" y="2617316"/>
                                <a:pt x="4288971" y="2602401"/>
                              </a:cubicBezTo>
                              <a:cubicBezTo>
                                <a:pt x="4284451" y="2591854"/>
                                <a:pt x="4282605" y="2580291"/>
                                <a:pt x="4278085" y="2569744"/>
                              </a:cubicBezTo>
                              <a:cubicBezTo>
                                <a:pt x="4271693" y="2554829"/>
                                <a:pt x="4262905" y="2541030"/>
                                <a:pt x="4256314" y="2526201"/>
                              </a:cubicBezTo>
                              <a:cubicBezTo>
                                <a:pt x="4248378" y="2508345"/>
                                <a:pt x="4243282" y="2489250"/>
                                <a:pt x="4234543" y="2471773"/>
                              </a:cubicBezTo>
                              <a:cubicBezTo>
                                <a:pt x="4228692" y="2460071"/>
                                <a:pt x="4218622" y="2450818"/>
                                <a:pt x="4212771" y="2439116"/>
                              </a:cubicBezTo>
                              <a:cubicBezTo>
                                <a:pt x="4204032" y="2421638"/>
                                <a:pt x="4197861" y="2402983"/>
                                <a:pt x="4191000" y="2384687"/>
                              </a:cubicBezTo>
                              <a:cubicBezTo>
                                <a:pt x="4186971" y="2373943"/>
                                <a:pt x="4185246" y="2362293"/>
                                <a:pt x="4180114" y="2352030"/>
                              </a:cubicBezTo>
                              <a:cubicBezTo>
                                <a:pt x="4174263" y="2340328"/>
                                <a:pt x="4165277" y="2330467"/>
                                <a:pt x="4158343" y="2319373"/>
                              </a:cubicBezTo>
                              <a:cubicBezTo>
                                <a:pt x="4147129" y="2301431"/>
                                <a:pt x="4137422" y="2282549"/>
                                <a:pt x="4125685" y="2264944"/>
                              </a:cubicBezTo>
                              <a:cubicBezTo>
                                <a:pt x="4115621" y="2249848"/>
                                <a:pt x="4103092" y="2236497"/>
                                <a:pt x="4093028" y="2221401"/>
                              </a:cubicBezTo>
                              <a:cubicBezTo>
                                <a:pt x="4081292" y="2203797"/>
                                <a:pt x="4072107" y="2184577"/>
                                <a:pt x="4060371" y="2166973"/>
                              </a:cubicBezTo>
                              <a:cubicBezTo>
                                <a:pt x="4050307" y="2151877"/>
                                <a:pt x="4037778" y="2138526"/>
                                <a:pt x="4027714" y="2123430"/>
                              </a:cubicBezTo>
                              <a:cubicBezTo>
                                <a:pt x="4015978" y="2105825"/>
                                <a:pt x="4007355" y="2086218"/>
                                <a:pt x="3995057" y="2069001"/>
                              </a:cubicBezTo>
                              <a:cubicBezTo>
                                <a:pt x="3989092" y="2060650"/>
                                <a:pt x="3979964" y="2055022"/>
                                <a:pt x="3973285" y="2047230"/>
                              </a:cubicBezTo>
                              <a:cubicBezTo>
                                <a:pt x="3958164" y="2029589"/>
                                <a:pt x="3945043" y="2010286"/>
                                <a:pt x="3929743" y="1992801"/>
                              </a:cubicBezTo>
                              <a:cubicBezTo>
                                <a:pt x="3919605" y="1981215"/>
                                <a:pt x="3906941" y="1971971"/>
                                <a:pt x="3897085" y="1960144"/>
                              </a:cubicBezTo>
                              <a:cubicBezTo>
                                <a:pt x="3888709" y="1950094"/>
                                <a:pt x="3882918" y="1938133"/>
                                <a:pt x="3875314" y="1927487"/>
                              </a:cubicBezTo>
                              <a:cubicBezTo>
                                <a:pt x="3842968" y="1882202"/>
                                <a:pt x="3851827" y="1893114"/>
                                <a:pt x="3820885" y="1862173"/>
                              </a:cubicBezTo>
                              <a:cubicBezTo>
                                <a:pt x="3813628" y="1847659"/>
                                <a:pt x="3805506" y="1833545"/>
                                <a:pt x="3799114" y="1818630"/>
                              </a:cubicBezTo>
                              <a:cubicBezTo>
                                <a:pt x="3782204" y="1779174"/>
                                <a:pt x="3792224" y="1776636"/>
                                <a:pt x="3766457" y="1731544"/>
                              </a:cubicBezTo>
                              <a:cubicBezTo>
                                <a:pt x="3761365" y="1722633"/>
                                <a:pt x="3751942" y="1717030"/>
                                <a:pt x="3744685" y="1709773"/>
                              </a:cubicBezTo>
                              <a:cubicBezTo>
                                <a:pt x="3737428" y="1695259"/>
                                <a:pt x="3728941" y="1681297"/>
                                <a:pt x="3722914" y="1666230"/>
                              </a:cubicBezTo>
                              <a:cubicBezTo>
                                <a:pt x="3714391" y="1644922"/>
                                <a:pt x="3712950" y="1620594"/>
                                <a:pt x="3701143" y="1600916"/>
                              </a:cubicBezTo>
                              <a:cubicBezTo>
                                <a:pt x="3690257" y="1582773"/>
                                <a:pt x="3677947" y="1565412"/>
                                <a:pt x="3668485" y="1546487"/>
                              </a:cubicBezTo>
                              <a:cubicBezTo>
                                <a:pt x="3663353" y="1536224"/>
                                <a:pt x="3662120" y="1524377"/>
                                <a:pt x="3657600" y="1513830"/>
                              </a:cubicBezTo>
                              <a:cubicBezTo>
                                <a:pt x="3646508" y="1487948"/>
                                <a:pt x="3617915" y="1436501"/>
                                <a:pt x="3603171" y="1415859"/>
                              </a:cubicBezTo>
                              <a:cubicBezTo>
                                <a:pt x="3597206" y="1407507"/>
                                <a:pt x="3588657" y="1401344"/>
                                <a:pt x="3581400" y="1394087"/>
                              </a:cubicBezTo>
                              <a:cubicBezTo>
                                <a:pt x="3577771" y="1383201"/>
                                <a:pt x="3576207" y="1371393"/>
                                <a:pt x="3570514" y="1361430"/>
                              </a:cubicBezTo>
                              <a:cubicBezTo>
                                <a:pt x="3561513" y="1345678"/>
                                <a:pt x="3548402" y="1332650"/>
                                <a:pt x="3537857" y="1317887"/>
                              </a:cubicBezTo>
                              <a:cubicBezTo>
                                <a:pt x="3499970" y="1264846"/>
                                <a:pt x="3534250" y="1303395"/>
                                <a:pt x="3483428" y="1252573"/>
                              </a:cubicBezTo>
                              <a:cubicBezTo>
                                <a:pt x="3479800" y="1241687"/>
                                <a:pt x="3477675" y="1230179"/>
                                <a:pt x="3472543" y="1219916"/>
                              </a:cubicBezTo>
                              <a:cubicBezTo>
                                <a:pt x="3457389" y="1189608"/>
                                <a:pt x="3442186" y="1178674"/>
                                <a:pt x="3418114" y="1154601"/>
                              </a:cubicBezTo>
                              <a:cubicBezTo>
                                <a:pt x="3396921" y="1091024"/>
                                <a:pt x="3423810" y="1149412"/>
                                <a:pt x="3374571" y="1100173"/>
                              </a:cubicBezTo>
                              <a:cubicBezTo>
                                <a:pt x="3315755" y="1041357"/>
                                <a:pt x="3351205" y="1057115"/>
                                <a:pt x="3298371" y="1013087"/>
                              </a:cubicBezTo>
                              <a:cubicBezTo>
                                <a:pt x="3249286" y="972183"/>
                                <a:pt x="3253335" y="1005400"/>
                                <a:pt x="3200400" y="926001"/>
                              </a:cubicBezTo>
                              <a:cubicBezTo>
                                <a:pt x="3146340" y="844913"/>
                                <a:pt x="3215824" y="944511"/>
                                <a:pt x="3145971" y="860687"/>
                              </a:cubicBezTo>
                              <a:cubicBezTo>
                                <a:pt x="3137596" y="850636"/>
                                <a:pt x="3133451" y="837281"/>
                                <a:pt x="3124200" y="828030"/>
                              </a:cubicBezTo>
                              <a:cubicBezTo>
                                <a:pt x="3067619" y="771449"/>
                                <a:pt x="3112863" y="838352"/>
                                <a:pt x="3069771" y="784487"/>
                              </a:cubicBezTo>
                              <a:cubicBezTo>
                                <a:pt x="3061598" y="774271"/>
                                <a:pt x="3056375" y="761881"/>
                                <a:pt x="3048000" y="751830"/>
                              </a:cubicBezTo>
                              <a:cubicBezTo>
                                <a:pt x="3004634" y="699791"/>
                                <a:pt x="3029391" y="736322"/>
                                <a:pt x="2982685" y="697401"/>
                              </a:cubicBezTo>
                              <a:cubicBezTo>
                                <a:pt x="2970858" y="687546"/>
                                <a:pt x="2962180" y="674195"/>
                                <a:pt x="2950028" y="664744"/>
                              </a:cubicBezTo>
                              <a:cubicBezTo>
                                <a:pt x="2929374" y="648680"/>
                                <a:pt x="2903216" y="639703"/>
                                <a:pt x="2884714" y="621201"/>
                              </a:cubicBezTo>
                              <a:cubicBezTo>
                                <a:pt x="2826399" y="562886"/>
                                <a:pt x="2864373" y="597781"/>
                                <a:pt x="2764971" y="523230"/>
                              </a:cubicBezTo>
                              <a:cubicBezTo>
                                <a:pt x="2700898" y="475176"/>
                                <a:pt x="2734262" y="503406"/>
                                <a:pt x="2667000" y="436144"/>
                              </a:cubicBezTo>
                              <a:lnTo>
                                <a:pt x="2645228" y="414373"/>
                              </a:lnTo>
                              <a:cubicBezTo>
                                <a:pt x="2637971" y="407116"/>
                                <a:pt x="2633194" y="395846"/>
                                <a:pt x="2623457" y="392601"/>
                              </a:cubicBezTo>
                              <a:lnTo>
                                <a:pt x="2590800" y="381716"/>
                              </a:lnTo>
                              <a:cubicBezTo>
                                <a:pt x="2517371" y="308287"/>
                                <a:pt x="2554695" y="326137"/>
                                <a:pt x="2492828" y="305516"/>
                              </a:cubicBezTo>
                              <a:cubicBezTo>
                                <a:pt x="2415847" y="254193"/>
                                <a:pt x="2511170" y="318617"/>
                                <a:pt x="2416628" y="251087"/>
                              </a:cubicBezTo>
                              <a:cubicBezTo>
                                <a:pt x="2405982" y="243483"/>
                                <a:pt x="2394617" y="236920"/>
                                <a:pt x="2383971" y="229316"/>
                              </a:cubicBezTo>
                              <a:cubicBezTo>
                                <a:pt x="2369207" y="218771"/>
                                <a:pt x="2356655" y="204773"/>
                                <a:pt x="2340428" y="196659"/>
                              </a:cubicBezTo>
                              <a:cubicBezTo>
                                <a:pt x="2327046" y="189968"/>
                                <a:pt x="2311399" y="189402"/>
                                <a:pt x="2296885" y="185773"/>
                              </a:cubicBezTo>
                              <a:cubicBezTo>
                                <a:pt x="2254361" y="143247"/>
                                <a:pt x="2298982" y="181379"/>
                                <a:pt x="2242457" y="153116"/>
                              </a:cubicBezTo>
                              <a:cubicBezTo>
                                <a:pt x="2158049" y="110912"/>
                                <a:pt x="2259227" y="147819"/>
                                <a:pt x="2177143" y="120459"/>
                              </a:cubicBezTo>
                              <a:cubicBezTo>
                                <a:pt x="2169886" y="113202"/>
                                <a:pt x="2164551" y="103277"/>
                                <a:pt x="2155371" y="98687"/>
                              </a:cubicBezTo>
                              <a:cubicBezTo>
                                <a:pt x="2141989" y="91996"/>
                                <a:pt x="2126213" y="91911"/>
                                <a:pt x="2111828" y="87801"/>
                              </a:cubicBezTo>
                              <a:cubicBezTo>
                                <a:pt x="2100795" y="84649"/>
                                <a:pt x="2090204" y="80068"/>
                                <a:pt x="2079171" y="76916"/>
                              </a:cubicBezTo>
                              <a:cubicBezTo>
                                <a:pt x="2064786" y="72806"/>
                                <a:pt x="2050013" y="70140"/>
                                <a:pt x="2035628" y="66030"/>
                              </a:cubicBezTo>
                              <a:cubicBezTo>
                                <a:pt x="2024595" y="62878"/>
                                <a:pt x="2014004" y="58296"/>
                                <a:pt x="2002971" y="55144"/>
                              </a:cubicBezTo>
                              <a:cubicBezTo>
                                <a:pt x="1981226" y="48931"/>
                                <a:pt x="1924943" y="35866"/>
                                <a:pt x="1905000" y="33373"/>
                              </a:cubicBezTo>
                              <a:cubicBezTo>
                                <a:pt x="1865231" y="28402"/>
                                <a:pt x="1825171" y="26116"/>
                                <a:pt x="1785257" y="22487"/>
                              </a:cubicBezTo>
                              <a:cubicBezTo>
                                <a:pt x="1607757" y="-13014"/>
                                <a:pt x="1686703" y="-1423"/>
                                <a:pt x="1328057" y="22487"/>
                              </a:cubicBezTo>
                              <a:cubicBezTo>
                                <a:pt x="1298201" y="24477"/>
                                <a:pt x="1270000" y="37002"/>
                                <a:pt x="1240971" y="44259"/>
                              </a:cubicBezTo>
                              <a:lnTo>
                                <a:pt x="1197428" y="55144"/>
                              </a:lnTo>
                              <a:cubicBezTo>
                                <a:pt x="1186542" y="62401"/>
                                <a:pt x="1176726" y="71602"/>
                                <a:pt x="1164771" y="76916"/>
                              </a:cubicBezTo>
                              <a:cubicBezTo>
                                <a:pt x="1130700" y="92059"/>
                                <a:pt x="1092099" y="100526"/>
                                <a:pt x="1055914" y="109573"/>
                              </a:cubicBezTo>
                              <a:cubicBezTo>
                                <a:pt x="1045028" y="116830"/>
                                <a:pt x="1033473" y="123171"/>
                                <a:pt x="1023257" y="131344"/>
                              </a:cubicBezTo>
                              <a:cubicBezTo>
                                <a:pt x="1015243" y="137755"/>
                                <a:pt x="1010286" y="147836"/>
                                <a:pt x="1001485" y="153116"/>
                              </a:cubicBezTo>
                              <a:cubicBezTo>
                                <a:pt x="991646" y="159019"/>
                                <a:pt x="979714" y="160373"/>
                                <a:pt x="968828" y="164001"/>
                              </a:cubicBezTo>
                              <a:cubicBezTo>
                                <a:pt x="957942" y="171258"/>
                                <a:pt x="947530" y="179282"/>
                                <a:pt x="936171" y="185773"/>
                              </a:cubicBezTo>
                              <a:cubicBezTo>
                                <a:pt x="922082" y="193824"/>
                                <a:pt x="905437" y="197581"/>
                                <a:pt x="892628" y="207544"/>
                              </a:cubicBezTo>
                              <a:cubicBezTo>
                                <a:pt x="872375" y="223296"/>
                                <a:pt x="859549" y="247741"/>
                                <a:pt x="838200" y="261973"/>
                              </a:cubicBezTo>
                              <a:cubicBezTo>
                                <a:pt x="757459" y="315799"/>
                                <a:pt x="845816" y="253812"/>
                                <a:pt x="783771" y="305516"/>
                              </a:cubicBezTo>
                              <a:cubicBezTo>
                                <a:pt x="769833" y="317131"/>
                                <a:pt x="753882" y="326226"/>
                                <a:pt x="740228" y="338173"/>
                              </a:cubicBezTo>
                              <a:cubicBezTo>
                                <a:pt x="724780" y="351690"/>
                                <a:pt x="712133" y="368199"/>
                                <a:pt x="696685" y="381716"/>
                              </a:cubicBezTo>
                              <a:cubicBezTo>
                                <a:pt x="683031" y="393663"/>
                                <a:pt x="666628" y="402236"/>
                                <a:pt x="653143" y="414373"/>
                              </a:cubicBezTo>
                              <a:cubicBezTo>
                                <a:pt x="630257" y="434970"/>
                                <a:pt x="604907" y="454069"/>
                                <a:pt x="587828" y="479687"/>
                              </a:cubicBezTo>
                              <a:cubicBezTo>
                                <a:pt x="573314" y="501458"/>
                                <a:pt x="566056" y="530486"/>
                                <a:pt x="544285" y="545001"/>
                              </a:cubicBezTo>
                              <a:cubicBezTo>
                                <a:pt x="486010" y="583852"/>
                                <a:pt x="520879" y="557522"/>
                                <a:pt x="446314" y="632087"/>
                              </a:cubicBezTo>
                              <a:lnTo>
                                <a:pt x="413657" y="664744"/>
                              </a:lnTo>
                              <a:cubicBezTo>
                                <a:pt x="402771" y="675630"/>
                                <a:pt x="389539" y="684592"/>
                                <a:pt x="381000" y="697401"/>
                              </a:cubicBezTo>
                              <a:cubicBezTo>
                                <a:pt x="329677" y="774385"/>
                                <a:pt x="394101" y="679058"/>
                                <a:pt x="326571" y="773601"/>
                              </a:cubicBezTo>
                              <a:cubicBezTo>
                                <a:pt x="318967" y="784247"/>
                                <a:pt x="312057" y="795373"/>
                                <a:pt x="304800" y="806259"/>
                              </a:cubicBezTo>
                              <a:cubicBezTo>
                                <a:pt x="301171" y="820773"/>
                                <a:pt x="300605" y="836420"/>
                                <a:pt x="293914" y="849801"/>
                              </a:cubicBezTo>
                              <a:cubicBezTo>
                                <a:pt x="289324" y="858981"/>
                                <a:pt x="276733" y="862393"/>
                                <a:pt x="272143" y="871573"/>
                              </a:cubicBezTo>
                              <a:cubicBezTo>
                                <a:pt x="194418" y="1027024"/>
                                <a:pt x="292640" y="873482"/>
                                <a:pt x="228600" y="969544"/>
                              </a:cubicBezTo>
                              <a:cubicBezTo>
                                <a:pt x="224971" y="984058"/>
                                <a:pt x="222013" y="998757"/>
                                <a:pt x="217714" y="1013087"/>
                              </a:cubicBezTo>
                              <a:cubicBezTo>
                                <a:pt x="211120" y="1035068"/>
                                <a:pt x="203200" y="1056630"/>
                                <a:pt x="195943" y="1078401"/>
                              </a:cubicBezTo>
                              <a:lnTo>
                                <a:pt x="174171" y="1143716"/>
                              </a:lnTo>
                              <a:lnTo>
                                <a:pt x="163285" y="1176373"/>
                              </a:lnTo>
                              <a:lnTo>
                                <a:pt x="152400" y="1209030"/>
                              </a:lnTo>
                              <a:cubicBezTo>
                                <a:pt x="156028" y="1321516"/>
                                <a:pt x="156865" y="1434126"/>
                                <a:pt x="163285" y="1546487"/>
                              </a:cubicBezTo>
                              <a:cubicBezTo>
                                <a:pt x="164139" y="1561424"/>
                                <a:pt x="168918" y="1576022"/>
                                <a:pt x="174171" y="1590030"/>
                              </a:cubicBezTo>
                              <a:cubicBezTo>
                                <a:pt x="179869" y="1605224"/>
                                <a:pt x="188686" y="1619059"/>
                                <a:pt x="195943" y="1633573"/>
                              </a:cubicBezTo>
                              <a:cubicBezTo>
                                <a:pt x="204229" y="1675004"/>
                                <a:pt x="217714" y="1735550"/>
                                <a:pt x="217714" y="1775087"/>
                              </a:cubicBezTo>
                              <a:cubicBezTo>
                                <a:pt x="217714" y="1840502"/>
                                <a:pt x="212260" y="1905841"/>
                                <a:pt x="206828" y="1971030"/>
                              </a:cubicBezTo>
                              <a:cubicBezTo>
                                <a:pt x="198842" y="2066867"/>
                                <a:pt x="197664" y="2004245"/>
                                <a:pt x="185057" y="2079887"/>
                              </a:cubicBezTo>
                              <a:cubicBezTo>
                                <a:pt x="180247" y="2108744"/>
                                <a:pt x="177800" y="2137944"/>
                                <a:pt x="174171" y="2166973"/>
                              </a:cubicBezTo>
                              <a:cubicBezTo>
                                <a:pt x="177800" y="2272202"/>
                                <a:pt x="178874" y="2377549"/>
                                <a:pt x="185057" y="2482659"/>
                              </a:cubicBezTo>
                              <a:cubicBezTo>
                                <a:pt x="186144" y="2501129"/>
                                <a:pt x="195943" y="2518585"/>
                                <a:pt x="195943" y="2537087"/>
                              </a:cubicBezTo>
                              <a:cubicBezTo>
                                <a:pt x="195943" y="2613373"/>
                                <a:pt x="189289" y="2689518"/>
                                <a:pt x="185057" y="2765687"/>
                              </a:cubicBezTo>
                              <a:cubicBezTo>
                                <a:pt x="176342" y="2922545"/>
                                <a:pt x="177571" y="2898378"/>
                                <a:pt x="163285" y="3026944"/>
                              </a:cubicBezTo>
                              <a:cubicBezTo>
                                <a:pt x="166914" y="3284573"/>
                                <a:pt x="164393" y="3542361"/>
                                <a:pt x="174171" y="3799830"/>
                              </a:cubicBezTo>
                              <a:cubicBezTo>
                                <a:pt x="175306" y="3829731"/>
                                <a:pt x="188686" y="3857887"/>
                                <a:pt x="195943" y="3886916"/>
                              </a:cubicBezTo>
                              <a:cubicBezTo>
                                <a:pt x="199572" y="3901430"/>
                                <a:pt x="202097" y="3916266"/>
                                <a:pt x="206828" y="3930459"/>
                              </a:cubicBezTo>
                              <a:cubicBezTo>
                                <a:pt x="217203" y="3961583"/>
                                <a:pt x="221766" y="3972489"/>
                                <a:pt x="228600" y="4006659"/>
                              </a:cubicBezTo>
                              <a:cubicBezTo>
                                <a:pt x="232929" y="4028302"/>
                                <a:pt x="235537" y="4050257"/>
                                <a:pt x="239485" y="4071973"/>
                              </a:cubicBezTo>
                              <a:cubicBezTo>
                                <a:pt x="242795" y="4090177"/>
                                <a:pt x="245503" y="4108551"/>
                                <a:pt x="250371" y="4126401"/>
                              </a:cubicBezTo>
                              <a:cubicBezTo>
                                <a:pt x="256410" y="4148542"/>
                                <a:pt x="272143" y="4191716"/>
                                <a:pt x="272143" y="4191716"/>
                              </a:cubicBezTo>
                              <a:cubicBezTo>
                                <a:pt x="268381" y="4251913"/>
                                <a:pt x="256383" y="4452155"/>
                                <a:pt x="250371" y="4518287"/>
                              </a:cubicBezTo>
                              <a:cubicBezTo>
                                <a:pt x="244776" y="4579830"/>
                                <a:pt x="237372" y="4633486"/>
                                <a:pt x="217714" y="4692459"/>
                              </a:cubicBezTo>
                              <a:cubicBezTo>
                                <a:pt x="214085" y="4703345"/>
                                <a:pt x="211960" y="4714853"/>
                                <a:pt x="206828" y="4725116"/>
                              </a:cubicBezTo>
                              <a:cubicBezTo>
                                <a:pt x="193095" y="4752582"/>
                                <a:pt x="183537" y="4759293"/>
                                <a:pt x="163285" y="4779544"/>
                              </a:cubicBezTo>
                              <a:cubicBezTo>
                                <a:pt x="159657" y="4790430"/>
                                <a:pt x="159285" y="4803021"/>
                                <a:pt x="152400" y="4812201"/>
                              </a:cubicBezTo>
                              <a:cubicBezTo>
                                <a:pt x="120560" y="4854655"/>
                                <a:pt x="103085" y="4863221"/>
                                <a:pt x="65314" y="4888401"/>
                              </a:cubicBezTo>
                              <a:cubicBezTo>
                                <a:pt x="68943" y="4906544"/>
                                <a:pt x="71713" y="4924880"/>
                                <a:pt x="76200" y="4942830"/>
                              </a:cubicBezTo>
                              <a:cubicBezTo>
                                <a:pt x="78983" y="4953962"/>
                                <a:pt x="78971" y="4967373"/>
                                <a:pt x="87085" y="4975487"/>
                              </a:cubicBezTo>
                              <a:cubicBezTo>
                                <a:pt x="95199" y="4983601"/>
                                <a:pt x="108857" y="4982744"/>
                                <a:pt x="119743" y="4986373"/>
                              </a:cubicBezTo>
                              <a:cubicBezTo>
                                <a:pt x="158137" y="5024767"/>
                                <a:pt x="138631" y="5012145"/>
                                <a:pt x="174171" y="5029916"/>
                              </a:cubicBezTo>
                              <a:lnTo>
                                <a:pt x="0" y="4931944"/>
                              </a:lnTo>
                              <a:close/>
                            </a:path>
                          </a:pathLst>
                        </a:custGeom>
                        <a:noFill/>
                        <a:ln w="19050">
                          <a:solidFill>
                            <a:schemeClr val="tx2">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0A274FB" id="Forma libre 13" o:spid="_x0000_s1026" style="position:absolute;margin-left:253.45pt;margin-top:38.5pt;width:240.7pt;height:20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97828,5070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" path="m,4931944r,c135352,5018077,73351,4998865,174171,5019030v149788,99857,26666,26831,457200,10886c685883,5027897,740228,5022659,794657,5019030v162450,-23208,-17963,616,239486,-21771c1063287,4994725,1092119,4989284,1121228,4986373v43477,-4348,87086,-7257,130629,-10886c1399164,4946025,1180170,4988190,1404257,4953716v14787,-2275,28823,-8210,43543,-10886c1489685,4935214,1598548,4922519,1632857,4921059v134185,-5710,268514,-7257,402771,-10886c2078190,4903079,2199941,4880961,2253343,4877516v401667,-25914,102111,3030,424542,-21772c3057927,4826511,2577802,4861130,2862943,4833973v50700,-4829,101600,-7257,152400,-10886c3085409,4799731,3011995,4821831,3135085,4801316v14757,-2460,28756,-8611,43543,-10886c3211104,4785434,3244030,4783887,3276600,4779544v21878,-2917,43251,-10272,65314,-10885c3581335,4762009,3820885,4761402,4060371,4757773v10886,-3629,21456,-8397,32657,-10886c4162195,4731516,4228110,4730635,4299857,4725116v10886,-3629,23842,-3540,32657,-10886c4346452,4702615,4353556,4684625,4365171,4670687v6570,-7884,14515,-14514,21772,-21771c4380337,4510190,4392323,4447350,4354285,4333230v-3628,-10886,-7733,-21624,-10885,-32657c4339290,4286188,4339205,4270412,4332514,4257030v-11702,-23403,-43543,-65314,-43543,-65314c4285342,4177202,4278085,4163134,4278085,4148173v,-93448,-1222,-191057,21772,-283029c4302640,3854012,4307114,3843373,4310743,3832487v3628,-25400,5116,-51199,10885,-76200c4326788,3733926,4336806,3712954,4343400,3690973v4299,-14330,6775,-29158,10885,-43543c4357437,3636397,4362019,3625806,4365171,3614773v4110,-14385,6776,-29158,10886,-43543c4407280,3461953,4363813,3631100,4397828,3495030v-8498,-348435,3120,-331155,-21771,-555171c4371978,2903146,4362780,2827101,4354285,2787459v-13988,-65276,-18836,-85927,-43542,-141515c4304152,2631115,4295364,2617316,4288971,2602401v-4520,-10547,-6366,-22110,-10886,-32657c4271693,2554829,4262905,2541030,4256314,2526201v-7936,-17856,-13032,-36951,-21771,-54428c4228692,2460071,4218622,2450818,4212771,2439116v-8739,-17478,-14910,-36133,-21771,-54429c4186971,2373943,4185246,2362293,4180114,2352030v-5851,-11702,-14837,-21563,-21771,-32657c4147129,2301431,4137422,2282549,4125685,2264944v-10064,-15096,-22593,-28447,-32657,-43543c4081292,2203797,4072107,2184577,4060371,2166973v-10064,-15096,-22593,-28447,-32657,-43543c4015978,2105825,4007355,2086218,3995057,2069001v-5965,-8351,-15093,-13979,-21772,-21771c3958164,2029589,3945043,2010286,3929743,1992801v-10138,-11586,-22802,-20830,-32658,-32657c3888709,1950094,3882918,1938133,3875314,1927487v-32346,-45285,-23487,-34373,-54429,-65314c3813628,1847659,3805506,1833545,3799114,1818630v-16910,-39456,-6890,-41994,-32657,-87086c3761365,1722633,3751942,1717030,3744685,1709773v-7257,-14514,-15744,-28476,-21771,-43543c3714391,1644922,3712950,1620594,3701143,1600916v-10886,-18143,-23196,-35504,-32658,-54429c3663353,1536224,3662120,1524377,3657600,1513830v-11092,-25882,-39685,-77329,-54429,-97971c3597206,1407507,3588657,1401344,3581400,1394087v-3629,-10886,-5193,-22694,-10886,-32657c3561513,1345678,3548402,1332650,3537857,1317887v-37887,-53041,-3607,-14492,-54429,-65314c3479800,1241687,3477675,1230179,3472543,1219916v-15154,-30308,-30357,-41242,-54429,-65315c3396921,1091024,3423810,1149412,3374571,1100173v-58816,-58816,-23366,-43058,-76200,-87086c3249286,972183,3253335,1005400,3200400,926001v-54060,-81088,15424,18510,-54429,-65314c3137596,850636,3133451,837281,3124200,828030v-56581,-56581,-11337,10322,-54429,-43543c3061598,774271,3056375,761881,3048000,751830v-43366,-52039,-18609,-15508,-65315,-54429c2970858,687546,2962180,674195,2950028,664744v-20654,-16064,-46812,-25041,-65314,-43543c2826399,562886,2864373,597781,2764971,523230v-64073,-48054,-30709,-19824,-97971,-87086l2645228,414373v-7257,-7257,-12034,-18527,-21771,-21772l2590800,381716v-73429,-73429,-36105,-55579,-97972,-76200c2415847,254193,2511170,318617,2416628,251087v-10646,-7604,-22011,-14167,-32657,-21771c2369207,218771,2356655,204773,2340428,196659v-13382,-6691,-29029,-7257,-43543,-10886c2254361,143247,2298982,181379,2242457,153116v-84408,-42204,16770,-5297,-65314,-32657c2169886,113202,2164551,103277,2155371,98687v-13382,-6691,-29158,-6776,-43543,-10886c2100795,84649,2090204,80068,2079171,76916v-14385,-4110,-29158,-6776,-43543,-10886c2024595,62878,2014004,58296,2002971,55144v-21745,-6213,-78028,-19278,-97971,-21771c1865231,28402,1825171,26116,1785257,22487v-177500,-35501,-98554,-23910,-457200,c1298201,24477,1270000,37002,1240971,44259r-43543,10885c1186542,62401,1176726,71602,1164771,76916v-34071,15143,-72672,23610,-108857,32657c1045028,116830,1033473,123171,1023257,131344v-8014,6411,-12971,16492,-21772,21772c991646,159019,979714,160373,968828,164001v-10886,7257,-21298,15281,-32657,21772c922082,193824,905437,197581,892628,207544v-20253,15752,-33079,40197,-54428,54429c757459,315799,845816,253812,783771,305516v-13938,11615,-29889,20710,-43543,32657c724780,351690,712133,368199,696685,381716v-13654,11947,-30057,20520,-43542,32657c630257,434970,604907,454069,587828,479687v-14514,21771,-21772,50799,-43543,65314c486010,583852,520879,557522,446314,632087r-32657,32657c402771,675630,389539,684592,381000,697401v-51323,76984,13101,-18343,-54429,76200c318967,784247,312057,795373,304800,806259v-3629,14514,-4195,30161,-10886,43542c289324,858981,276733,862393,272143,871573v-77725,155451,20497,1909,-43543,97971c224971,984058,222013,998757,217714,1013087v-6594,21981,-14514,43543,-21771,65314l174171,1143716r-10886,32657l152400,1209030v3628,112486,4465,225096,10885,337457c164139,1561424,168918,1576022,174171,1590030v5698,15194,14515,29029,21772,43543c204229,1675004,217714,1735550,217714,1775087v,65415,-5454,130754,-10886,195943c198842,2066867,197664,2004245,185057,2079887v-4810,28857,-7257,58057,-10886,87086c177800,2272202,178874,2377549,185057,2482659v1087,18470,10886,35926,10886,54428c195943,2613373,189289,2689518,185057,2765687v-8715,156858,-7486,132691,-21772,261257c166914,3284573,164393,3542361,174171,3799830v1135,29901,14515,58057,21772,87086c199572,3901430,202097,3916266,206828,3930459v10375,31124,14938,42030,21772,76200c232929,4028302,235537,4050257,239485,4071973v3310,18204,6018,36578,10886,54428c256410,4148542,272143,4191716,272143,4191716v-3762,60197,-15760,260439,-21772,326571c244776,4579830,237372,4633486,217714,4692459v-3629,10886,-5754,22394,-10886,32657c193095,4752582,183537,4759293,163285,4779544v-3628,10886,-4000,23477,-10885,32657c120560,4854655,103085,4863221,65314,4888401v3629,18143,6399,36479,10886,54429c78983,4953962,78971,4967373,87085,4975487v8114,8114,21772,7257,32658,10886c158137,5024767,138631,5012145,174171,5029916l,4931944xe" filled="f" strokecolor="#212934 [1615]" strokeweight="1.5pt">
                <v:stroke dashstyle="1 1" joinstyle="miter"/>
                <v:path arrowok="t" o:connecttype="custom" o:connectlocs="0,2568214;0,2568214;121073,2613562;438890,2619231;552396,2613562;718872,2602225;779408,2596557;870214,2590888;976153,2579551;1006421,2573882;1135061,2562546;1415043,2556877;1566385,2539871;1861500,2528534;1990141,2517197;2096080,2511529;2179317,2500192;2209586,2494523;2277690,2488854;2323092,2483186;2822519,2477518;2845220,2471849;2988995,2460512;3011696,2454843;3034397,2432169;3049531,2420832;3026830,2256445;3019263,2239440;3011696,2216765;2981427,2182754;2973860,2160080;2988995,2012698;2996562,1995693;3004128,1956013;3019263,1922002;3026830,1899328;3034397,1882323;3041964,1859648;3057098,1819969;3041964,1530874;3026830,1451515;2996562,1377824;2981427,1355150;2973860,1338144;2958726,1315470;2943592,1287128;2928458,1270122;2913324,1241779;2905757,1224774;2890623,1207768;2867921,1179425;2845220,1156751;2822519,1128409;2799818,1105735;2777117,1077392;2761982,1066055;2731714,1037712;2709012,1020707;2693879,1003701;2656043,969690;2640909,947016;2618208,901668;2603073,890331;2587940,867657;2572806,833646;2550104,805303;2542537,788297;2504702,737281;2489568,725944;2482000,708938;2459299,686264;2421464,652253;2413897,635247;2376061,601236;2345793,572894;2292824,527545;2224720,482197;2186884,448186;2171751,431180;2133915,408506;2118781,391501;2073378,363158;2050677,346152;2005275,323478;1922037,272462;1853933,227113;1838799,215777;1823665,204439;1800964,198771;1732860,159092;1679890,130749;1657189,119412;1626921,102406;1596652,96738;1558817,79732;1513415,62727;1498281,51389;1468012,45721;1445311,40053;1415043,34384;1392342,28715;1324238,17378;1241000,11710;923183,11710;862646,23047;832378,28715;809677,40053;734006,57058;711305,68395;696170,79732;673469,85400;650768,96738;620500,108074;582665,136417;544829,159092;514561,176097;484292,198771;454025,215777;408622,249788;378353,283799;310250,329147;287549,346152;264848,363158;227012,402838;211878,419844;204311,442517;189177,453855;158909,504871;151341,527545;136207,561556;121073,595568;113506,612573;105939,629579;113506,805303;121073,827977;136207,850651;151341,924342;143774,1026375;128640,1083061;121073,1128409;128640,1292796;136207,1321139;128640,1440178;113506,1576222;121073,1978687;136207,2024036;143774,2046710;158909,2086390;166475,2120401;174042,2148743;189177,2182754;174042,2352810;151341,2443507;143774,2460512;113506,2488854;105939,2505860;45402,2545540;52970,2573882;60536,2590888;83238,2596557;121073,2619231;0,2568214" o:connectangles="0,0,0,0,0,0,0,0,0,0,0,0,0,0,0,0,0,0,0,0,0,0,0,0,0,0,0,0,0,0,0,0,0,0,0,0,0,0,0,0,0,0,0,0,0,0,0,0,0,0,0,0,0,0,0,0,0,0,0,0,0,0,0,0,0,0,0,0,0,0,0,0,0,0,0,0,0,0,0,0,0,0,0,0,0,0,0,0,0,0,0,0,0,0,0,0,0,0,0,0,0,0,0,0,0,0,0,0,0,0,0,0,0,0,0,0,0,0,0,0,0,0,0,0,0,0,0,0,0,0,0,0,0,0,0,0,0,0,0,0,0,0,0,0,0,0,0,0,0,0,0,0,0,0,0,0,0,0,0,0,0,0"/>
              </v:shape>
            </w:pict>
          </mc:Fallback>
        </mc:AlternateContent>
      </w:r>
      <w:r w:rsidRPr="0051709F">
        <w:rPr>
          <w:rFonts w:cstheme="minorHAnsi"/>
          <w:noProof/>
          <w:lang w:val="en-GB" w:eastAsia="en-GB"/>
        </w:rPr>
        <w:drawing>
          <wp:inline distT="0" distB="0" distL="0" distR="0" wp14:anchorId="236FFC4B" wp14:editId="70CBC05B">
            <wp:extent cx="6184265" cy="3418764"/>
            <wp:effectExtent l="0" t="0" r="6985"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2D0BBF" w14:textId="77777777" w:rsidR="00685D72" w:rsidRPr="0051709F" w:rsidRDefault="00685D72" w:rsidP="00DA303F">
      <w:pPr>
        <w:spacing w:before="120" w:after="80"/>
        <w:jc w:val="both"/>
        <w:rPr>
          <w:rFonts w:cstheme="minorHAnsi"/>
        </w:rPr>
      </w:pPr>
    </w:p>
    <w:p w14:paraId="4228553C" w14:textId="77777777" w:rsidR="00685D72" w:rsidRPr="007B667D" w:rsidRDefault="00685D72" w:rsidP="00685D72">
      <w:pPr>
        <w:jc w:val="center"/>
        <w:rPr>
          <w:rFonts w:cstheme="minorHAnsi"/>
          <w:i/>
          <w:sz w:val="22"/>
          <w:szCs w:val="22"/>
        </w:rPr>
      </w:pPr>
      <w:r w:rsidRPr="007B667D">
        <w:rPr>
          <w:rFonts w:cstheme="minorHAnsi"/>
          <w:i/>
          <w:sz w:val="22"/>
          <w:szCs w:val="22"/>
        </w:rPr>
        <w:t>Gráfico 11. Cambio en la elección de las modalidades deportivas (1980-2022)</w:t>
      </w:r>
    </w:p>
    <w:p w14:paraId="467FD10A" w14:textId="2A261CD6" w:rsidR="00DA303F" w:rsidRPr="007B667D" w:rsidRDefault="00DA303F" w:rsidP="00685D72">
      <w:pPr>
        <w:spacing w:before="120" w:after="80"/>
        <w:jc w:val="center"/>
        <w:rPr>
          <w:rFonts w:cstheme="minorHAnsi"/>
          <w:sz w:val="22"/>
          <w:szCs w:val="22"/>
        </w:rPr>
      </w:pPr>
      <w:r w:rsidRPr="007B667D">
        <w:rPr>
          <w:rFonts w:cstheme="minorHAnsi"/>
          <w:sz w:val="22"/>
          <w:szCs w:val="22"/>
        </w:rPr>
        <w:t>Fuente: Elaboración propia a partir de la Encuesta de Hábitos Deportivos en España (2023).</w:t>
      </w:r>
    </w:p>
    <w:p w14:paraId="308349B3" w14:textId="77777777" w:rsidR="00DA303F" w:rsidRPr="0051709F" w:rsidRDefault="00DA303F" w:rsidP="003D1896">
      <w:pPr>
        <w:jc w:val="both"/>
        <w:rPr>
          <w:rFonts w:cstheme="minorHAnsi"/>
        </w:rPr>
      </w:pPr>
    </w:p>
    <w:p w14:paraId="30F49985" w14:textId="5085877F" w:rsidR="00A57821" w:rsidRPr="0051709F" w:rsidRDefault="00A57821" w:rsidP="003D1896">
      <w:pPr>
        <w:jc w:val="both"/>
        <w:rPr>
          <w:rFonts w:cstheme="minorHAnsi"/>
        </w:rPr>
      </w:pPr>
      <w:r w:rsidRPr="0051709F">
        <w:rPr>
          <w:rFonts w:cstheme="minorHAnsi"/>
        </w:rPr>
        <w:t>Y, por último, la tercera demostración de este proceso de emancipación social y difusión de un modelo más autónomo del deporte es la hegemonía actual de espacios deportivos menos dependientes de horarios y autorizaciones: espacios públicos al aire libre (parques, jardines, senderos periurbanos, carriles bici, etc.) que son el primer lugar señalado por un 70% de quienes realizan deporte para su práctica, y que en los últimos 22 años</w:t>
      </w:r>
      <w:r w:rsidR="00AB6CFD">
        <w:rPr>
          <w:rFonts w:cstheme="minorHAnsi"/>
        </w:rPr>
        <w:t xml:space="preserve"> su uso</w:t>
      </w:r>
      <w:r w:rsidRPr="0051709F">
        <w:rPr>
          <w:rFonts w:cstheme="minorHAnsi"/>
        </w:rPr>
        <w:t xml:space="preserve"> ha experimentado un incremento de 32 puntos, según datos extraídos de la EHDE (ver gráfico 12). Le sigue en segundo lugar las instalaciones públicas (51%) y, en tercer lugar, la casa particular (27%). En este último caso, la casa particular, es el segundo lugar que más ha crecido en los últimos 22 años, un 19%, detrás de los espacios públicos al aire libre. </w:t>
      </w:r>
      <w:r w:rsidR="00AB6CFD">
        <w:rPr>
          <w:rFonts w:cstheme="minorHAnsi"/>
        </w:rPr>
        <w:t>Ambos</w:t>
      </w:r>
      <w:r w:rsidRPr="0051709F">
        <w:rPr>
          <w:rFonts w:cstheme="minorHAnsi"/>
        </w:rPr>
        <w:t xml:space="preserve"> han crecido especialmente desde 2010. Puede que en ello influya la búsqueda de la desconexión con la ciudad y nuestra intensa vida cotidiana, y puede que incluso la crisis del coronavirus haya servido de efecto multiplicador para optar por ese tipo de espacios. Y en el caso de la casa particular, puede que la dificultad de encontrar tiempo suficiente adicional a las múltiples tareas realizadas a lo largo del día, influya en que las personas acaben </w:t>
      </w:r>
      <w:r w:rsidR="00AB6CFD">
        <w:rPr>
          <w:rFonts w:cstheme="minorHAnsi"/>
        </w:rPr>
        <w:t>adquiriendo</w:t>
      </w:r>
      <w:r w:rsidR="00AB6CFD" w:rsidRPr="0051709F">
        <w:rPr>
          <w:rFonts w:cstheme="minorHAnsi"/>
        </w:rPr>
        <w:t xml:space="preserve"> </w:t>
      </w:r>
      <w:r w:rsidRPr="0051709F">
        <w:rPr>
          <w:rFonts w:cstheme="minorHAnsi"/>
        </w:rPr>
        <w:t>de equipamiento deportivo doméstico para realizar ejercicio físico-deportivo en casa. A ello se une el impulso, tras la crisis del coronavirus, del deporte dirigido en casa, a través de clases híbridas (en el gimnasio y en el hogar), o de profesionales cuya actividad la realizan exclusivamente en canales de redes sociales, contando en algunos casos con millones de seguidores (Piedra, 2019). Con todo, los lugares públicos al aire libre son los grandes espacios del deporte en este momento y todo parece indicar que lo seguirán siendo en el futuro.</w:t>
      </w:r>
    </w:p>
    <w:p w14:paraId="0110849F" w14:textId="77777777" w:rsidR="00A57821" w:rsidRPr="0051709F" w:rsidRDefault="00A57821" w:rsidP="003D1896">
      <w:pPr>
        <w:jc w:val="both"/>
        <w:rPr>
          <w:rFonts w:cstheme="minorHAnsi"/>
        </w:rPr>
      </w:pPr>
    </w:p>
    <w:p w14:paraId="55C304E6" w14:textId="77777777" w:rsidR="00A57821" w:rsidRPr="0051709F" w:rsidRDefault="00A57821" w:rsidP="003D1896">
      <w:pPr>
        <w:jc w:val="both"/>
        <w:rPr>
          <w:rFonts w:cstheme="minorHAnsi"/>
        </w:rPr>
      </w:pPr>
      <w:r w:rsidRPr="0051709F">
        <w:rPr>
          <w:rFonts w:cstheme="minorHAnsi"/>
          <w:noProof/>
          <w:lang w:val="en-GB" w:eastAsia="en-GB"/>
        </w:rPr>
        <w:lastRenderedPageBreak/>
        <w:drawing>
          <wp:inline distT="0" distB="0" distL="0" distR="0" wp14:anchorId="6EF21DA1" wp14:editId="5967A98A">
            <wp:extent cx="5400040" cy="4055423"/>
            <wp:effectExtent l="0" t="0" r="0" b="254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E5ED9B" w14:textId="77777777" w:rsidR="001C785A" w:rsidRPr="0051709F" w:rsidRDefault="001C785A" w:rsidP="003D1896">
      <w:pPr>
        <w:jc w:val="both"/>
        <w:rPr>
          <w:rFonts w:cstheme="minorHAnsi"/>
        </w:rPr>
      </w:pPr>
    </w:p>
    <w:p w14:paraId="2ABD5DC8" w14:textId="77777777" w:rsidR="00685D72" w:rsidRPr="0051709F" w:rsidRDefault="00685D72" w:rsidP="00685D72">
      <w:pPr>
        <w:jc w:val="center"/>
        <w:rPr>
          <w:rFonts w:cstheme="minorHAnsi"/>
          <w:i/>
        </w:rPr>
      </w:pPr>
    </w:p>
    <w:p w14:paraId="12B0DDBB" w14:textId="77777777" w:rsidR="006A6D22" w:rsidRPr="007B667D" w:rsidRDefault="00685D72" w:rsidP="00685D72">
      <w:pPr>
        <w:jc w:val="center"/>
        <w:rPr>
          <w:rFonts w:cstheme="minorHAnsi"/>
          <w:i/>
          <w:sz w:val="22"/>
          <w:szCs w:val="22"/>
        </w:rPr>
      </w:pPr>
      <w:r w:rsidRPr="007B667D">
        <w:rPr>
          <w:rFonts w:cstheme="minorHAnsi"/>
          <w:i/>
          <w:sz w:val="22"/>
          <w:szCs w:val="22"/>
        </w:rPr>
        <w:t>Gráfico 12. Principales espacios de práctica deportiva</w:t>
      </w:r>
    </w:p>
    <w:p w14:paraId="6894EABA" w14:textId="25CC1A2F" w:rsidR="00685D72" w:rsidRPr="007B667D" w:rsidRDefault="00685D72" w:rsidP="006A6D22">
      <w:pPr>
        <w:jc w:val="center"/>
        <w:rPr>
          <w:rFonts w:cstheme="minorHAnsi"/>
          <w:i/>
          <w:sz w:val="22"/>
          <w:szCs w:val="22"/>
        </w:rPr>
      </w:pPr>
      <w:r w:rsidRPr="007B667D">
        <w:rPr>
          <w:rFonts w:cstheme="minorHAnsi"/>
          <w:i/>
          <w:sz w:val="22"/>
          <w:szCs w:val="22"/>
        </w:rPr>
        <w:t xml:space="preserve"> elegidos por la población española</w:t>
      </w:r>
      <w:r w:rsidR="006A6D22" w:rsidRPr="007B667D">
        <w:rPr>
          <w:rFonts w:cstheme="minorHAnsi"/>
          <w:i/>
          <w:sz w:val="22"/>
          <w:szCs w:val="22"/>
        </w:rPr>
        <w:t xml:space="preserve"> </w:t>
      </w:r>
      <w:r w:rsidRPr="007B667D">
        <w:rPr>
          <w:rFonts w:cstheme="minorHAnsi"/>
          <w:i/>
          <w:sz w:val="22"/>
          <w:szCs w:val="22"/>
        </w:rPr>
        <w:t>(1980-2022)</w:t>
      </w:r>
    </w:p>
    <w:p w14:paraId="2358D2DC" w14:textId="77777777" w:rsidR="006A6D22" w:rsidRPr="007B667D" w:rsidRDefault="006A6D22" w:rsidP="00685D72">
      <w:pPr>
        <w:jc w:val="center"/>
        <w:rPr>
          <w:rFonts w:cstheme="minorHAnsi"/>
          <w:sz w:val="22"/>
          <w:szCs w:val="22"/>
        </w:rPr>
      </w:pPr>
    </w:p>
    <w:p w14:paraId="359FCF5C" w14:textId="221539D8" w:rsidR="00A57821" w:rsidRPr="007B667D" w:rsidRDefault="00A57821" w:rsidP="00685D72">
      <w:pPr>
        <w:jc w:val="center"/>
        <w:rPr>
          <w:rFonts w:cstheme="minorHAnsi"/>
          <w:sz w:val="22"/>
          <w:szCs w:val="22"/>
        </w:rPr>
      </w:pPr>
      <w:r w:rsidRPr="007B667D">
        <w:rPr>
          <w:rFonts w:cstheme="minorHAnsi"/>
          <w:sz w:val="22"/>
          <w:szCs w:val="22"/>
        </w:rPr>
        <w:t>Fuente: Elaboración propia a partir de la Encuesta de Hábitos Deportivos en España (2023).</w:t>
      </w:r>
    </w:p>
    <w:p w14:paraId="4EE2D42A" w14:textId="77777777" w:rsidR="00A57821" w:rsidRPr="0051709F" w:rsidRDefault="00A57821" w:rsidP="003D1896">
      <w:pPr>
        <w:jc w:val="both"/>
        <w:rPr>
          <w:rFonts w:cstheme="minorHAnsi"/>
        </w:rPr>
      </w:pPr>
    </w:p>
    <w:p w14:paraId="4FD92081" w14:textId="77777777" w:rsidR="003D1896" w:rsidRPr="0051709F" w:rsidRDefault="003D1896" w:rsidP="003D1896">
      <w:pPr>
        <w:jc w:val="both"/>
        <w:rPr>
          <w:rFonts w:cstheme="minorHAnsi"/>
        </w:rPr>
      </w:pPr>
    </w:p>
    <w:p w14:paraId="57C0C33D" w14:textId="6C142057" w:rsidR="003D1896" w:rsidRPr="0051709F" w:rsidRDefault="003D1896" w:rsidP="003D1896">
      <w:pPr>
        <w:jc w:val="both"/>
        <w:rPr>
          <w:rFonts w:cstheme="minorHAnsi"/>
        </w:rPr>
      </w:pPr>
      <w:r w:rsidRPr="0051709F">
        <w:rPr>
          <w:rFonts w:cstheme="minorHAnsi"/>
        </w:rPr>
        <w:t>En otro orden</w:t>
      </w:r>
      <w:r w:rsidR="00AB6CFD">
        <w:rPr>
          <w:rFonts w:cstheme="minorHAnsi"/>
        </w:rPr>
        <w:t xml:space="preserve"> de cosas</w:t>
      </w:r>
      <w:r w:rsidRPr="0051709F">
        <w:rPr>
          <w:rFonts w:cstheme="minorHAnsi"/>
        </w:rPr>
        <w:t>, la existencia del vigente modelo deportivo en España</w:t>
      </w:r>
      <w:r w:rsidR="00AB6CFD">
        <w:rPr>
          <w:rFonts w:cstheme="minorHAnsi"/>
        </w:rPr>
        <w:t>,</w:t>
      </w:r>
      <w:r w:rsidRPr="0051709F">
        <w:rPr>
          <w:rFonts w:cstheme="minorHAnsi"/>
        </w:rPr>
        <w:t xml:space="preserve"> hegemónico durante </w:t>
      </w:r>
      <w:r w:rsidR="00AB6CFD">
        <w:rPr>
          <w:rFonts w:cstheme="minorHAnsi"/>
        </w:rPr>
        <w:t xml:space="preserve">las últimas </w:t>
      </w:r>
      <w:r w:rsidRPr="0051709F">
        <w:rPr>
          <w:rFonts w:cstheme="minorHAnsi"/>
        </w:rPr>
        <w:t xml:space="preserve">cuatro décadas, provoca un </w:t>
      </w:r>
      <w:r w:rsidRPr="0051709F">
        <w:rPr>
          <w:rFonts w:cstheme="minorHAnsi"/>
          <w:b/>
        </w:rPr>
        <w:t>desigual acceso a la práctica deportiva</w:t>
      </w:r>
      <w:r w:rsidRPr="0051709F">
        <w:rPr>
          <w:rFonts w:cstheme="minorHAnsi"/>
        </w:rPr>
        <w:t xml:space="preserve"> que contribuye poco a su universalización. Algo que ha de superarse si realmente s</w:t>
      </w:r>
      <w:r w:rsidR="00AB6CFD">
        <w:rPr>
          <w:rFonts w:cstheme="minorHAnsi"/>
        </w:rPr>
        <w:t>e aspira</w:t>
      </w:r>
      <w:r w:rsidRPr="0051709F">
        <w:rPr>
          <w:rFonts w:cstheme="minorHAnsi"/>
        </w:rPr>
        <w:t xml:space="preserve"> a mitigar el sedentarismo y la inactividad física. </w:t>
      </w:r>
      <w:r w:rsidR="00636CF6" w:rsidRPr="0051709F">
        <w:rPr>
          <w:rFonts w:cstheme="minorHAnsi"/>
        </w:rPr>
        <w:t>Hoy en día</w:t>
      </w:r>
      <w:r w:rsidR="00AB6CFD">
        <w:rPr>
          <w:rFonts w:cstheme="minorHAnsi"/>
        </w:rPr>
        <w:t>,</w:t>
      </w:r>
      <w:r w:rsidRPr="0051709F">
        <w:rPr>
          <w:rFonts w:cstheme="minorHAnsi"/>
        </w:rPr>
        <w:t xml:space="preserve"> en España sigue existiendo un porcentaje inaceptable de población sin acceso a práctica deportiva, sobre todo mujeres, mayores y clases </w:t>
      </w:r>
      <w:r w:rsidR="00AB6CFD">
        <w:rPr>
          <w:rFonts w:cstheme="minorHAnsi"/>
        </w:rPr>
        <w:t>más vulnerables económicamente</w:t>
      </w:r>
      <w:r w:rsidRPr="0051709F">
        <w:rPr>
          <w:rFonts w:cstheme="minorHAnsi"/>
        </w:rPr>
        <w:t xml:space="preserve">; una clara persistencia de desigualdades sociales crónicas (o “brecha deportiva”) que persiste desde el periodo predemocrático (Moscoso, 2013 y </w:t>
      </w:r>
      <w:r w:rsidRPr="006A6D22">
        <w:rPr>
          <w:rFonts w:cstheme="minorHAnsi"/>
        </w:rPr>
        <w:t>2019)</w:t>
      </w:r>
      <w:r w:rsidRPr="0051709F">
        <w:rPr>
          <w:rFonts w:cstheme="minorHAnsi"/>
        </w:rPr>
        <w:t xml:space="preserve">. Desigualdades en el acceso a la práctica deportiva que no sólo se expresan </w:t>
      </w:r>
      <w:r w:rsidR="00AB6CFD" w:rsidRPr="0051709F">
        <w:rPr>
          <w:rFonts w:cstheme="minorHAnsi"/>
        </w:rPr>
        <w:t>debido a</w:t>
      </w:r>
      <w:r w:rsidRPr="0051709F">
        <w:rPr>
          <w:rFonts w:cstheme="minorHAnsi"/>
        </w:rPr>
        <w:t xml:space="preserve"> factores sociodemográficos, socioeconómicos y culturales, sino también territoriales, pues se dan claras diferencias en el número de deportistas entre unas y otras comunidades autónomas, y entre las áreas urbanas y las áreas rurales.</w:t>
      </w:r>
    </w:p>
    <w:p w14:paraId="0E2FF74E" w14:textId="77777777" w:rsidR="003D1896" w:rsidRPr="0051709F" w:rsidRDefault="003D1896" w:rsidP="003D1896">
      <w:pPr>
        <w:jc w:val="both"/>
        <w:rPr>
          <w:rFonts w:cstheme="minorHAnsi"/>
        </w:rPr>
      </w:pPr>
    </w:p>
    <w:p w14:paraId="690872EE" w14:textId="1E8C1F40" w:rsidR="003D1896" w:rsidRPr="0051709F" w:rsidRDefault="003D1896" w:rsidP="003D1896">
      <w:pPr>
        <w:jc w:val="both"/>
        <w:rPr>
          <w:rFonts w:cstheme="minorHAnsi"/>
        </w:rPr>
      </w:pPr>
      <w:r w:rsidRPr="0051709F">
        <w:rPr>
          <w:rFonts w:cstheme="minorHAnsi"/>
        </w:rPr>
        <w:t>En efecto, la práctica deportiva sigue siendo mayor entre hombres que entre mujeres (63% y 52% respectivamente)</w:t>
      </w:r>
      <w:r w:rsidR="00AB6CFD">
        <w:rPr>
          <w:rFonts w:cstheme="minorHAnsi"/>
        </w:rPr>
        <w:t>,</w:t>
      </w:r>
      <w:r w:rsidRPr="0051709F">
        <w:rPr>
          <w:rFonts w:cstheme="minorHAnsi"/>
        </w:rPr>
        <w:t xml:space="preserve"> existiendo una clara </w:t>
      </w:r>
      <w:r w:rsidRPr="0051709F">
        <w:rPr>
          <w:rFonts w:cstheme="minorHAnsi"/>
          <w:i/>
        </w:rPr>
        <w:t>brecha de género</w:t>
      </w:r>
      <w:r w:rsidRPr="0051709F">
        <w:rPr>
          <w:rFonts w:cstheme="minorHAnsi"/>
        </w:rPr>
        <w:t xml:space="preserve"> (Martín, Moscoso y Pedrajas, 2013; </w:t>
      </w:r>
      <w:r w:rsidR="0069086B" w:rsidRPr="0051709F">
        <w:rPr>
          <w:rFonts w:cstheme="minorHAnsi"/>
        </w:rPr>
        <w:t xml:space="preserve">Espada et al, </w:t>
      </w:r>
      <w:r w:rsidRPr="0051709F">
        <w:rPr>
          <w:rFonts w:cstheme="minorHAnsi"/>
        </w:rPr>
        <w:t xml:space="preserve">2018) (ver gráfico 13) y </w:t>
      </w:r>
      <w:r w:rsidR="00AB6CFD">
        <w:rPr>
          <w:rFonts w:cstheme="minorHAnsi"/>
        </w:rPr>
        <w:t>mostrando</w:t>
      </w:r>
      <w:r w:rsidR="00AB6CFD" w:rsidRPr="0051709F">
        <w:rPr>
          <w:rFonts w:cstheme="minorHAnsi"/>
        </w:rPr>
        <w:t xml:space="preserve"> </w:t>
      </w:r>
      <w:r w:rsidRPr="0051709F">
        <w:rPr>
          <w:rFonts w:cstheme="minorHAnsi"/>
        </w:rPr>
        <w:t xml:space="preserve">una enorme diferencia según la </w:t>
      </w:r>
      <w:r w:rsidRPr="0051709F">
        <w:rPr>
          <w:rFonts w:cstheme="minorHAnsi"/>
          <w:bCs/>
        </w:rPr>
        <w:t>edad</w:t>
      </w:r>
      <w:r w:rsidRPr="0051709F">
        <w:rPr>
          <w:rFonts w:cstheme="minorHAnsi"/>
        </w:rPr>
        <w:t>, siendo casi 30 puntos más entre jóvenes menores de 24 años con respecto a personas adultas mayores de 45 años</w:t>
      </w:r>
      <w:r w:rsidR="00AB6CFD">
        <w:rPr>
          <w:rFonts w:cstheme="minorHAnsi"/>
        </w:rPr>
        <w:t>,</w:t>
      </w:r>
      <w:r w:rsidRPr="0051709F">
        <w:rPr>
          <w:rFonts w:cstheme="minorHAnsi"/>
        </w:rPr>
        <w:t xml:space="preserve"> 83% y 55% respectivamente (ver </w:t>
      </w:r>
      <w:r w:rsidRPr="0051709F">
        <w:rPr>
          <w:rFonts w:cstheme="minorHAnsi"/>
        </w:rPr>
        <w:lastRenderedPageBreak/>
        <w:t>gráfico 14). En una sociedad donde la esperanza de vida sigue incrementándose, siendo mayor la proporción de personas mayores que de jóvenes y de mujeres que de hombres en las etapas de mayor edad, apostar por el deporte a edades adultas y mayores y entre mujeres</w:t>
      </w:r>
      <w:r w:rsidR="00AB6CFD">
        <w:rPr>
          <w:rFonts w:cstheme="minorHAnsi"/>
        </w:rPr>
        <w:t>,</w:t>
      </w:r>
      <w:r w:rsidRPr="0051709F">
        <w:rPr>
          <w:rFonts w:cstheme="minorHAnsi"/>
        </w:rPr>
        <w:t xml:space="preserve"> tiene una doble justificación, tanto por garantizar mayor salud y bienestar en edades adultas y avanzadas, cuanto por </w:t>
      </w:r>
      <w:r w:rsidR="00AB6CFD">
        <w:rPr>
          <w:rFonts w:cstheme="minorHAnsi"/>
        </w:rPr>
        <w:t xml:space="preserve">sus efectos beneficiosos en </w:t>
      </w:r>
      <w:r w:rsidRPr="0051709F">
        <w:rPr>
          <w:rFonts w:cstheme="minorHAnsi"/>
        </w:rPr>
        <w:t>el sistema sanitario.</w:t>
      </w:r>
    </w:p>
    <w:p w14:paraId="39AD1BBA" w14:textId="77777777" w:rsidR="004D3F18" w:rsidRPr="0051709F" w:rsidRDefault="004D3F18" w:rsidP="003D1896">
      <w:pPr>
        <w:jc w:val="both"/>
        <w:rPr>
          <w:rFonts w:cstheme="minorHAnsi"/>
        </w:rPr>
      </w:pPr>
    </w:p>
    <w:p w14:paraId="03A8184E" w14:textId="77777777" w:rsidR="003D1896" w:rsidRPr="0051709F" w:rsidRDefault="003D1896" w:rsidP="003D1896">
      <w:pPr>
        <w:jc w:val="center"/>
        <w:rPr>
          <w:rFonts w:cstheme="minorHAnsi"/>
          <w:i/>
        </w:rPr>
      </w:pPr>
    </w:p>
    <w:p w14:paraId="7246C431" w14:textId="77777777" w:rsidR="003D1896" w:rsidRPr="0051709F" w:rsidRDefault="003D1896" w:rsidP="003D1896">
      <w:pPr>
        <w:jc w:val="both"/>
        <w:rPr>
          <w:rFonts w:cstheme="minorHAnsi"/>
        </w:rPr>
      </w:pPr>
      <w:r w:rsidRPr="0051709F">
        <w:rPr>
          <w:rFonts w:cstheme="minorHAnsi"/>
          <w:noProof/>
          <w:lang w:val="en-GB" w:eastAsia="en-GB"/>
        </w:rPr>
        <w:drawing>
          <wp:inline distT="0" distB="0" distL="0" distR="0" wp14:anchorId="4D9A08F3" wp14:editId="29563782">
            <wp:extent cx="5400040" cy="2856230"/>
            <wp:effectExtent l="0" t="0" r="0" b="127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E184F6" w14:textId="77777777" w:rsidR="003D1896" w:rsidRPr="0051709F" w:rsidRDefault="003D1896" w:rsidP="003D1896">
      <w:pPr>
        <w:jc w:val="both"/>
        <w:rPr>
          <w:rFonts w:cstheme="minorHAnsi"/>
        </w:rPr>
      </w:pPr>
    </w:p>
    <w:p w14:paraId="33EBDF29" w14:textId="77777777" w:rsidR="00541DF6" w:rsidRPr="0051709F" w:rsidRDefault="00541DF6" w:rsidP="00541DF6">
      <w:pPr>
        <w:jc w:val="center"/>
        <w:rPr>
          <w:rFonts w:cstheme="minorHAnsi"/>
          <w:i/>
        </w:rPr>
      </w:pPr>
    </w:p>
    <w:p w14:paraId="182F324E" w14:textId="65A988A4" w:rsidR="00541DF6" w:rsidRPr="007B667D" w:rsidRDefault="00541DF6" w:rsidP="00541DF6">
      <w:pPr>
        <w:jc w:val="center"/>
        <w:rPr>
          <w:rFonts w:cstheme="minorHAnsi"/>
          <w:i/>
          <w:sz w:val="22"/>
          <w:szCs w:val="22"/>
        </w:rPr>
      </w:pPr>
      <w:r w:rsidRPr="007B667D">
        <w:rPr>
          <w:rFonts w:cstheme="minorHAnsi"/>
          <w:i/>
          <w:sz w:val="22"/>
          <w:szCs w:val="22"/>
        </w:rPr>
        <w:t>Gráfico 13. Evolución de la práctica deportiva según sexo en España (1980-2022)</w:t>
      </w:r>
    </w:p>
    <w:p w14:paraId="29B6A045" w14:textId="77777777" w:rsidR="003D1896" w:rsidRPr="007B667D" w:rsidRDefault="003D1896" w:rsidP="00541DF6">
      <w:pPr>
        <w:jc w:val="center"/>
        <w:rPr>
          <w:rFonts w:cstheme="minorHAnsi"/>
          <w:sz w:val="22"/>
          <w:szCs w:val="22"/>
        </w:rPr>
      </w:pPr>
      <w:r w:rsidRPr="007B667D">
        <w:rPr>
          <w:rFonts w:cstheme="minorHAnsi"/>
          <w:sz w:val="22"/>
          <w:szCs w:val="22"/>
        </w:rPr>
        <w:t>Fuente: Elaboración propia a partir de la Encuesta de Hábitos Deportivos en España (2023).</w:t>
      </w:r>
    </w:p>
    <w:p w14:paraId="5E2F34CE" w14:textId="77777777" w:rsidR="003D1896" w:rsidRPr="0051709F" w:rsidRDefault="003D1896" w:rsidP="003D1896">
      <w:pPr>
        <w:jc w:val="both"/>
        <w:rPr>
          <w:rFonts w:cstheme="minorHAnsi"/>
        </w:rPr>
      </w:pPr>
    </w:p>
    <w:p w14:paraId="56BD4587" w14:textId="5B2990DB" w:rsidR="001C785A" w:rsidRPr="0051709F" w:rsidRDefault="001C785A" w:rsidP="001C785A">
      <w:pPr>
        <w:jc w:val="both"/>
        <w:rPr>
          <w:rFonts w:cstheme="minorHAnsi"/>
        </w:rPr>
      </w:pPr>
      <w:r w:rsidRPr="0051709F">
        <w:rPr>
          <w:rFonts w:cstheme="minorHAnsi"/>
        </w:rPr>
        <w:t xml:space="preserve">El nivel educativo y la clase social son igualmente importantes. Sigue existiendo una diferencia sustantiva por razones asociadas al </w:t>
      </w:r>
      <w:r w:rsidRPr="0051709F">
        <w:rPr>
          <w:rFonts w:cstheme="minorHAnsi"/>
          <w:bCs/>
        </w:rPr>
        <w:t>nivel de instrucción</w:t>
      </w:r>
      <w:r w:rsidRPr="0051709F">
        <w:rPr>
          <w:rFonts w:cstheme="minorHAnsi"/>
        </w:rPr>
        <w:t xml:space="preserve">, predominando </w:t>
      </w:r>
      <w:r w:rsidR="00EF0ABB">
        <w:rPr>
          <w:rFonts w:cstheme="minorHAnsi"/>
        </w:rPr>
        <w:t xml:space="preserve">una mayor ejercitación </w:t>
      </w:r>
      <w:r w:rsidRPr="0051709F">
        <w:rPr>
          <w:rFonts w:cstheme="minorHAnsi"/>
        </w:rPr>
        <w:t xml:space="preserve">entre quienes tienen estudios universitarios, entre los que un 74% practica deporte, frente a quienes solo cuentan con estudios </w:t>
      </w:r>
      <w:r w:rsidR="00EF0ABB">
        <w:rPr>
          <w:rFonts w:cstheme="minorHAnsi"/>
        </w:rPr>
        <w:t>de primaria o secundaria</w:t>
      </w:r>
      <w:r w:rsidRPr="0051709F">
        <w:rPr>
          <w:rFonts w:cstheme="minorHAnsi"/>
        </w:rPr>
        <w:t>, grupo este último en el que solo practica deporte un 41%</w:t>
      </w:r>
      <w:r w:rsidR="00EF0ABB">
        <w:rPr>
          <w:rFonts w:cstheme="minorHAnsi"/>
        </w:rPr>
        <w:t>.</w:t>
      </w:r>
      <w:r w:rsidRPr="0051709F">
        <w:rPr>
          <w:rFonts w:cstheme="minorHAnsi"/>
        </w:rPr>
        <w:t xml:space="preserve"> 33 puntos menos que el anterior (ver gráfico 15). A este respecto influye la clase social, siendo casi el doble el porcentaje de quienes practican deporte entre las clases </w:t>
      </w:r>
      <w:r w:rsidR="00EF0ABB">
        <w:rPr>
          <w:rFonts w:cstheme="minorHAnsi"/>
        </w:rPr>
        <w:t>más acomodadas</w:t>
      </w:r>
      <w:r w:rsidR="00EF0ABB" w:rsidRPr="0051709F">
        <w:rPr>
          <w:rFonts w:cstheme="minorHAnsi"/>
        </w:rPr>
        <w:t xml:space="preserve"> </w:t>
      </w:r>
      <w:r w:rsidRPr="0051709F">
        <w:rPr>
          <w:rFonts w:cstheme="minorHAnsi"/>
        </w:rPr>
        <w:t>(el 57%)</w:t>
      </w:r>
      <w:r w:rsidR="00EF0ABB">
        <w:rPr>
          <w:rFonts w:cstheme="minorHAnsi"/>
        </w:rPr>
        <w:t>,</w:t>
      </w:r>
      <w:r w:rsidRPr="0051709F">
        <w:rPr>
          <w:rFonts w:cstheme="minorHAnsi"/>
        </w:rPr>
        <w:t xml:space="preserve"> con respecto al </w:t>
      </w:r>
      <w:r w:rsidR="00EF0ABB">
        <w:rPr>
          <w:rFonts w:cstheme="minorHAnsi"/>
        </w:rPr>
        <w:t xml:space="preserve">ejercicio </w:t>
      </w:r>
      <w:r w:rsidRPr="0051709F">
        <w:rPr>
          <w:rFonts w:cstheme="minorHAnsi"/>
        </w:rPr>
        <w:t xml:space="preserve">que hacen las clases </w:t>
      </w:r>
      <w:r w:rsidR="00EF0ABB">
        <w:rPr>
          <w:rFonts w:cstheme="minorHAnsi"/>
        </w:rPr>
        <w:t xml:space="preserve">más vulnerables, </w:t>
      </w:r>
      <w:r w:rsidRPr="0051709F">
        <w:rPr>
          <w:rFonts w:cstheme="minorHAnsi"/>
        </w:rPr>
        <w:t>el 32% (ver gráfico 16). Así las cosas, el estatus socioeconómico importa e influye definitivamente en el acceso a la práctica deportiva</w:t>
      </w:r>
      <w:r w:rsidR="00EF0ABB">
        <w:rPr>
          <w:rFonts w:cstheme="minorHAnsi"/>
        </w:rPr>
        <w:t xml:space="preserve">. Y ello </w:t>
      </w:r>
      <w:r w:rsidRPr="0051709F">
        <w:rPr>
          <w:rFonts w:cstheme="minorHAnsi"/>
        </w:rPr>
        <w:t xml:space="preserve">por distintas razones. </w:t>
      </w:r>
      <w:r w:rsidR="00EF0ABB">
        <w:rPr>
          <w:rFonts w:cstheme="minorHAnsi"/>
        </w:rPr>
        <w:t>H</w:t>
      </w:r>
      <w:r w:rsidRPr="0051709F">
        <w:rPr>
          <w:rFonts w:cstheme="minorHAnsi"/>
        </w:rPr>
        <w:t>emos de tener en cuenta que el grueso de la sociedad no se ubica en</w:t>
      </w:r>
      <w:r w:rsidR="00EF0ABB">
        <w:rPr>
          <w:rFonts w:cstheme="minorHAnsi"/>
        </w:rPr>
        <w:t>tre esas</w:t>
      </w:r>
      <w:r w:rsidRPr="0051709F">
        <w:rPr>
          <w:rFonts w:cstheme="minorHAnsi"/>
        </w:rPr>
        <w:t xml:space="preserve"> clases altas, sino en clases medias y </w:t>
      </w:r>
      <w:r w:rsidR="00EF0ABB">
        <w:rPr>
          <w:rFonts w:cstheme="minorHAnsi"/>
        </w:rPr>
        <w:t>más vulnerables</w:t>
      </w:r>
      <w:r w:rsidRPr="0051709F">
        <w:rPr>
          <w:rFonts w:cstheme="minorHAnsi"/>
        </w:rPr>
        <w:t xml:space="preserve">, por lo que el que la mayoría de la población </w:t>
      </w:r>
      <w:r w:rsidR="00EF0ABB">
        <w:rPr>
          <w:rFonts w:cstheme="minorHAnsi"/>
        </w:rPr>
        <w:t>española</w:t>
      </w:r>
      <w:r w:rsidRPr="0051709F">
        <w:rPr>
          <w:rFonts w:cstheme="minorHAnsi"/>
        </w:rPr>
        <w:t xml:space="preserve"> practi</w:t>
      </w:r>
      <w:r w:rsidR="00EF0ABB">
        <w:rPr>
          <w:rFonts w:cstheme="minorHAnsi"/>
        </w:rPr>
        <w:t>ca menos</w:t>
      </w:r>
      <w:r w:rsidRPr="0051709F">
        <w:rPr>
          <w:rFonts w:cstheme="minorHAnsi"/>
        </w:rPr>
        <w:t xml:space="preserve"> deporte</w:t>
      </w:r>
      <w:r w:rsidR="00EF0ABB">
        <w:rPr>
          <w:rFonts w:cstheme="minorHAnsi"/>
        </w:rPr>
        <w:t>, constituyendo esto</w:t>
      </w:r>
      <w:r w:rsidRPr="0051709F">
        <w:rPr>
          <w:rFonts w:cstheme="minorHAnsi"/>
        </w:rPr>
        <w:t xml:space="preserve"> un problema en términos globales para la salud y el bienestar personal.</w:t>
      </w:r>
    </w:p>
    <w:p w14:paraId="5EBD9418" w14:textId="77777777" w:rsidR="003D1896" w:rsidRPr="0051709F" w:rsidRDefault="003D1896" w:rsidP="003D1896">
      <w:pPr>
        <w:jc w:val="both"/>
        <w:rPr>
          <w:rFonts w:cstheme="minorHAnsi"/>
        </w:rPr>
      </w:pPr>
    </w:p>
    <w:p w14:paraId="29E738BB" w14:textId="77777777" w:rsidR="003D1896" w:rsidRPr="0051709F" w:rsidRDefault="003D1896" w:rsidP="003D1896">
      <w:pPr>
        <w:jc w:val="both"/>
        <w:rPr>
          <w:rFonts w:cstheme="minorHAnsi"/>
        </w:rPr>
      </w:pPr>
      <w:r w:rsidRPr="0051709F">
        <w:rPr>
          <w:rFonts w:cstheme="minorHAnsi"/>
          <w:noProof/>
          <w:lang w:val="en-GB" w:eastAsia="en-GB"/>
        </w:rPr>
        <w:lastRenderedPageBreak/>
        <w:drawing>
          <wp:inline distT="0" distB="0" distL="0" distR="0" wp14:anchorId="6B9C38E9" wp14:editId="634035CF">
            <wp:extent cx="5400040" cy="2935605"/>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825E2AD" w14:textId="77777777" w:rsidR="00541DF6" w:rsidRPr="007B667D" w:rsidRDefault="00541DF6" w:rsidP="00541DF6">
      <w:pPr>
        <w:jc w:val="center"/>
        <w:rPr>
          <w:rFonts w:cstheme="minorHAnsi"/>
          <w:i/>
          <w:sz w:val="22"/>
          <w:szCs w:val="22"/>
        </w:rPr>
      </w:pPr>
      <w:r w:rsidRPr="007B667D">
        <w:rPr>
          <w:rFonts w:cstheme="minorHAnsi"/>
          <w:i/>
          <w:sz w:val="22"/>
          <w:szCs w:val="22"/>
        </w:rPr>
        <w:t>Gráfico 14. Evolución de la práctica deportiva por grupos de edad (1980-2022)</w:t>
      </w:r>
    </w:p>
    <w:p w14:paraId="6D50F4FA" w14:textId="77777777" w:rsidR="003D1896" w:rsidRPr="007B667D" w:rsidRDefault="003D1896" w:rsidP="00541DF6">
      <w:pPr>
        <w:spacing w:before="120"/>
        <w:jc w:val="center"/>
        <w:rPr>
          <w:rFonts w:cstheme="minorHAnsi"/>
          <w:sz w:val="22"/>
          <w:szCs w:val="22"/>
        </w:rPr>
      </w:pPr>
      <w:r w:rsidRPr="007B667D">
        <w:rPr>
          <w:rFonts w:cstheme="minorHAnsi"/>
          <w:sz w:val="22"/>
          <w:szCs w:val="22"/>
        </w:rPr>
        <w:t>Fuente: Elaboración propia a partir de la Encuesta de Hábitos Deportivos en España (2023).</w:t>
      </w:r>
    </w:p>
    <w:p w14:paraId="0C44EF8D" w14:textId="77777777" w:rsidR="003D1896" w:rsidRPr="0051709F" w:rsidRDefault="003D1896" w:rsidP="003D1896">
      <w:pPr>
        <w:jc w:val="both"/>
        <w:rPr>
          <w:rFonts w:cstheme="minorHAnsi"/>
        </w:rPr>
      </w:pPr>
    </w:p>
    <w:p w14:paraId="5650AF1C" w14:textId="77777777" w:rsidR="003D1896" w:rsidRPr="0051709F" w:rsidRDefault="003D1896" w:rsidP="003D1896">
      <w:pPr>
        <w:jc w:val="both"/>
        <w:rPr>
          <w:rFonts w:cstheme="minorHAnsi"/>
        </w:rPr>
      </w:pPr>
    </w:p>
    <w:p w14:paraId="705A9BDC" w14:textId="77777777" w:rsidR="003D1896" w:rsidRPr="0051709F" w:rsidRDefault="003D1896" w:rsidP="003D1896">
      <w:pPr>
        <w:jc w:val="center"/>
        <w:rPr>
          <w:rFonts w:cstheme="minorHAnsi"/>
        </w:rPr>
      </w:pPr>
      <w:r w:rsidRPr="0051709F">
        <w:rPr>
          <w:rFonts w:cstheme="minorHAnsi"/>
          <w:noProof/>
          <w:lang w:val="en-GB" w:eastAsia="en-GB"/>
        </w:rPr>
        <w:drawing>
          <wp:inline distT="0" distB="0" distL="0" distR="0" wp14:anchorId="315D2715" wp14:editId="5DB12526">
            <wp:extent cx="4898390" cy="2940727"/>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7D3558D" w14:textId="77777777" w:rsidR="003D1896" w:rsidRPr="0051709F" w:rsidRDefault="003D1896" w:rsidP="003D1896">
      <w:pPr>
        <w:jc w:val="both"/>
        <w:rPr>
          <w:rFonts w:cstheme="minorHAnsi"/>
        </w:rPr>
      </w:pPr>
    </w:p>
    <w:p w14:paraId="356BE41F" w14:textId="77777777" w:rsidR="00541DF6" w:rsidRPr="0051709F" w:rsidRDefault="00541DF6" w:rsidP="00541DF6">
      <w:pPr>
        <w:jc w:val="center"/>
        <w:rPr>
          <w:rFonts w:cstheme="minorHAnsi"/>
          <w:i/>
        </w:rPr>
      </w:pPr>
    </w:p>
    <w:p w14:paraId="3D879D67" w14:textId="16AE3D21" w:rsidR="00541DF6" w:rsidRPr="007B667D" w:rsidRDefault="00541DF6" w:rsidP="00541DF6">
      <w:pPr>
        <w:jc w:val="center"/>
        <w:rPr>
          <w:rFonts w:cstheme="minorHAnsi"/>
          <w:i/>
          <w:sz w:val="22"/>
          <w:szCs w:val="22"/>
        </w:rPr>
      </w:pPr>
      <w:r w:rsidRPr="007B667D">
        <w:rPr>
          <w:rFonts w:cstheme="minorHAnsi"/>
          <w:i/>
          <w:sz w:val="22"/>
          <w:szCs w:val="22"/>
        </w:rPr>
        <w:t>Gráfico 15. Práctica deportiva según nivel de estudios (2022)</w:t>
      </w:r>
    </w:p>
    <w:p w14:paraId="5F1A4D31" w14:textId="77777777" w:rsidR="003D1896" w:rsidRPr="007B667D" w:rsidRDefault="003D1896" w:rsidP="00541DF6">
      <w:pPr>
        <w:jc w:val="center"/>
        <w:rPr>
          <w:rFonts w:cstheme="minorHAnsi"/>
          <w:sz w:val="22"/>
          <w:szCs w:val="22"/>
        </w:rPr>
      </w:pPr>
      <w:r w:rsidRPr="007B667D">
        <w:rPr>
          <w:rFonts w:cstheme="minorHAnsi"/>
          <w:sz w:val="22"/>
          <w:szCs w:val="22"/>
        </w:rPr>
        <w:t>Fuente: Elaboración propia a partir de la Encuesta de Hábitos Deportivos en España (2023).</w:t>
      </w:r>
    </w:p>
    <w:p w14:paraId="0F103DD3" w14:textId="77777777" w:rsidR="003D1896" w:rsidRPr="0051709F" w:rsidRDefault="003D1896" w:rsidP="003D1896">
      <w:pPr>
        <w:jc w:val="both"/>
        <w:rPr>
          <w:rFonts w:cstheme="minorHAnsi"/>
        </w:rPr>
      </w:pPr>
    </w:p>
    <w:p w14:paraId="3116A129" w14:textId="668CC4E7" w:rsidR="003D1896" w:rsidRPr="0051709F" w:rsidRDefault="004D3F18" w:rsidP="003D1896">
      <w:pPr>
        <w:jc w:val="both"/>
        <w:rPr>
          <w:rFonts w:cstheme="minorHAnsi"/>
        </w:rPr>
      </w:pPr>
      <w:r w:rsidRPr="0051709F">
        <w:rPr>
          <w:rFonts w:cstheme="minorHAnsi"/>
        </w:rPr>
        <w:t>Además,</w:t>
      </w:r>
      <w:r w:rsidR="003D1896" w:rsidRPr="0051709F">
        <w:rPr>
          <w:rFonts w:cstheme="minorHAnsi"/>
        </w:rPr>
        <w:t xml:space="preserve"> existen diferencias significativas según el </w:t>
      </w:r>
      <w:r w:rsidR="003D1896" w:rsidRPr="0051709F">
        <w:rPr>
          <w:rFonts w:cstheme="minorHAnsi"/>
          <w:bCs/>
        </w:rPr>
        <w:t>lugar de residencia</w:t>
      </w:r>
      <w:r w:rsidR="003D1896" w:rsidRPr="0051709F">
        <w:rPr>
          <w:rFonts w:cstheme="minorHAnsi"/>
        </w:rPr>
        <w:t>, siendo más relevantes entre quienes residen en municipios de menos de 10.000 habitantes</w:t>
      </w:r>
      <w:r w:rsidR="00B062AF">
        <w:rPr>
          <w:rFonts w:cstheme="minorHAnsi"/>
        </w:rPr>
        <w:t>,</w:t>
      </w:r>
      <w:r w:rsidR="003D1896" w:rsidRPr="0051709F">
        <w:rPr>
          <w:rFonts w:cstheme="minorHAnsi"/>
        </w:rPr>
        <w:t xml:space="preserve"> donde solo practica deporte un 36%</w:t>
      </w:r>
      <w:r w:rsidR="00B062AF">
        <w:rPr>
          <w:rFonts w:cstheme="minorHAnsi"/>
        </w:rPr>
        <w:t>,</w:t>
      </w:r>
      <w:r w:rsidR="003D1896" w:rsidRPr="0051709F">
        <w:rPr>
          <w:rFonts w:cstheme="minorHAnsi"/>
        </w:rPr>
        <w:t xml:space="preserve"> </w:t>
      </w:r>
      <w:r w:rsidR="00B062AF">
        <w:rPr>
          <w:rFonts w:cstheme="minorHAnsi"/>
        </w:rPr>
        <w:t xml:space="preserve">frente a </w:t>
      </w:r>
      <w:r w:rsidR="003D1896" w:rsidRPr="0051709F">
        <w:rPr>
          <w:rFonts w:cstheme="minorHAnsi"/>
        </w:rPr>
        <w:t>quienes residen en capitales de provincia o en municipios de más de 50.000 habitantes (60% y 55%</w:t>
      </w:r>
      <w:r w:rsidR="00B062AF">
        <w:rPr>
          <w:rFonts w:cstheme="minorHAnsi"/>
        </w:rPr>
        <w:t xml:space="preserve"> de práctica deportiva</w:t>
      </w:r>
      <w:r w:rsidR="003D1896" w:rsidRPr="0051709F">
        <w:rPr>
          <w:rFonts w:cstheme="minorHAnsi"/>
        </w:rPr>
        <w:t xml:space="preserve"> respectivamente)</w:t>
      </w:r>
      <w:r w:rsidR="00B062AF">
        <w:rPr>
          <w:rFonts w:cstheme="minorHAnsi"/>
        </w:rPr>
        <w:t>.</w:t>
      </w:r>
      <w:r w:rsidR="003D1896" w:rsidRPr="0051709F">
        <w:rPr>
          <w:rFonts w:cstheme="minorHAnsi"/>
        </w:rPr>
        <w:t xml:space="preserve"> </w:t>
      </w:r>
      <w:r w:rsidR="00636CF6">
        <w:rPr>
          <w:rFonts w:cstheme="minorHAnsi"/>
        </w:rPr>
        <w:t>Estas diferencias</w:t>
      </w:r>
      <w:r w:rsidR="00B062AF">
        <w:rPr>
          <w:rFonts w:cstheme="minorHAnsi"/>
        </w:rPr>
        <w:t xml:space="preserve"> se deban muy </w:t>
      </w:r>
      <w:r w:rsidR="003D1896" w:rsidRPr="0051709F">
        <w:rPr>
          <w:rFonts w:cstheme="minorHAnsi"/>
        </w:rPr>
        <w:t xml:space="preserve">probablemente </w:t>
      </w:r>
      <w:r w:rsidR="00B062AF">
        <w:rPr>
          <w:rFonts w:cstheme="minorHAnsi"/>
        </w:rPr>
        <w:t>a</w:t>
      </w:r>
      <w:r w:rsidR="00B062AF" w:rsidRPr="0051709F">
        <w:rPr>
          <w:rFonts w:cstheme="minorHAnsi"/>
        </w:rPr>
        <w:t xml:space="preserve"> </w:t>
      </w:r>
      <w:r w:rsidR="003D1896" w:rsidRPr="0051709F">
        <w:rPr>
          <w:rFonts w:cstheme="minorHAnsi"/>
        </w:rPr>
        <w:t>la existencia de grandes desequilibrios en la dotación de equipamientos e infraestructuras deportivas y la oferta de servicios deportivos municipales entre e</w:t>
      </w:r>
      <w:r w:rsidRPr="0051709F">
        <w:rPr>
          <w:rFonts w:cstheme="minorHAnsi"/>
        </w:rPr>
        <w:t xml:space="preserve">l medio rural y el medio urbano; </w:t>
      </w:r>
      <w:r w:rsidRPr="0051709F">
        <w:rPr>
          <w:rFonts w:cstheme="minorHAnsi"/>
        </w:rPr>
        <w:lastRenderedPageBreak/>
        <w:t>aunque es obvio que</w:t>
      </w:r>
      <w:r w:rsidR="00B062AF">
        <w:rPr>
          <w:rFonts w:cstheme="minorHAnsi"/>
        </w:rPr>
        <w:t xml:space="preserve"> también</w:t>
      </w:r>
      <w:r w:rsidRPr="0051709F">
        <w:rPr>
          <w:rFonts w:cstheme="minorHAnsi"/>
        </w:rPr>
        <w:t xml:space="preserve"> influye que la cohorte de población es de una media de edad mayor en el medio rural.</w:t>
      </w:r>
    </w:p>
    <w:p w14:paraId="7D208624" w14:textId="77777777" w:rsidR="003D1896" w:rsidRPr="0051709F" w:rsidRDefault="003D1896" w:rsidP="003D1896">
      <w:pPr>
        <w:jc w:val="both"/>
        <w:rPr>
          <w:rFonts w:cstheme="minorHAnsi"/>
        </w:rPr>
      </w:pPr>
    </w:p>
    <w:p w14:paraId="53E4C9FB" w14:textId="621C75FF" w:rsidR="003D1896" w:rsidRPr="0051709F" w:rsidRDefault="003D1896" w:rsidP="003D1896">
      <w:pPr>
        <w:jc w:val="both"/>
        <w:rPr>
          <w:rFonts w:cstheme="minorHAnsi"/>
        </w:rPr>
      </w:pPr>
      <w:r w:rsidRPr="0051709F">
        <w:rPr>
          <w:rFonts w:cstheme="minorHAnsi"/>
        </w:rPr>
        <w:t xml:space="preserve">Por último, existen </w:t>
      </w:r>
      <w:r w:rsidRPr="0051709F">
        <w:rPr>
          <w:rFonts w:cstheme="minorHAnsi"/>
          <w:bCs/>
        </w:rPr>
        <w:t>colectivos específicos</w:t>
      </w:r>
      <w:r w:rsidRPr="0051709F">
        <w:rPr>
          <w:rFonts w:cstheme="minorHAnsi"/>
        </w:rPr>
        <w:t xml:space="preserve"> que requieren una política deportiva orientada a su situación</w:t>
      </w:r>
      <w:r w:rsidR="00B062AF">
        <w:rPr>
          <w:rFonts w:cstheme="minorHAnsi"/>
        </w:rPr>
        <w:t xml:space="preserve"> especial</w:t>
      </w:r>
      <w:r w:rsidRPr="0051709F">
        <w:rPr>
          <w:rFonts w:cstheme="minorHAnsi"/>
        </w:rPr>
        <w:t xml:space="preserve">, como la población con discapacidad (que </w:t>
      </w:r>
      <w:r w:rsidR="00B062AF">
        <w:rPr>
          <w:rFonts w:cstheme="minorHAnsi"/>
        </w:rPr>
        <w:t>suma</w:t>
      </w:r>
      <w:r w:rsidR="00B062AF" w:rsidRPr="0051709F">
        <w:rPr>
          <w:rFonts w:cstheme="minorHAnsi"/>
        </w:rPr>
        <w:t xml:space="preserve"> </w:t>
      </w:r>
      <w:r w:rsidRPr="0051709F">
        <w:rPr>
          <w:rFonts w:cstheme="minorHAnsi"/>
        </w:rPr>
        <w:t>4,3 millones de personas en España, de las cuales solo el 33% realiza ejercicio físico en su tiempo libre y solo 14.088 disponen de licencia federativa, encontr</w:t>
      </w:r>
      <w:r w:rsidR="00B062AF">
        <w:rPr>
          <w:rFonts w:cstheme="minorHAnsi"/>
        </w:rPr>
        <w:t>a</w:t>
      </w:r>
      <w:r w:rsidRPr="0051709F">
        <w:rPr>
          <w:rFonts w:cstheme="minorHAnsi"/>
        </w:rPr>
        <w:t>ndo insuficientemente atendid</w:t>
      </w:r>
      <w:r w:rsidR="00B062AF">
        <w:rPr>
          <w:rFonts w:cstheme="minorHAnsi"/>
        </w:rPr>
        <w:t>o</w:t>
      </w:r>
      <w:r w:rsidRPr="0051709F">
        <w:rPr>
          <w:rFonts w:cstheme="minorHAnsi"/>
        </w:rPr>
        <w:t xml:space="preserve"> </w:t>
      </w:r>
      <w:r w:rsidR="00B062AF">
        <w:rPr>
          <w:rFonts w:cstheme="minorHAnsi"/>
        </w:rPr>
        <w:t xml:space="preserve">su acceso a la práctica deportiva </w:t>
      </w:r>
      <w:r w:rsidRPr="0051709F">
        <w:rPr>
          <w:rFonts w:cstheme="minorHAnsi"/>
        </w:rPr>
        <w:t xml:space="preserve">e </w:t>
      </w:r>
      <w:r w:rsidR="0021277C" w:rsidRPr="0051709F">
        <w:rPr>
          <w:rFonts w:cstheme="minorHAnsi"/>
        </w:rPr>
        <w:t>impidiendo</w:t>
      </w:r>
      <w:r w:rsidRPr="0051709F">
        <w:rPr>
          <w:rFonts w:cstheme="minorHAnsi"/>
        </w:rPr>
        <w:t xml:space="preserve"> su adecuada integración social. Y otros colectivos que sufren los hándicaps culturales propios de una sociedad heteronormativa en el deporte organizado: la población LGBTIQ+</w:t>
      </w:r>
      <w:r w:rsidR="00B062AF">
        <w:rPr>
          <w:rFonts w:cstheme="minorHAnsi"/>
        </w:rPr>
        <w:t xml:space="preserve">, </w:t>
      </w:r>
      <w:r w:rsidRPr="0051709F">
        <w:rPr>
          <w:rFonts w:cstheme="minorHAnsi"/>
        </w:rPr>
        <w:t>que supone según</w:t>
      </w:r>
      <w:r w:rsidR="004D3F18" w:rsidRPr="0051709F">
        <w:rPr>
          <w:rFonts w:cstheme="minorHAnsi"/>
        </w:rPr>
        <w:t xml:space="preserve"> algunos estudios en torno al 6</w:t>
      </w:r>
      <w:r w:rsidRPr="0051709F">
        <w:rPr>
          <w:rFonts w:cstheme="minorHAnsi"/>
        </w:rPr>
        <w:t>% de la población, es decir, aproximadamente 1.300.000 en España,</w:t>
      </w:r>
      <w:r w:rsidR="00B062AF">
        <w:rPr>
          <w:rFonts w:cstheme="minorHAnsi"/>
        </w:rPr>
        <w:t xml:space="preserve"> y</w:t>
      </w:r>
      <w:r w:rsidRPr="0051709F">
        <w:rPr>
          <w:rFonts w:cstheme="minorHAnsi"/>
        </w:rPr>
        <w:t xml:space="preserve"> que también precisa de políticas dirigidas a la normalización social, a través de la lucha contra la homofobia, dada la presencia de este problema en el deporte organizado (Moscoso y Piedra, 2019). Y no hemos de olvidar la población inmigrante, que en España supone más de 5 millones de personas, y, sin embargo, el porcentaje de practicantes de deportes es 10 puntos menos que la media </w:t>
      </w:r>
      <w:r w:rsidR="00B062AF">
        <w:rPr>
          <w:rFonts w:cstheme="minorHAnsi"/>
        </w:rPr>
        <w:t xml:space="preserve">de la </w:t>
      </w:r>
      <w:r w:rsidRPr="0051709F">
        <w:rPr>
          <w:rFonts w:cstheme="minorHAnsi"/>
        </w:rPr>
        <w:t>población de origen nacional. Siendo tan importante este grupo población, y en vistas de que su número seguirá creciendo a futuro, corresponde desarrollar políticas que logren su integra</w:t>
      </w:r>
      <w:r w:rsidR="004D3F18" w:rsidRPr="0051709F">
        <w:rPr>
          <w:rFonts w:cstheme="minorHAnsi"/>
        </w:rPr>
        <w:t>ción en la práctica del deporte.</w:t>
      </w:r>
    </w:p>
    <w:p w14:paraId="4C31748A" w14:textId="77777777" w:rsidR="003D1896" w:rsidRPr="0051709F" w:rsidRDefault="003D1896" w:rsidP="003D1896">
      <w:pPr>
        <w:jc w:val="both"/>
        <w:rPr>
          <w:rFonts w:cstheme="minorHAnsi"/>
        </w:rPr>
      </w:pPr>
    </w:p>
    <w:p w14:paraId="644A64C9" w14:textId="77777777" w:rsidR="003D1896" w:rsidRPr="0051709F" w:rsidRDefault="003D1896" w:rsidP="003D1896">
      <w:pPr>
        <w:jc w:val="center"/>
        <w:rPr>
          <w:rFonts w:cstheme="minorHAnsi"/>
          <w:i/>
        </w:rPr>
      </w:pPr>
    </w:p>
    <w:p w14:paraId="150958ED" w14:textId="77777777" w:rsidR="003D1896" w:rsidRPr="0051709F" w:rsidRDefault="003D1896" w:rsidP="003D1896">
      <w:pPr>
        <w:jc w:val="both"/>
        <w:rPr>
          <w:rFonts w:cstheme="minorHAnsi"/>
        </w:rPr>
      </w:pPr>
      <w:r w:rsidRPr="0051709F">
        <w:rPr>
          <w:rFonts w:cstheme="minorHAnsi"/>
          <w:noProof/>
          <w:lang w:val="en-GB" w:eastAsia="en-GB"/>
        </w:rPr>
        <w:drawing>
          <wp:inline distT="0" distB="0" distL="0" distR="0" wp14:anchorId="6FEAF872" wp14:editId="244A1EDC">
            <wp:extent cx="5400040" cy="2856016"/>
            <wp:effectExtent l="0" t="0" r="0" b="190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B5CE07D" w14:textId="77777777" w:rsidR="00541DF6" w:rsidRPr="0051709F" w:rsidRDefault="00541DF6" w:rsidP="00541DF6">
      <w:pPr>
        <w:jc w:val="center"/>
        <w:rPr>
          <w:rFonts w:cstheme="minorHAnsi"/>
          <w:i/>
        </w:rPr>
      </w:pPr>
    </w:p>
    <w:p w14:paraId="3A2E0DB6" w14:textId="13D0C687" w:rsidR="00541DF6" w:rsidRPr="007B667D" w:rsidRDefault="00541DF6" w:rsidP="00541DF6">
      <w:pPr>
        <w:jc w:val="center"/>
        <w:rPr>
          <w:rFonts w:cstheme="minorHAnsi"/>
          <w:i/>
          <w:sz w:val="22"/>
          <w:szCs w:val="22"/>
        </w:rPr>
      </w:pPr>
      <w:r w:rsidRPr="007B667D">
        <w:rPr>
          <w:rFonts w:cstheme="minorHAnsi"/>
          <w:i/>
          <w:sz w:val="22"/>
          <w:szCs w:val="22"/>
        </w:rPr>
        <w:t>Gráfico 16. Práctica deportiva según clase social (2022)</w:t>
      </w:r>
    </w:p>
    <w:p w14:paraId="22A530C6" w14:textId="77777777" w:rsidR="003D1896" w:rsidRPr="007B667D" w:rsidRDefault="003D1896" w:rsidP="00541DF6">
      <w:pPr>
        <w:jc w:val="center"/>
        <w:rPr>
          <w:rFonts w:cstheme="minorHAnsi"/>
          <w:sz w:val="22"/>
          <w:szCs w:val="22"/>
        </w:rPr>
      </w:pPr>
      <w:r w:rsidRPr="007B667D">
        <w:rPr>
          <w:rFonts w:cstheme="minorHAnsi"/>
          <w:sz w:val="22"/>
          <w:szCs w:val="22"/>
        </w:rPr>
        <w:t>Fuente: Elaboración propia a partir de la Encuesta de Hábitos Deportivos en España (2023).</w:t>
      </w:r>
    </w:p>
    <w:p w14:paraId="364CEA02" w14:textId="77777777" w:rsidR="003D1896" w:rsidRPr="0051709F" w:rsidRDefault="003D1896" w:rsidP="003D1896">
      <w:pPr>
        <w:jc w:val="both"/>
        <w:rPr>
          <w:rFonts w:cstheme="minorHAnsi"/>
        </w:rPr>
      </w:pPr>
    </w:p>
    <w:p w14:paraId="51472012" w14:textId="0BA7D6D9" w:rsidR="003D1896" w:rsidRPr="0051709F" w:rsidRDefault="003D1896" w:rsidP="003D1896">
      <w:pPr>
        <w:jc w:val="both"/>
        <w:rPr>
          <w:rFonts w:cstheme="minorHAnsi"/>
        </w:rPr>
      </w:pPr>
      <w:r w:rsidRPr="0051709F">
        <w:rPr>
          <w:rFonts w:cstheme="minorHAnsi"/>
        </w:rPr>
        <w:t xml:space="preserve">Con todo, debemos plantearnos cómo podemos hacer para proveer una política deportiva con la que la sociedad se sienta identificada. Qué no </w:t>
      </w:r>
      <w:r w:rsidR="004D3F18" w:rsidRPr="0051709F">
        <w:rPr>
          <w:rFonts w:cstheme="minorHAnsi"/>
        </w:rPr>
        <w:t>perciba</w:t>
      </w:r>
      <w:r w:rsidRPr="0051709F">
        <w:rPr>
          <w:rFonts w:cstheme="minorHAnsi"/>
        </w:rPr>
        <w:t xml:space="preserve"> que está </w:t>
      </w:r>
      <w:r w:rsidR="004D3F18" w:rsidRPr="0051709F">
        <w:rPr>
          <w:rFonts w:cstheme="minorHAnsi"/>
        </w:rPr>
        <w:t>formulada</w:t>
      </w:r>
      <w:r w:rsidRPr="0051709F">
        <w:rPr>
          <w:rFonts w:cstheme="minorHAnsi"/>
        </w:rPr>
        <w:t xml:space="preserve"> para las </w:t>
      </w:r>
      <w:r w:rsidR="004D3F18" w:rsidRPr="0051709F">
        <w:rPr>
          <w:rFonts w:cstheme="minorHAnsi"/>
        </w:rPr>
        <w:t>‘</w:t>
      </w:r>
      <w:r w:rsidRPr="0051709F">
        <w:rPr>
          <w:rFonts w:cstheme="minorHAnsi"/>
        </w:rPr>
        <w:t>élites del deporte</w:t>
      </w:r>
      <w:r w:rsidR="004D3F18" w:rsidRPr="0051709F">
        <w:rPr>
          <w:rFonts w:cstheme="minorHAnsi"/>
        </w:rPr>
        <w:t>’</w:t>
      </w:r>
      <w:r w:rsidRPr="0051709F">
        <w:rPr>
          <w:rFonts w:cstheme="minorHAnsi"/>
        </w:rPr>
        <w:t>, para las grandes federaciones y clubes deportivos,</w:t>
      </w:r>
      <w:r w:rsidR="00E27B8B">
        <w:rPr>
          <w:rFonts w:cstheme="minorHAnsi"/>
        </w:rPr>
        <w:t xml:space="preserve"> o</w:t>
      </w:r>
      <w:r w:rsidRPr="0051709F">
        <w:rPr>
          <w:rFonts w:cstheme="minorHAnsi"/>
        </w:rPr>
        <w:t xml:space="preserve"> para los grandes eventos. Cómo y cuándo una política deportiva pensada en la mayoría social, en el deporte base, en el deporte popular, en el deporte como parte de una vida activa e integral que persiga desempeñar una función social más amplia. Qué medidas </w:t>
      </w:r>
      <w:r w:rsidR="00E27B8B">
        <w:rPr>
          <w:rFonts w:cstheme="minorHAnsi"/>
        </w:rPr>
        <w:t>se han</w:t>
      </w:r>
      <w:r w:rsidRPr="0051709F">
        <w:rPr>
          <w:rFonts w:cstheme="minorHAnsi"/>
        </w:rPr>
        <w:t xml:space="preserve"> de adoptar para que el sexo, la edad, el nivel de instrucción, la clase </w:t>
      </w:r>
      <w:r w:rsidRPr="0051709F">
        <w:rPr>
          <w:rFonts w:cstheme="minorHAnsi"/>
        </w:rPr>
        <w:lastRenderedPageBreak/>
        <w:t>social o la nacionalidad no sean un factor de desigualdad también en el deporte y, por tanto, factor de desigualdad de acceso a la salud y el bienestar</w:t>
      </w:r>
      <w:r w:rsidR="004D3F18" w:rsidRPr="0051709F">
        <w:rPr>
          <w:rFonts w:cstheme="minorHAnsi"/>
        </w:rPr>
        <w:t>,</w:t>
      </w:r>
      <w:r w:rsidRPr="0051709F">
        <w:rPr>
          <w:rFonts w:cstheme="minorHAnsi"/>
        </w:rPr>
        <w:t xml:space="preserve"> de lucha contra el sedentarismo y la inactividad física. </w:t>
      </w:r>
    </w:p>
    <w:p w14:paraId="65C9991D" w14:textId="77777777" w:rsidR="00DA303F" w:rsidRPr="0051709F" w:rsidRDefault="00DA303F" w:rsidP="00361414">
      <w:pPr>
        <w:jc w:val="both"/>
        <w:rPr>
          <w:rFonts w:cstheme="minorHAnsi"/>
        </w:rPr>
      </w:pPr>
    </w:p>
    <w:p w14:paraId="7796C697" w14:textId="77777777" w:rsidR="00BF7D2E" w:rsidRPr="0051709F" w:rsidRDefault="00BF7D2E" w:rsidP="00361414">
      <w:pPr>
        <w:jc w:val="both"/>
        <w:rPr>
          <w:rFonts w:cstheme="minorHAnsi"/>
          <w:b/>
          <w:bCs/>
          <w:lang w:val="es-ES_tradnl"/>
        </w:rPr>
      </w:pPr>
    </w:p>
    <w:p w14:paraId="74359268" w14:textId="207AB110" w:rsidR="00361414" w:rsidRPr="0051709F" w:rsidRDefault="00361414" w:rsidP="00541DF6">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Principales retos para lograr que el deporte cumpla nuevas funciones sociales</w:t>
      </w:r>
    </w:p>
    <w:p w14:paraId="463EA262" w14:textId="77777777" w:rsidR="00361414" w:rsidRPr="0051709F" w:rsidRDefault="00361414" w:rsidP="00361414">
      <w:pPr>
        <w:jc w:val="both"/>
        <w:rPr>
          <w:rFonts w:cstheme="minorHAnsi"/>
        </w:rPr>
      </w:pPr>
    </w:p>
    <w:p w14:paraId="6BE85427" w14:textId="5F4CBAF2" w:rsidR="00361414" w:rsidRPr="0051709F" w:rsidRDefault="00361414" w:rsidP="00361414">
      <w:pPr>
        <w:jc w:val="both"/>
        <w:rPr>
          <w:rFonts w:cstheme="minorHAnsi"/>
        </w:rPr>
      </w:pPr>
      <w:r w:rsidRPr="0051709F">
        <w:rPr>
          <w:rFonts w:cstheme="minorHAnsi"/>
        </w:rPr>
        <w:t xml:space="preserve">En virtud del análisis realizado sobre las características sociodemográficas, socioeconómicas y culturales de la sociedad española, resulta posible </w:t>
      </w:r>
      <w:r w:rsidR="00422529">
        <w:rPr>
          <w:rFonts w:cstheme="minorHAnsi"/>
        </w:rPr>
        <w:t>identificare</w:t>
      </w:r>
      <w:r w:rsidR="00422529" w:rsidRPr="0051709F">
        <w:rPr>
          <w:rFonts w:cstheme="minorHAnsi"/>
        </w:rPr>
        <w:t xml:space="preserve"> </w:t>
      </w:r>
      <w:r w:rsidRPr="0051709F">
        <w:rPr>
          <w:rFonts w:cstheme="minorHAnsi"/>
        </w:rPr>
        <w:t xml:space="preserve">al menos tres grandes retos generales con los que contribuir </w:t>
      </w:r>
      <w:r w:rsidR="00422529">
        <w:rPr>
          <w:rFonts w:cstheme="minorHAnsi"/>
        </w:rPr>
        <w:t>en la lucha</w:t>
      </w:r>
      <w:r w:rsidRPr="0051709F">
        <w:rPr>
          <w:rFonts w:cstheme="minorHAnsi"/>
        </w:rPr>
        <w:t xml:space="preserve"> contra el sedentarismo y la inactividad física a través del fomento del deporte</w:t>
      </w:r>
      <w:r w:rsidR="00422529">
        <w:rPr>
          <w:rFonts w:cstheme="minorHAnsi"/>
        </w:rPr>
        <w:t>. Además, esta Estrategia</w:t>
      </w:r>
      <w:r w:rsidRPr="0051709F">
        <w:rPr>
          <w:rFonts w:cstheme="minorHAnsi"/>
        </w:rPr>
        <w:t xml:space="preserve"> </w:t>
      </w:r>
      <w:r w:rsidR="00422529">
        <w:rPr>
          <w:rFonts w:cstheme="minorHAnsi"/>
        </w:rPr>
        <w:t>recoge</w:t>
      </w:r>
      <w:r w:rsidRPr="0051709F">
        <w:rPr>
          <w:rFonts w:cstheme="minorHAnsi"/>
        </w:rPr>
        <w:t xml:space="preserve"> las acciones </w:t>
      </w:r>
      <w:r w:rsidR="00422529">
        <w:rPr>
          <w:rFonts w:cstheme="minorHAnsi"/>
        </w:rPr>
        <w:t>y</w:t>
      </w:r>
      <w:r w:rsidRPr="0051709F">
        <w:rPr>
          <w:rFonts w:cstheme="minorHAnsi"/>
        </w:rPr>
        <w:t xml:space="preserve"> medidas concretas que en el Anexo I. </w:t>
      </w:r>
    </w:p>
    <w:p w14:paraId="4AF1521B" w14:textId="77777777" w:rsidR="00361414" w:rsidRPr="0051709F" w:rsidRDefault="00361414" w:rsidP="00361414">
      <w:pPr>
        <w:jc w:val="both"/>
        <w:rPr>
          <w:rFonts w:cstheme="minorHAnsi"/>
        </w:rPr>
      </w:pPr>
      <w:r w:rsidRPr="0051709F">
        <w:rPr>
          <w:rFonts w:cstheme="minorHAnsi"/>
        </w:rPr>
        <w:t xml:space="preserve"> </w:t>
      </w:r>
    </w:p>
    <w:p w14:paraId="26E7AC0E" w14:textId="77777777" w:rsidR="00361414" w:rsidRPr="0051709F" w:rsidRDefault="00361414" w:rsidP="00361414">
      <w:pPr>
        <w:jc w:val="both"/>
        <w:rPr>
          <w:rFonts w:cstheme="minorHAnsi"/>
        </w:rPr>
      </w:pPr>
      <w:r w:rsidRPr="0051709F">
        <w:rPr>
          <w:rFonts w:cstheme="minorHAnsi"/>
        </w:rPr>
        <w:t xml:space="preserve">Un primer gran reto es alcanzar un </w:t>
      </w:r>
      <w:r w:rsidRPr="0051709F">
        <w:rPr>
          <w:rFonts w:cstheme="minorHAnsi"/>
          <w:i/>
        </w:rPr>
        <w:t>Pacto Nacional por la Promoción de la Actividad Físico-Deportiva</w:t>
      </w:r>
      <w:r w:rsidRPr="0051709F">
        <w:rPr>
          <w:rFonts w:cstheme="minorHAnsi"/>
        </w:rPr>
        <w:t xml:space="preserve">. Un reto que ya viene definido en el referido artículo 18 de la Ley 39/2022, de 30 de diciembre, del Deporte, y que, de nuevo, aludía a </w:t>
      </w:r>
      <w:r w:rsidRPr="007B667D">
        <w:rPr>
          <w:rFonts w:cstheme="minorHAnsi"/>
          <w:i/>
          <w:iCs/>
        </w:rPr>
        <w:t>“proponer programas comunes de actividad física y deporte vinculados a la prevención de la obesidad y el sedentarismo y a la adquisición de hábitos saludables entre la población, en coordinación con otros departamentos ministeriales con competencias en la materia, promoviendo el fomento de la actividad física y el deporte para la ciudadanía”</w:t>
      </w:r>
      <w:r w:rsidRPr="0051709F">
        <w:rPr>
          <w:rFonts w:cstheme="minorHAnsi"/>
        </w:rPr>
        <w:t xml:space="preserve">. </w:t>
      </w:r>
    </w:p>
    <w:p w14:paraId="20C04B30" w14:textId="77777777" w:rsidR="00361414" w:rsidRPr="0051709F" w:rsidRDefault="00361414" w:rsidP="00361414">
      <w:pPr>
        <w:jc w:val="both"/>
        <w:rPr>
          <w:rFonts w:cstheme="minorHAnsi"/>
        </w:rPr>
      </w:pPr>
    </w:p>
    <w:p w14:paraId="0C112976" w14:textId="75090C49" w:rsidR="00361414" w:rsidRPr="0051709F" w:rsidRDefault="00361414" w:rsidP="00361414">
      <w:pPr>
        <w:jc w:val="both"/>
        <w:rPr>
          <w:rFonts w:cstheme="minorHAnsi"/>
        </w:rPr>
      </w:pPr>
      <w:r w:rsidRPr="0051709F">
        <w:rPr>
          <w:rFonts w:cstheme="minorHAnsi"/>
        </w:rPr>
        <w:t>Se trataría de un pacto que fuera asumido por los principales agentes del sistema deportivo</w:t>
      </w:r>
      <w:r w:rsidR="00422529">
        <w:rPr>
          <w:rFonts w:cstheme="minorHAnsi"/>
        </w:rPr>
        <w:t xml:space="preserve">: </w:t>
      </w:r>
      <w:r w:rsidRPr="0051709F">
        <w:rPr>
          <w:rFonts w:cstheme="minorHAnsi"/>
        </w:rPr>
        <w:t>administraciones públicas con competencias en materia de deporte, federaciones, sector empresarial y deportistas, pero también por administraciones y empresas con otro tipo de competencias (educativas, sanitarias, ambientales, políticas sociales), y a todos los niveles</w:t>
      </w:r>
      <w:r w:rsidR="00422529">
        <w:rPr>
          <w:rFonts w:cstheme="minorHAnsi"/>
        </w:rPr>
        <w:t>,</w:t>
      </w:r>
      <w:r w:rsidRPr="0051709F">
        <w:rPr>
          <w:rFonts w:cstheme="minorHAnsi"/>
        </w:rPr>
        <w:t xml:space="preserve"> local, autonómico y Estatal. Un pacto en el que cooperen ayuntamientos, consejerías y ministerios, junto a empresas, medios de comunicación y tercer sector, con un único objetivo común, que es definir en todos esos ámbitos una política de implementación de la actividad físico-deportiva como reto </w:t>
      </w:r>
      <w:r w:rsidR="00422529">
        <w:rPr>
          <w:rFonts w:cstheme="minorHAnsi"/>
        </w:rPr>
        <w:t xml:space="preserve">para </w:t>
      </w:r>
      <w:r w:rsidRPr="0051709F">
        <w:rPr>
          <w:rFonts w:cstheme="minorHAnsi"/>
        </w:rPr>
        <w:t xml:space="preserve">vivir saludablemente. Como ya se esbozaba anteriormente, algunos estudios indican que el gasto sanitario asociado a la inactividad representa entre el 1,5% y el 2,5% del total anual, esto es, unos 5.000 millones de euros al año. Igualmente, dicha inactividad a nivel laboral provoca importantes costes para el sector productivo, en torno al 2,9% del PIB, según informes de la </w:t>
      </w:r>
      <w:r w:rsidR="006A52F5" w:rsidRPr="0051709F">
        <w:rPr>
          <w:rFonts w:cstheme="minorHAnsi"/>
          <w:color w:val="000000" w:themeColor="text1"/>
        </w:rPr>
        <w:t>OCD</w:t>
      </w:r>
      <w:r w:rsidR="00422529">
        <w:rPr>
          <w:rFonts w:cstheme="minorHAnsi"/>
          <w:color w:val="000000" w:themeColor="text1"/>
        </w:rPr>
        <w:t>E</w:t>
      </w:r>
      <w:r w:rsidRPr="0051709F">
        <w:rPr>
          <w:rFonts w:cstheme="minorHAnsi"/>
        </w:rPr>
        <w:t>. Con lo cual, la cultura corporal, la educación física y el deporte escolar deberían ser una prioridad política a nivel de Estado.</w:t>
      </w:r>
    </w:p>
    <w:p w14:paraId="0970501D" w14:textId="77777777" w:rsidR="00361414" w:rsidRPr="0051709F" w:rsidRDefault="00361414" w:rsidP="00361414">
      <w:pPr>
        <w:jc w:val="both"/>
        <w:rPr>
          <w:rFonts w:cstheme="minorHAnsi"/>
        </w:rPr>
      </w:pPr>
    </w:p>
    <w:p w14:paraId="34BE1D83" w14:textId="64A1BDCC" w:rsidR="00361414" w:rsidRPr="0051709F" w:rsidRDefault="00361414" w:rsidP="00361414">
      <w:pPr>
        <w:jc w:val="both"/>
        <w:rPr>
          <w:rFonts w:cstheme="minorHAnsi"/>
        </w:rPr>
      </w:pPr>
      <w:r w:rsidRPr="0051709F">
        <w:rPr>
          <w:rFonts w:cstheme="minorHAnsi"/>
        </w:rPr>
        <w:t xml:space="preserve">Un segundo reto es </w:t>
      </w:r>
      <w:r w:rsidRPr="0051709F">
        <w:rPr>
          <w:rFonts w:cstheme="minorHAnsi"/>
          <w:i/>
        </w:rPr>
        <w:t>Incorporar la Inclusión Social y la Igualdad como Elementos Transversales de la Política Deportiva</w:t>
      </w:r>
      <w:r w:rsidRPr="0051709F">
        <w:rPr>
          <w:rFonts w:cstheme="minorHAnsi"/>
        </w:rPr>
        <w:t xml:space="preserve">. Una política de </w:t>
      </w:r>
      <w:r w:rsidRPr="00636CF6">
        <w:rPr>
          <w:rFonts w:cstheme="minorHAnsi"/>
        </w:rPr>
        <w:t xml:space="preserve">Estado que contemple en el diseño e implementación de sus actuaciones y medidas el </w:t>
      </w:r>
      <w:r w:rsidR="0021277C" w:rsidRPr="00636CF6">
        <w:rPr>
          <w:rFonts w:cstheme="minorHAnsi"/>
        </w:rPr>
        <w:t>género,</w:t>
      </w:r>
      <w:r w:rsidRPr="00636CF6">
        <w:rPr>
          <w:rFonts w:cstheme="minorHAnsi"/>
        </w:rPr>
        <w:t xml:space="preserve"> la edad, el nivel de instrucción, la clase social, las diferencias culturales o la fisonomía de las ciudades. </w:t>
      </w:r>
      <w:r w:rsidR="006F3AE8" w:rsidRPr="00636CF6">
        <w:rPr>
          <w:rFonts w:cstheme="minorHAnsi"/>
        </w:rPr>
        <w:t>Una política q</w:t>
      </w:r>
      <w:r w:rsidRPr="00636CF6">
        <w:rPr>
          <w:rFonts w:cstheme="minorHAnsi"/>
        </w:rPr>
        <w:t>ue alcance tanto al sector privado como al sector público, y t</w:t>
      </w:r>
      <w:r w:rsidRPr="0051709F">
        <w:rPr>
          <w:rFonts w:cstheme="minorHAnsi"/>
        </w:rPr>
        <w:t>anto a las federaciones deportivas como al tercer sector.</w:t>
      </w:r>
    </w:p>
    <w:p w14:paraId="7C7EEE2C" w14:textId="77777777" w:rsidR="00361414" w:rsidRPr="0051709F" w:rsidRDefault="00361414" w:rsidP="00361414">
      <w:pPr>
        <w:jc w:val="both"/>
        <w:rPr>
          <w:rFonts w:cstheme="minorHAnsi"/>
        </w:rPr>
      </w:pPr>
    </w:p>
    <w:p w14:paraId="2C84080B" w14:textId="49B40EE8" w:rsidR="00361414" w:rsidRPr="0051709F" w:rsidRDefault="00361414" w:rsidP="00361414">
      <w:pPr>
        <w:jc w:val="both"/>
        <w:rPr>
          <w:rFonts w:cstheme="minorHAnsi"/>
        </w:rPr>
      </w:pPr>
      <w:r w:rsidRPr="007E293C">
        <w:rPr>
          <w:rFonts w:cstheme="minorHAnsi"/>
        </w:rPr>
        <w:t xml:space="preserve">Esto supone, </w:t>
      </w:r>
      <w:r w:rsidR="006F3AE8" w:rsidRPr="007E293C">
        <w:rPr>
          <w:rFonts w:cstheme="minorHAnsi"/>
        </w:rPr>
        <w:t>primeramente</w:t>
      </w:r>
      <w:r w:rsidRPr="007E293C">
        <w:rPr>
          <w:rFonts w:cstheme="minorHAnsi"/>
        </w:rPr>
        <w:t xml:space="preserve">, apostar por un nuevo modelo deportivo. El modelo basado en la competición y el espectáculo debe ser compatible con el del deporte como cultura física. De nada nos sirve tener a grandes </w:t>
      </w:r>
      <w:proofErr w:type="gramStart"/>
      <w:r w:rsidRPr="007E293C">
        <w:rPr>
          <w:rFonts w:cstheme="minorHAnsi"/>
        </w:rPr>
        <w:t>campeonas y campeones</w:t>
      </w:r>
      <w:proofErr w:type="gramEnd"/>
      <w:r w:rsidRPr="007E293C">
        <w:rPr>
          <w:rFonts w:cstheme="minorHAnsi"/>
        </w:rPr>
        <w:t xml:space="preserve"> olímpicos, si la población española sufre obesidad y sobrepeso, y el sedentarismo nos impide hacer </w:t>
      </w:r>
      <w:r w:rsidRPr="007E293C">
        <w:rPr>
          <w:rFonts w:cstheme="minorHAnsi"/>
        </w:rPr>
        <w:lastRenderedPageBreak/>
        <w:t>frente a algo que ya es una epidemia. En segundo lugar, implica acabar con la brecha deportiva. Debemos tener la ambición de apostar por un nuevo marco que integre a quienes menos recursos y nivel de instrucción tengan, a las personas mayores, a los grupos vulnerables y en situación de exclusión, a las personas con discapacidad física o psíquica, o a la comunidad LGBTIQ+. Y, en tercer lugar, exige aplicar el concepto de inclusión social como elemento transversal y vertebrador de una sociedad integrada a través del deporte. El deporte no s</w:t>
      </w:r>
      <w:r w:rsidR="006F3AE8" w:rsidRPr="007E293C">
        <w:rPr>
          <w:rFonts w:cstheme="minorHAnsi"/>
        </w:rPr>
        <w:t>ó</w:t>
      </w:r>
      <w:r w:rsidRPr="007E293C">
        <w:rPr>
          <w:rFonts w:cstheme="minorHAnsi"/>
        </w:rPr>
        <w:t>lo es el que se muestra a través de la televisión, la competición y las ligas profesionales. Tampoco lo es el deporte que se practica de forma reglada. Hemos de ampliar el concepto, llegar a quienes trabajan a través del deporte en la integración social de grupos sociales vulnerables, la cooperación al desarrollo, la lucha contra la xenofobia, la exclusión y la igualdad de género.</w:t>
      </w:r>
    </w:p>
    <w:p w14:paraId="603563CA" w14:textId="77777777" w:rsidR="00361414" w:rsidRPr="0051709F" w:rsidRDefault="00361414" w:rsidP="00361414">
      <w:pPr>
        <w:jc w:val="both"/>
        <w:rPr>
          <w:rFonts w:cstheme="minorHAnsi"/>
        </w:rPr>
      </w:pPr>
    </w:p>
    <w:p w14:paraId="0E8E0683" w14:textId="44A370ED" w:rsidR="00DF3DF5" w:rsidRPr="0051709F" w:rsidRDefault="00361414" w:rsidP="00361414">
      <w:pPr>
        <w:jc w:val="both"/>
        <w:rPr>
          <w:rFonts w:cstheme="minorHAnsi"/>
        </w:rPr>
      </w:pPr>
      <w:r w:rsidRPr="0051709F">
        <w:rPr>
          <w:rFonts w:cstheme="minorHAnsi"/>
        </w:rPr>
        <w:t xml:space="preserve">Un tercer y último reto es apostar por los </w:t>
      </w:r>
      <w:r w:rsidRPr="0051709F">
        <w:rPr>
          <w:rFonts w:cstheme="minorHAnsi"/>
          <w:i/>
        </w:rPr>
        <w:t>Espacios Públicos al Aire Libre y el Medio Natural</w:t>
      </w:r>
      <w:r w:rsidRPr="0051709F">
        <w:rPr>
          <w:rFonts w:cstheme="minorHAnsi"/>
        </w:rPr>
        <w:t xml:space="preserve"> como los mejores aliados del deporte y la actividad física. Esto es, conectar las ciudades vertebrando parques y jardines, áreas periurbanas, parques naturales y medio rural a través de carriles bici, senderos urbanos y periurbanos, áreas peatonales y transporte público. Todos los estudios existentes apuntan que la práctica deportiva en el medio natural a través de instalaciones al aire libre como carriles bici, senderos, rocódromos, parques saludables, pistas de skate, etc. ejerce un efecto multiplicador en la mejora del bienestar personal, por lo que hay que redoblar esfuerzos públicos en desarrollar este tipo de instalaciones. Por lo demás, según datos de la Encuesta de Hábitos Deportivos en España de la edición de 2022, el 72 % de las personas que realizan deporte lo hacen en espacios públicos al aire libre y, de esa parte, la mitad lo hace en espacios en el medio natural. Por lo tanto, la estrategia nacional de fomento del deporte para luchar contra el sedentarismo y la inactividad física debe estar en consonancia y mostrar sensibilidad con esta nueva realidad, acercar los espacios abiertos al aire libre y la naturaleza a la sociedad para mejorar su salud y bienestar a través del deporte.</w:t>
      </w:r>
      <w:r w:rsidR="00DF3DF5" w:rsidRPr="0051709F">
        <w:rPr>
          <w:rFonts w:cstheme="minorHAnsi"/>
        </w:rPr>
        <w:br w:type="page"/>
      </w:r>
    </w:p>
    <w:p w14:paraId="36934AB6"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4593676A"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026213BA"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739A450A"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373CBB6E"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090FADF5"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1518B462"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20F7D9AB"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7032A498"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18E28502"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5F125B77"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294AE73F" w14:textId="77777777" w:rsidR="00A81A42" w:rsidRDefault="00A81A42" w:rsidP="00A81A42"/>
    <w:p w14:paraId="4F0E7AFB" w14:textId="77777777" w:rsidR="00A81A42" w:rsidRPr="00A81A42" w:rsidRDefault="00A81A42" w:rsidP="00A81A42"/>
    <w:p w14:paraId="19B8286F" w14:textId="77777777" w:rsidR="00A81A42" w:rsidRDefault="00A81A42" w:rsidP="00A81A42">
      <w:pPr>
        <w:pStyle w:val="Ttulo1"/>
        <w:jc w:val="right"/>
        <w:rPr>
          <w:rFonts w:asciiTheme="minorHAnsi" w:hAnsiTheme="minorHAnsi" w:cstheme="minorHAnsi"/>
          <w:bCs/>
          <w:color w:val="1F4E79" w:themeColor="accent5" w:themeShade="80"/>
        </w:rPr>
      </w:pPr>
      <w:r w:rsidRPr="00A81A42">
        <w:rPr>
          <w:rFonts w:asciiTheme="minorHAnsi" w:hAnsiTheme="minorHAnsi" w:cstheme="minorHAnsi"/>
          <w:color w:val="1F4E79" w:themeColor="accent5" w:themeShade="80"/>
        </w:rPr>
        <w:t xml:space="preserve">#5. La </w:t>
      </w:r>
      <w:r w:rsidRPr="00A81A42">
        <w:rPr>
          <w:rFonts w:asciiTheme="minorHAnsi" w:hAnsiTheme="minorHAnsi" w:cstheme="minorHAnsi"/>
          <w:bCs/>
          <w:color w:val="1F4E79" w:themeColor="accent5" w:themeShade="80"/>
        </w:rPr>
        <w:t xml:space="preserve">Estrategia Nacional del Fomento del Deporte </w:t>
      </w:r>
    </w:p>
    <w:p w14:paraId="43988E17" w14:textId="328454DB" w:rsidR="00A81A42" w:rsidRPr="00A81A42" w:rsidRDefault="00A81A42" w:rsidP="00A81A42">
      <w:pPr>
        <w:pStyle w:val="Ttulo1"/>
        <w:jc w:val="right"/>
        <w:rPr>
          <w:rFonts w:asciiTheme="minorHAnsi" w:hAnsiTheme="minorHAnsi" w:cstheme="minorHAnsi"/>
          <w:b w:val="0"/>
          <w:bCs/>
          <w:color w:val="1F4E79" w:themeColor="accent5" w:themeShade="80"/>
        </w:rPr>
      </w:pPr>
      <w:r w:rsidRPr="00A81A42">
        <w:rPr>
          <w:rFonts w:asciiTheme="minorHAnsi" w:hAnsiTheme="minorHAnsi" w:cstheme="minorHAnsi"/>
          <w:bCs/>
          <w:color w:val="1F4E79" w:themeColor="accent5" w:themeShade="80"/>
        </w:rPr>
        <w:t>contra el Sedentarismo y la Inactividad Física</w:t>
      </w:r>
      <w:r w:rsidRPr="00A81A42">
        <w:rPr>
          <w:rFonts w:asciiTheme="minorHAnsi" w:hAnsiTheme="minorHAnsi" w:cstheme="minorHAnsi"/>
          <w:b w:val="0"/>
          <w:bCs/>
          <w:color w:val="1F4E79" w:themeColor="accent5" w:themeShade="80"/>
        </w:rPr>
        <w:t xml:space="preserve">: </w:t>
      </w:r>
    </w:p>
    <w:p w14:paraId="0D633960" w14:textId="7C6B8349" w:rsidR="00A81A42" w:rsidRPr="00A81A42" w:rsidRDefault="00A81A42" w:rsidP="00A81A42">
      <w:pPr>
        <w:pStyle w:val="Ttulo1"/>
        <w:jc w:val="right"/>
        <w:rPr>
          <w:rFonts w:asciiTheme="minorHAnsi" w:hAnsiTheme="minorHAnsi" w:cstheme="minorHAnsi"/>
          <w:color w:val="1F4E79" w:themeColor="accent5" w:themeShade="80"/>
        </w:rPr>
      </w:pPr>
      <w:r w:rsidRPr="00A81A42">
        <w:rPr>
          <w:rFonts w:asciiTheme="minorHAnsi" w:hAnsiTheme="minorHAnsi" w:cstheme="minorHAnsi"/>
          <w:color w:val="1F4E79" w:themeColor="accent5" w:themeShade="80"/>
        </w:rPr>
        <w:t>Visión, Misión y Declaración de principios rectores</w:t>
      </w:r>
    </w:p>
    <w:p w14:paraId="44BC0729" w14:textId="77777777" w:rsidR="00A81A42" w:rsidRPr="00A81A42" w:rsidRDefault="00A81A42" w:rsidP="00A81A42"/>
    <w:p w14:paraId="1C6297B8" w14:textId="77777777" w:rsidR="00A81A42" w:rsidRDefault="00A81A42" w:rsidP="00057F63">
      <w:pPr>
        <w:pStyle w:val="Ttulo1"/>
        <w:jc w:val="both"/>
        <w:rPr>
          <w:rFonts w:asciiTheme="minorHAnsi" w:hAnsiTheme="minorHAnsi" w:cstheme="minorHAnsi"/>
          <w:color w:val="1F4E79" w:themeColor="accent5" w:themeShade="80"/>
          <w:sz w:val="28"/>
          <w:szCs w:val="28"/>
        </w:rPr>
      </w:pPr>
    </w:p>
    <w:p w14:paraId="4DF59A21" w14:textId="77777777" w:rsidR="00A81A42" w:rsidRDefault="00A81A42" w:rsidP="00A81A42"/>
    <w:p w14:paraId="0216CDA9" w14:textId="77777777" w:rsidR="00A81A42" w:rsidRDefault="00A81A42" w:rsidP="00A81A42"/>
    <w:p w14:paraId="06C6BAD9" w14:textId="77777777" w:rsidR="00A81A42" w:rsidRDefault="00A81A42" w:rsidP="00A81A42"/>
    <w:p w14:paraId="0107A0AD" w14:textId="77777777" w:rsidR="00A81A42" w:rsidRDefault="00A81A42" w:rsidP="00A81A42"/>
    <w:p w14:paraId="0399665B" w14:textId="77777777" w:rsidR="00A81A42" w:rsidRDefault="00A81A42" w:rsidP="00A81A42"/>
    <w:p w14:paraId="0A7C1A47" w14:textId="77777777" w:rsidR="00A81A42" w:rsidRDefault="00A81A42" w:rsidP="00A81A42"/>
    <w:p w14:paraId="417CE85D" w14:textId="77777777" w:rsidR="00A81A42" w:rsidRDefault="00A81A42" w:rsidP="00A81A42"/>
    <w:p w14:paraId="257AD68B" w14:textId="77777777" w:rsidR="00A81A42" w:rsidRDefault="00A81A42" w:rsidP="00A81A42"/>
    <w:p w14:paraId="3BD98517" w14:textId="77777777" w:rsidR="00A81A42" w:rsidRDefault="00A81A42" w:rsidP="00A81A42"/>
    <w:p w14:paraId="29D26964" w14:textId="77777777" w:rsidR="00A81A42" w:rsidRDefault="00A81A42" w:rsidP="00A81A42"/>
    <w:p w14:paraId="192C43A0" w14:textId="77777777" w:rsidR="00A81A42" w:rsidRDefault="00A81A42" w:rsidP="00A81A42"/>
    <w:p w14:paraId="598FC045" w14:textId="77777777" w:rsidR="00A81A42" w:rsidRDefault="00A81A42" w:rsidP="00A81A42"/>
    <w:p w14:paraId="15F80A5A" w14:textId="77777777" w:rsidR="00A81A42" w:rsidRDefault="00A81A42" w:rsidP="00A81A42"/>
    <w:p w14:paraId="2F87893D" w14:textId="77777777" w:rsidR="00A81A42" w:rsidRPr="00A81A42" w:rsidRDefault="00A81A42" w:rsidP="00A81A42"/>
    <w:p w14:paraId="0E8B64B5" w14:textId="5E4BC8C8" w:rsidR="00057F63" w:rsidRPr="00057F63" w:rsidRDefault="00E85F5C" w:rsidP="00057F63">
      <w:pPr>
        <w:pStyle w:val="Ttulo1"/>
        <w:jc w:val="both"/>
        <w:rPr>
          <w:rFonts w:asciiTheme="minorHAnsi" w:hAnsiTheme="minorHAnsi" w:cstheme="minorHAnsi"/>
          <w:color w:val="1F4E79" w:themeColor="accent5" w:themeShade="80"/>
          <w:sz w:val="28"/>
          <w:szCs w:val="28"/>
        </w:rPr>
      </w:pPr>
      <w:r w:rsidRPr="00057F63">
        <w:rPr>
          <w:rFonts w:asciiTheme="minorHAnsi" w:hAnsiTheme="minorHAnsi" w:cstheme="minorHAnsi"/>
          <w:color w:val="1F4E79" w:themeColor="accent5" w:themeShade="80"/>
          <w:sz w:val="28"/>
          <w:szCs w:val="28"/>
        </w:rPr>
        <w:lastRenderedPageBreak/>
        <w:t>#</w:t>
      </w:r>
      <w:r w:rsidR="000D0F49">
        <w:rPr>
          <w:rFonts w:asciiTheme="minorHAnsi" w:hAnsiTheme="minorHAnsi" w:cstheme="minorHAnsi"/>
          <w:color w:val="1F4E79" w:themeColor="accent5" w:themeShade="80"/>
          <w:sz w:val="28"/>
          <w:szCs w:val="28"/>
        </w:rPr>
        <w:t>5</w:t>
      </w:r>
      <w:r w:rsidRPr="00057F63">
        <w:rPr>
          <w:rFonts w:asciiTheme="minorHAnsi" w:hAnsiTheme="minorHAnsi" w:cstheme="minorHAnsi"/>
          <w:color w:val="1F4E79" w:themeColor="accent5" w:themeShade="80"/>
          <w:sz w:val="28"/>
          <w:szCs w:val="28"/>
        </w:rPr>
        <w:t xml:space="preserve">. </w:t>
      </w:r>
      <w:r w:rsidR="000D0F49">
        <w:rPr>
          <w:rFonts w:asciiTheme="minorHAnsi" w:hAnsiTheme="minorHAnsi" w:cstheme="minorHAnsi"/>
          <w:color w:val="1F4E79" w:themeColor="accent5" w:themeShade="80"/>
          <w:sz w:val="28"/>
          <w:szCs w:val="28"/>
        </w:rPr>
        <w:t xml:space="preserve">La </w:t>
      </w:r>
      <w:r w:rsidR="00057F63" w:rsidRPr="00057F63">
        <w:rPr>
          <w:rFonts w:asciiTheme="minorHAnsi" w:hAnsiTheme="minorHAnsi" w:cstheme="minorHAnsi"/>
          <w:bCs/>
          <w:color w:val="1F4E79" w:themeColor="accent5" w:themeShade="80"/>
          <w:sz w:val="28"/>
          <w:szCs w:val="28"/>
        </w:rPr>
        <w:t>Estrategia Nacional del Fomento del Deporte contra el Sedentarismo y la Inactividad Física</w:t>
      </w:r>
      <w:r w:rsidR="00057F63" w:rsidRPr="00057F63">
        <w:rPr>
          <w:rFonts w:asciiTheme="minorHAnsi" w:hAnsiTheme="minorHAnsi" w:cstheme="minorHAnsi"/>
          <w:b w:val="0"/>
          <w:bCs/>
          <w:color w:val="1F4E79" w:themeColor="accent5" w:themeShade="80"/>
          <w:sz w:val="28"/>
          <w:szCs w:val="28"/>
        </w:rPr>
        <w:t xml:space="preserve">: </w:t>
      </w:r>
      <w:r w:rsidR="00057F63" w:rsidRPr="00057F63">
        <w:rPr>
          <w:rFonts w:asciiTheme="minorHAnsi" w:hAnsiTheme="minorHAnsi" w:cstheme="minorHAnsi"/>
          <w:color w:val="1F4E79" w:themeColor="accent5" w:themeShade="80"/>
          <w:sz w:val="28"/>
          <w:szCs w:val="28"/>
        </w:rPr>
        <w:t>Visión, Misión y Declaración de principios rectores</w:t>
      </w:r>
    </w:p>
    <w:p w14:paraId="6730F331" w14:textId="77777777" w:rsidR="00E85F5C" w:rsidRPr="00057F63" w:rsidRDefault="00E85F5C" w:rsidP="00057F63">
      <w:pPr>
        <w:jc w:val="both"/>
        <w:rPr>
          <w:rFonts w:cstheme="minorHAnsi"/>
          <w:b/>
          <w:bCs/>
          <w:color w:val="1F4E79" w:themeColor="accent5" w:themeShade="80"/>
          <w:lang w:val="es-ES_tradnl"/>
        </w:rPr>
      </w:pPr>
    </w:p>
    <w:p w14:paraId="5BEE9065" w14:textId="77777777" w:rsidR="00E85F5C" w:rsidRPr="0051709F" w:rsidRDefault="00E85F5C" w:rsidP="00E85F5C">
      <w:pPr>
        <w:jc w:val="both"/>
        <w:rPr>
          <w:rFonts w:cstheme="minorHAnsi"/>
          <w:b/>
          <w:bCs/>
          <w:color w:val="000000" w:themeColor="text1"/>
          <w:lang w:val="es-ES_tradnl"/>
        </w:rPr>
      </w:pPr>
      <w:r w:rsidRPr="0051709F">
        <w:rPr>
          <w:rFonts w:cstheme="minorHAnsi"/>
          <w:b/>
          <w:bCs/>
          <w:color w:val="000000" w:themeColor="text1"/>
          <w:lang w:val="es-ES_tradnl"/>
        </w:rPr>
        <w:t>Visión de la Estrategia Nacional:</w:t>
      </w:r>
    </w:p>
    <w:p w14:paraId="6A264B41" w14:textId="77777777" w:rsidR="00E85F5C" w:rsidRPr="0051709F" w:rsidRDefault="00E85F5C" w:rsidP="00E85F5C">
      <w:pPr>
        <w:jc w:val="both"/>
        <w:rPr>
          <w:rFonts w:cstheme="minorHAnsi"/>
          <w:color w:val="FF0000"/>
          <w:lang w:val="es-ES_tradnl"/>
        </w:rPr>
      </w:pPr>
    </w:p>
    <w:p w14:paraId="5A21F146" w14:textId="77777777" w:rsidR="00E85F5C" w:rsidRPr="0051709F" w:rsidRDefault="00E85F5C" w:rsidP="00E85F5C">
      <w:pPr>
        <w:jc w:val="both"/>
        <w:rPr>
          <w:rFonts w:cstheme="minorHAnsi"/>
          <w:color w:val="000000" w:themeColor="text1"/>
          <w:lang w:val="es-ES_tradnl"/>
        </w:rPr>
      </w:pPr>
      <w:r w:rsidRPr="0051709F">
        <w:rPr>
          <w:rFonts w:cstheme="minorHAnsi"/>
          <w:color w:val="000000" w:themeColor="text1"/>
          <w:lang w:val="es-ES_tradnl"/>
        </w:rPr>
        <w:t>El objetivo de esta Estrategia Nacional</w:t>
      </w:r>
      <w:r>
        <w:rPr>
          <w:rFonts w:cstheme="minorHAnsi"/>
          <w:color w:val="000000" w:themeColor="text1"/>
          <w:lang w:val="es-ES_tradnl"/>
        </w:rPr>
        <w:t>,</w:t>
      </w:r>
      <w:r w:rsidRPr="0051709F">
        <w:rPr>
          <w:rFonts w:cstheme="minorHAnsi"/>
          <w:color w:val="000000" w:themeColor="text1"/>
          <w:lang w:val="es-ES_tradnl"/>
        </w:rPr>
        <w:t xml:space="preserve"> y </w:t>
      </w:r>
      <w:r>
        <w:rPr>
          <w:rFonts w:cstheme="minorHAnsi"/>
          <w:color w:val="000000" w:themeColor="text1"/>
          <w:lang w:val="es-ES_tradnl"/>
        </w:rPr>
        <w:t>lo</w:t>
      </w:r>
      <w:r w:rsidRPr="0051709F">
        <w:rPr>
          <w:rFonts w:cstheme="minorHAnsi"/>
          <w:color w:val="000000" w:themeColor="text1"/>
          <w:lang w:val="es-ES_tradnl"/>
        </w:rPr>
        <w:t>s futuros plan</w:t>
      </w:r>
      <w:r>
        <w:rPr>
          <w:rFonts w:cstheme="minorHAnsi"/>
          <w:color w:val="000000" w:themeColor="text1"/>
          <w:lang w:val="es-ES_tradnl"/>
        </w:rPr>
        <w:t>e</w:t>
      </w:r>
      <w:r w:rsidRPr="0051709F">
        <w:rPr>
          <w:rFonts w:cstheme="minorHAnsi"/>
          <w:color w:val="000000" w:themeColor="text1"/>
          <w:lang w:val="es-ES_tradnl"/>
        </w:rPr>
        <w:t>s de acción asociados</w:t>
      </w:r>
      <w:r>
        <w:rPr>
          <w:rFonts w:cstheme="minorHAnsi"/>
          <w:color w:val="000000" w:themeColor="text1"/>
          <w:lang w:val="es-ES_tradnl"/>
        </w:rPr>
        <w:t xml:space="preserve"> a ésta,</w:t>
      </w:r>
      <w:r w:rsidRPr="0051709F">
        <w:rPr>
          <w:rFonts w:cstheme="minorHAnsi"/>
          <w:color w:val="000000" w:themeColor="text1"/>
          <w:lang w:val="es-ES_tradnl"/>
        </w:rPr>
        <w:t xml:space="preserve"> es aumentar los niveles de actividad física y práctica deportiva en</w:t>
      </w:r>
      <w:r>
        <w:rPr>
          <w:rFonts w:cstheme="minorHAnsi"/>
          <w:color w:val="000000" w:themeColor="text1"/>
          <w:lang w:val="es-ES_tradnl"/>
        </w:rPr>
        <w:t>tre</w:t>
      </w:r>
      <w:r w:rsidRPr="0051709F">
        <w:rPr>
          <w:rFonts w:cstheme="minorHAnsi"/>
          <w:color w:val="000000" w:themeColor="text1"/>
          <w:lang w:val="es-ES_tradnl"/>
        </w:rPr>
        <w:t xml:space="preserve"> la población, mejorando así la salud y el bienestar de las personas que viven en nuestro país. Un país en donde ser físicamente activo sea la norma y no el comportamiento extraordinario, y en donde sus </w:t>
      </w:r>
      <w:proofErr w:type="gramStart"/>
      <w:r w:rsidRPr="0051709F">
        <w:rPr>
          <w:rFonts w:cstheme="minorHAnsi"/>
          <w:color w:val="000000" w:themeColor="text1"/>
          <w:lang w:val="es-ES_tradnl"/>
        </w:rPr>
        <w:t>ciudadanas y ciudadanos</w:t>
      </w:r>
      <w:proofErr w:type="gramEnd"/>
      <w:r w:rsidRPr="0051709F">
        <w:rPr>
          <w:rFonts w:cstheme="minorHAnsi"/>
          <w:color w:val="000000" w:themeColor="text1"/>
          <w:lang w:val="es-ES_tradnl"/>
        </w:rPr>
        <w:t xml:space="preserve"> vivan en una sociedad que facilite, promueva y apoye un modo de vida activo y saludable.</w:t>
      </w:r>
    </w:p>
    <w:p w14:paraId="63320383" w14:textId="77777777" w:rsidR="00E85F5C" w:rsidRPr="0051709F" w:rsidRDefault="00E85F5C" w:rsidP="00E85F5C">
      <w:pPr>
        <w:jc w:val="both"/>
        <w:rPr>
          <w:rFonts w:cstheme="minorHAnsi"/>
          <w:color w:val="2E74B5" w:themeColor="accent5" w:themeShade="BF"/>
          <w:lang w:val="es-ES_tradnl"/>
        </w:rPr>
      </w:pPr>
    </w:p>
    <w:p w14:paraId="10BDA6D0" w14:textId="77777777" w:rsidR="00E85F5C" w:rsidRPr="0088331D" w:rsidRDefault="00E85F5C" w:rsidP="00E85F5C">
      <w:pPr>
        <w:pStyle w:val="Ttulo1"/>
        <w:spacing w:before="0"/>
        <w:jc w:val="both"/>
        <w:rPr>
          <w:rFonts w:asciiTheme="minorHAnsi" w:hAnsiTheme="minorHAnsi" w:cstheme="minorHAnsi"/>
          <w:color w:val="000000" w:themeColor="text1"/>
          <w:sz w:val="24"/>
          <w:szCs w:val="24"/>
          <w:shd w:val="clear" w:color="auto" w:fill="FFFFFF"/>
          <w:lang w:val="es-ES_tradnl"/>
        </w:rPr>
      </w:pPr>
      <w:r w:rsidRPr="0088331D">
        <w:rPr>
          <w:rFonts w:asciiTheme="minorHAnsi" w:hAnsiTheme="minorHAnsi" w:cstheme="minorHAnsi"/>
          <w:color w:val="000000" w:themeColor="text1"/>
          <w:sz w:val="24"/>
          <w:szCs w:val="24"/>
          <w:shd w:val="clear" w:color="auto" w:fill="FFFFFF"/>
          <w:lang w:val="es-ES_tradnl"/>
        </w:rPr>
        <w:t>Misión:</w:t>
      </w:r>
    </w:p>
    <w:p w14:paraId="56B53475" w14:textId="77777777" w:rsidR="00E85F5C" w:rsidRPr="0051709F" w:rsidRDefault="00E85F5C" w:rsidP="00E85F5C">
      <w:pPr>
        <w:rPr>
          <w:rFonts w:cstheme="minorHAnsi"/>
          <w:lang w:val="es-ES_tradnl"/>
        </w:rPr>
      </w:pPr>
    </w:p>
    <w:p w14:paraId="00AA3D81" w14:textId="77777777" w:rsidR="00E85F5C" w:rsidRPr="0051709F" w:rsidRDefault="00E85F5C" w:rsidP="00E85F5C">
      <w:pPr>
        <w:pStyle w:val="Ttulo1"/>
        <w:spacing w:before="0"/>
        <w:jc w:val="both"/>
        <w:rPr>
          <w:rFonts w:asciiTheme="minorHAnsi" w:eastAsiaTheme="minorEastAsia" w:hAnsiTheme="minorHAnsi" w:cstheme="minorHAnsi"/>
          <w:b w:val="0"/>
          <w:bCs/>
          <w:color w:val="000000" w:themeColor="text1"/>
          <w:sz w:val="24"/>
          <w:szCs w:val="24"/>
        </w:rPr>
      </w:pPr>
      <w:r w:rsidRPr="0051709F">
        <w:rPr>
          <w:rFonts w:asciiTheme="minorHAnsi" w:eastAsiaTheme="minorEastAsia" w:hAnsiTheme="minorHAnsi" w:cstheme="minorHAnsi"/>
          <w:b w:val="0"/>
          <w:bCs/>
          <w:color w:val="000000" w:themeColor="text1"/>
          <w:sz w:val="24"/>
          <w:szCs w:val="24"/>
        </w:rPr>
        <w:t>La misión -</w:t>
      </w:r>
      <w:r w:rsidRPr="0051709F">
        <w:rPr>
          <w:rFonts w:asciiTheme="minorHAnsi" w:eastAsiaTheme="minorEastAsia" w:hAnsiTheme="minorHAnsi" w:cstheme="minorHAnsi"/>
          <w:b w:val="0"/>
          <w:bCs/>
          <w:i/>
          <w:iCs/>
          <w:color w:val="000000" w:themeColor="text1"/>
          <w:sz w:val="24"/>
          <w:szCs w:val="24"/>
        </w:rPr>
        <w:t>la razón de ser</w:t>
      </w:r>
      <w:r w:rsidRPr="0051709F">
        <w:rPr>
          <w:rFonts w:asciiTheme="minorHAnsi" w:eastAsiaTheme="minorEastAsia" w:hAnsiTheme="minorHAnsi" w:cstheme="minorHAnsi"/>
          <w:b w:val="0"/>
          <w:bCs/>
          <w:color w:val="000000" w:themeColor="text1"/>
          <w:sz w:val="24"/>
          <w:szCs w:val="24"/>
        </w:rPr>
        <w:t xml:space="preserve">- de esta </w:t>
      </w:r>
      <w:r w:rsidRPr="0051709F">
        <w:rPr>
          <w:rFonts w:asciiTheme="minorHAnsi" w:hAnsiTheme="minorHAnsi" w:cstheme="minorHAnsi"/>
          <w:b w:val="0"/>
          <w:bCs/>
          <w:color w:val="000000" w:themeColor="text1"/>
          <w:sz w:val="24"/>
          <w:szCs w:val="24"/>
        </w:rPr>
        <w:t xml:space="preserve">Estrategia Nacional </w:t>
      </w:r>
      <w:r w:rsidRPr="0051709F">
        <w:rPr>
          <w:rFonts w:asciiTheme="minorHAnsi" w:eastAsiaTheme="minorEastAsia" w:hAnsiTheme="minorHAnsi" w:cstheme="minorHAnsi"/>
          <w:b w:val="0"/>
          <w:bCs/>
          <w:color w:val="000000" w:themeColor="text1"/>
          <w:sz w:val="24"/>
          <w:szCs w:val="24"/>
        </w:rPr>
        <w:t>será disponer de una herramienta de análisis permanente de la realidad de la práctica de la actividad física y deportiva para el conjunto de la población española, que permita poner en marcha diversas medidas y acciones concretas.</w:t>
      </w:r>
    </w:p>
    <w:p w14:paraId="1E063EE7" w14:textId="77777777" w:rsidR="00E85F5C" w:rsidRPr="0051709F" w:rsidRDefault="00E85F5C" w:rsidP="00E85F5C">
      <w:pPr>
        <w:rPr>
          <w:rFonts w:cstheme="minorHAnsi"/>
        </w:rPr>
      </w:pPr>
    </w:p>
    <w:p w14:paraId="70A7F0DE" w14:textId="77777777" w:rsidR="00E85F5C" w:rsidRPr="0088331D" w:rsidRDefault="00E85F5C" w:rsidP="00E85F5C">
      <w:pPr>
        <w:pStyle w:val="Ttulo1"/>
        <w:spacing w:before="0"/>
        <w:jc w:val="both"/>
        <w:rPr>
          <w:rFonts w:asciiTheme="minorHAnsi" w:hAnsiTheme="minorHAnsi" w:cstheme="minorHAnsi"/>
          <w:color w:val="000000" w:themeColor="text1"/>
          <w:sz w:val="24"/>
          <w:szCs w:val="24"/>
          <w:shd w:val="clear" w:color="auto" w:fill="FFFFFF"/>
          <w:lang w:val="es-ES_tradnl"/>
        </w:rPr>
      </w:pPr>
      <w:r w:rsidRPr="0088331D">
        <w:rPr>
          <w:rFonts w:asciiTheme="minorHAnsi" w:hAnsiTheme="minorHAnsi" w:cstheme="minorHAnsi"/>
          <w:color w:val="000000" w:themeColor="text1"/>
          <w:sz w:val="24"/>
          <w:szCs w:val="24"/>
          <w:shd w:val="clear" w:color="auto" w:fill="FFFFFF"/>
          <w:lang w:val="es-ES_tradnl"/>
        </w:rPr>
        <w:t>Principios rectores de la Estrategia Nacional:</w:t>
      </w:r>
    </w:p>
    <w:p w14:paraId="75D06EE4" w14:textId="77777777" w:rsidR="00E85F5C" w:rsidRPr="0051709F" w:rsidRDefault="00E85F5C" w:rsidP="00E85F5C">
      <w:pPr>
        <w:rPr>
          <w:rFonts w:cstheme="minorHAnsi"/>
          <w:color w:val="000000" w:themeColor="text1"/>
          <w:lang w:val="es-ES_tradnl"/>
        </w:rPr>
      </w:pPr>
    </w:p>
    <w:p w14:paraId="583B1B2F" w14:textId="77777777" w:rsidR="00E85F5C" w:rsidRPr="0051709F" w:rsidRDefault="00E85F5C" w:rsidP="00E85F5C">
      <w:pPr>
        <w:jc w:val="both"/>
        <w:rPr>
          <w:rFonts w:cstheme="minorHAnsi"/>
          <w:lang w:val="es-ES_tradnl"/>
        </w:rPr>
      </w:pPr>
      <w:r w:rsidRPr="0051709F">
        <w:rPr>
          <w:rFonts w:cstheme="minorHAnsi"/>
          <w:lang w:val="es-ES_tradnl"/>
        </w:rPr>
        <w:t xml:space="preserve">Aunque la mayoría de la población ya es consciente y reconoce que la práctica regular de actividad física y/o deportes es positiva, muchas personas encuentran serios obstáculos y barreras para acceder a oportunidades para incorporarla a su estilo de vida. De hecho, tanto las personas en situación de </w:t>
      </w:r>
      <w:r>
        <w:rPr>
          <w:rFonts w:cstheme="minorHAnsi"/>
          <w:lang w:val="es-ES_tradnl"/>
        </w:rPr>
        <w:t>vulnerabilidad</w:t>
      </w:r>
      <w:r w:rsidRPr="0051709F">
        <w:rPr>
          <w:rFonts w:cstheme="minorHAnsi"/>
          <w:lang w:val="es-ES_tradnl"/>
        </w:rPr>
        <w:t xml:space="preserve"> social o económica</w:t>
      </w:r>
      <w:r>
        <w:rPr>
          <w:rFonts w:cstheme="minorHAnsi"/>
          <w:lang w:val="es-ES_tradnl"/>
        </w:rPr>
        <w:t>,</w:t>
      </w:r>
      <w:r w:rsidRPr="0051709F">
        <w:rPr>
          <w:rFonts w:cstheme="minorHAnsi"/>
          <w:lang w:val="es-ES_tradnl"/>
        </w:rPr>
        <w:t xml:space="preserve"> como las mujeres</w:t>
      </w:r>
      <w:r>
        <w:rPr>
          <w:rFonts w:cstheme="minorHAnsi"/>
          <w:lang w:val="es-ES_tradnl"/>
        </w:rPr>
        <w:t xml:space="preserve"> debido a las cargas adicionales,</w:t>
      </w:r>
      <w:r w:rsidRPr="0051709F">
        <w:rPr>
          <w:rFonts w:cstheme="minorHAnsi"/>
          <w:lang w:val="es-ES_tradnl"/>
        </w:rPr>
        <w:t xml:space="preserve"> suelen ser las menos activas o las más sedentarias, y pueden sufrir riesgos para la salud debido a su dieta, sus relaciones sociales u otros comportamientos. </w:t>
      </w:r>
    </w:p>
    <w:p w14:paraId="6E8ECBBD" w14:textId="77777777" w:rsidR="00E85F5C" w:rsidRPr="0051709F" w:rsidRDefault="00E85F5C" w:rsidP="00E85F5C">
      <w:pPr>
        <w:jc w:val="both"/>
        <w:rPr>
          <w:rFonts w:cstheme="minorHAnsi"/>
          <w:lang w:val="es-ES_tradnl"/>
        </w:rPr>
      </w:pPr>
    </w:p>
    <w:p w14:paraId="772B008D" w14:textId="77777777" w:rsidR="00E85F5C" w:rsidRPr="0051709F" w:rsidRDefault="00E85F5C" w:rsidP="00E85F5C">
      <w:pPr>
        <w:jc w:val="both"/>
        <w:rPr>
          <w:rFonts w:cstheme="minorHAnsi"/>
          <w:lang w:val="es-ES_tradnl"/>
        </w:rPr>
      </w:pPr>
      <w:r w:rsidRPr="0051709F">
        <w:rPr>
          <w:rFonts w:cstheme="minorHAnsi"/>
          <w:lang w:val="es-ES_tradnl"/>
        </w:rPr>
        <w:t>Esta Estrategia Nacional pretende</w:t>
      </w:r>
      <w:r>
        <w:rPr>
          <w:rFonts w:cstheme="minorHAnsi"/>
          <w:lang w:val="es-ES_tradnl"/>
        </w:rPr>
        <w:t>,</w:t>
      </w:r>
      <w:r w:rsidRPr="0051709F">
        <w:rPr>
          <w:rFonts w:cstheme="minorHAnsi"/>
          <w:lang w:val="es-ES_tradnl"/>
        </w:rPr>
        <w:t xml:space="preserve"> por tanto</w:t>
      </w:r>
      <w:r>
        <w:rPr>
          <w:rFonts w:cstheme="minorHAnsi"/>
          <w:lang w:val="es-ES_tradnl"/>
        </w:rPr>
        <w:t>,</w:t>
      </w:r>
      <w:r w:rsidRPr="0051709F">
        <w:rPr>
          <w:rFonts w:cstheme="minorHAnsi"/>
          <w:lang w:val="es-ES_tradnl"/>
        </w:rPr>
        <w:t xml:space="preserve"> garantizar que ningún grupo de población se vea desfavorecido en su acceso a es</w:t>
      </w:r>
      <w:r>
        <w:rPr>
          <w:rFonts w:cstheme="minorHAnsi"/>
          <w:lang w:val="es-ES_tradnl"/>
        </w:rPr>
        <w:t>t</w:t>
      </w:r>
      <w:r w:rsidRPr="0051709F">
        <w:rPr>
          <w:rFonts w:cstheme="minorHAnsi"/>
          <w:lang w:val="es-ES_tradnl"/>
        </w:rPr>
        <w:t>as oportunidades, y reconoce</w:t>
      </w:r>
      <w:r>
        <w:rPr>
          <w:rFonts w:cstheme="minorHAnsi"/>
          <w:lang w:val="es-ES_tradnl"/>
        </w:rPr>
        <w:t>,</w:t>
      </w:r>
      <w:r w:rsidRPr="0051709F">
        <w:rPr>
          <w:rFonts w:cstheme="minorHAnsi"/>
          <w:lang w:val="es-ES_tradnl"/>
        </w:rPr>
        <w:t xml:space="preserve"> a su vez</w:t>
      </w:r>
      <w:r>
        <w:rPr>
          <w:rFonts w:cstheme="minorHAnsi"/>
          <w:lang w:val="es-ES_tradnl"/>
        </w:rPr>
        <w:t>,</w:t>
      </w:r>
      <w:r w:rsidRPr="0051709F">
        <w:rPr>
          <w:rFonts w:cstheme="minorHAnsi"/>
          <w:lang w:val="es-ES_tradnl"/>
        </w:rPr>
        <w:t xml:space="preserve"> que son necesarias una serie de intervenciones </w:t>
      </w:r>
      <w:r>
        <w:rPr>
          <w:rFonts w:cstheme="minorHAnsi"/>
          <w:lang w:val="es-ES_tradnl"/>
        </w:rPr>
        <w:t xml:space="preserve">públicas </w:t>
      </w:r>
      <w:r w:rsidRPr="0051709F">
        <w:rPr>
          <w:rFonts w:cstheme="minorHAnsi"/>
          <w:lang w:val="es-ES_tradnl"/>
        </w:rPr>
        <w:t xml:space="preserve">específicas para abordar y superar las barreras </w:t>
      </w:r>
      <w:r>
        <w:rPr>
          <w:rFonts w:cstheme="minorHAnsi"/>
          <w:lang w:val="es-ES_tradnl"/>
        </w:rPr>
        <w:t>en</w:t>
      </w:r>
      <w:r w:rsidRPr="0051709F">
        <w:rPr>
          <w:rFonts w:cstheme="minorHAnsi"/>
          <w:lang w:val="es-ES_tradnl"/>
        </w:rPr>
        <w:t xml:space="preserve"> la participación que experimentan algunos colectivos personas</w:t>
      </w:r>
      <w:r>
        <w:rPr>
          <w:rFonts w:cstheme="minorHAnsi"/>
          <w:lang w:val="es-ES_tradnl"/>
        </w:rPr>
        <w:t xml:space="preserve"> en la práctica deportiva</w:t>
      </w:r>
      <w:r w:rsidRPr="0051709F">
        <w:rPr>
          <w:rFonts w:cstheme="minorHAnsi"/>
          <w:lang w:val="es-ES_tradnl"/>
        </w:rPr>
        <w:t xml:space="preserve">. </w:t>
      </w:r>
    </w:p>
    <w:p w14:paraId="47C11AD5" w14:textId="77777777" w:rsidR="00E85F5C" w:rsidRPr="0051709F" w:rsidRDefault="00E85F5C" w:rsidP="00E85F5C">
      <w:pPr>
        <w:jc w:val="both"/>
        <w:rPr>
          <w:rFonts w:cstheme="minorHAnsi"/>
          <w:lang w:val="es-ES_tradnl"/>
        </w:rPr>
      </w:pPr>
    </w:p>
    <w:p w14:paraId="562F2FB9" w14:textId="77777777" w:rsidR="00E85F5C" w:rsidRPr="0051709F" w:rsidRDefault="00E85F5C" w:rsidP="00E85F5C">
      <w:pPr>
        <w:jc w:val="both"/>
        <w:rPr>
          <w:rFonts w:cstheme="minorHAnsi"/>
          <w:color w:val="000000" w:themeColor="text1"/>
          <w:lang w:val="es-ES_tradnl"/>
        </w:rPr>
      </w:pPr>
      <w:r w:rsidRPr="0051709F">
        <w:rPr>
          <w:rFonts w:cstheme="minorHAnsi"/>
          <w:lang w:val="es-ES_tradnl"/>
        </w:rPr>
        <w:t>Así, y como ya s</w:t>
      </w:r>
      <w:r>
        <w:rPr>
          <w:rFonts w:cstheme="minorHAnsi"/>
          <w:lang w:val="es-ES_tradnl"/>
        </w:rPr>
        <w:t>e señalaba</w:t>
      </w:r>
      <w:r w:rsidRPr="0051709F">
        <w:rPr>
          <w:rFonts w:cstheme="minorHAnsi"/>
          <w:lang w:val="es-ES_tradnl"/>
        </w:rPr>
        <w:t xml:space="preserve"> en el resumen ejecutivo, </w:t>
      </w:r>
      <w:r w:rsidRPr="0051709F">
        <w:rPr>
          <w:rFonts w:cstheme="minorHAnsi"/>
          <w:color w:val="000000" w:themeColor="text1"/>
          <w:lang w:val="es-ES_tradnl"/>
        </w:rPr>
        <w:t>existen dos criterios de desarrollo e implementación fundamentales a la hora de priorizar las actuaciones en cualquier ámbito de intervención de esta Estrategia Nacional</w:t>
      </w:r>
      <w:r>
        <w:rPr>
          <w:rFonts w:cstheme="minorHAnsi"/>
          <w:color w:val="000000" w:themeColor="text1"/>
          <w:lang w:val="es-ES_tradnl"/>
        </w:rPr>
        <w:t xml:space="preserve">: así, </w:t>
      </w:r>
      <w:r w:rsidRPr="0051709F">
        <w:rPr>
          <w:rFonts w:cstheme="minorHAnsi"/>
          <w:color w:val="000000" w:themeColor="text1"/>
          <w:lang w:val="es-ES_tradnl"/>
        </w:rPr>
        <w:t xml:space="preserve">todas las áreas de intervención deben </w:t>
      </w:r>
      <w:r w:rsidRPr="0051709F">
        <w:rPr>
          <w:rFonts w:cstheme="minorHAnsi"/>
          <w:b/>
          <w:bCs/>
          <w:color w:val="000000" w:themeColor="text1"/>
          <w:lang w:val="es-ES_tradnl"/>
        </w:rPr>
        <w:t xml:space="preserve">priorizar actuaciones orientadas </w:t>
      </w:r>
      <w:r>
        <w:rPr>
          <w:rFonts w:cstheme="minorHAnsi"/>
          <w:b/>
          <w:bCs/>
          <w:color w:val="000000" w:themeColor="text1"/>
          <w:lang w:val="es-ES_tradnl"/>
        </w:rPr>
        <w:t>que reduzcan</w:t>
      </w:r>
      <w:r w:rsidRPr="0051709F">
        <w:rPr>
          <w:rFonts w:cstheme="minorHAnsi"/>
          <w:b/>
          <w:bCs/>
          <w:color w:val="000000" w:themeColor="text1"/>
          <w:lang w:val="es-ES_tradnl"/>
        </w:rPr>
        <w:t xml:space="preserve"> la brecha de género y las desigualdades sociales</w:t>
      </w:r>
      <w:r w:rsidRPr="0051709F">
        <w:rPr>
          <w:rFonts w:cstheme="minorHAnsi"/>
          <w:color w:val="000000" w:themeColor="text1"/>
          <w:lang w:val="es-ES_tradnl"/>
        </w:rPr>
        <w:t xml:space="preserve">. De esta forma, la estrategia propuesta es por definición asimétrica, atendiendo a la estructura social de nuestro país y a estos dos retos críticos para nuestro futuro. </w:t>
      </w:r>
    </w:p>
    <w:p w14:paraId="6B46BDF2" w14:textId="77777777" w:rsidR="00E85F5C" w:rsidRPr="0051709F" w:rsidRDefault="00E85F5C" w:rsidP="00E85F5C">
      <w:pPr>
        <w:jc w:val="both"/>
        <w:rPr>
          <w:rFonts w:cstheme="minorHAnsi"/>
          <w:lang w:val="es-ES_tradnl"/>
        </w:rPr>
      </w:pPr>
    </w:p>
    <w:p w14:paraId="13F1E2C7" w14:textId="77777777" w:rsidR="00E85F5C" w:rsidRPr="0051709F" w:rsidRDefault="00E85F5C" w:rsidP="00E85F5C">
      <w:pPr>
        <w:jc w:val="both"/>
        <w:rPr>
          <w:rFonts w:cstheme="minorHAnsi"/>
          <w:lang w:val="es-ES_tradnl"/>
        </w:rPr>
      </w:pPr>
      <w:r>
        <w:rPr>
          <w:rFonts w:cstheme="minorHAnsi"/>
          <w:lang w:val="es-ES_tradnl"/>
        </w:rPr>
        <w:t>L</w:t>
      </w:r>
      <w:r w:rsidRPr="0051709F">
        <w:rPr>
          <w:rFonts w:cstheme="minorHAnsi"/>
          <w:lang w:val="es-ES_tradnl"/>
        </w:rPr>
        <w:t xml:space="preserve">a Estrategia Nacional no se limita a indicar </w:t>
      </w:r>
      <w:r>
        <w:rPr>
          <w:rFonts w:cstheme="minorHAnsi"/>
          <w:lang w:val="es-ES_tradnl"/>
        </w:rPr>
        <w:t>la necesidad de</w:t>
      </w:r>
      <w:r w:rsidRPr="0051709F">
        <w:rPr>
          <w:rFonts w:cstheme="minorHAnsi"/>
          <w:lang w:val="es-ES_tradnl"/>
        </w:rPr>
        <w:t xml:space="preserve"> pasar a la acción de una manera más directa, contundente y positiva en la promoción de un estilo de vida activo entre los españoles, sino que trata de: </w:t>
      </w:r>
    </w:p>
    <w:p w14:paraId="4195BB7E" w14:textId="77777777" w:rsidR="00E85F5C" w:rsidRPr="0051709F" w:rsidRDefault="00E85F5C" w:rsidP="00E85F5C">
      <w:pPr>
        <w:jc w:val="both"/>
        <w:rPr>
          <w:rFonts w:cstheme="minorHAnsi"/>
          <w:lang w:val="es-ES_tradnl"/>
        </w:rPr>
      </w:pPr>
    </w:p>
    <w:p w14:paraId="2846AA64" w14:textId="77777777" w:rsidR="00E85F5C" w:rsidRPr="0051709F" w:rsidRDefault="00E85F5C" w:rsidP="00E85F5C">
      <w:pPr>
        <w:pStyle w:val="Prrafodelista"/>
        <w:numPr>
          <w:ilvl w:val="0"/>
          <w:numId w:val="87"/>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 xml:space="preserve">Crear más y mejores oportunidades para que las personas sean activas, adaptando </w:t>
      </w:r>
      <w:r>
        <w:rPr>
          <w:rFonts w:asciiTheme="minorHAnsi" w:hAnsiTheme="minorHAnsi" w:cstheme="minorHAnsi"/>
          <w:sz w:val="24"/>
          <w:szCs w:val="24"/>
          <w:lang w:val="es-ES_tradnl"/>
        </w:rPr>
        <w:t>las</w:t>
      </w:r>
      <w:r w:rsidRPr="0051709F">
        <w:rPr>
          <w:rFonts w:asciiTheme="minorHAnsi" w:hAnsiTheme="minorHAnsi" w:cstheme="minorHAnsi"/>
          <w:sz w:val="24"/>
          <w:szCs w:val="24"/>
          <w:lang w:val="es-ES_tradnl"/>
        </w:rPr>
        <w:t xml:space="preserve"> propuestas y acciones </w:t>
      </w:r>
      <w:r>
        <w:rPr>
          <w:rFonts w:asciiTheme="minorHAnsi" w:hAnsiTheme="minorHAnsi" w:cstheme="minorHAnsi"/>
          <w:sz w:val="24"/>
          <w:szCs w:val="24"/>
          <w:lang w:val="es-ES_tradnl"/>
        </w:rPr>
        <w:t xml:space="preserve">descritas </w:t>
      </w:r>
      <w:r w:rsidRPr="0051709F">
        <w:rPr>
          <w:rFonts w:asciiTheme="minorHAnsi" w:hAnsiTheme="minorHAnsi" w:cstheme="minorHAnsi"/>
          <w:sz w:val="24"/>
          <w:szCs w:val="24"/>
          <w:lang w:val="es-ES_tradnl"/>
        </w:rPr>
        <w:t xml:space="preserve">a la vida cotidiana y a las necesidades, circunstancias e intereses </w:t>
      </w:r>
      <w:r>
        <w:rPr>
          <w:rFonts w:asciiTheme="minorHAnsi" w:hAnsiTheme="minorHAnsi" w:cstheme="minorHAnsi"/>
          <w:sz w:val="24"/>
          <w:szCs w:val="24"/>
          <w:lang w:val="es-ES_tradnl"/>
        </w:rPr>
        <w:t>del conjunto de la ciudadanía;</w:t>
      </w:r>
      <w:r w:rsidRPr="0051709F">
        <w:rPr>
          <w:rFonts w:asciiTheme="minorHAnsi" w:hAnsiTheme="minorHAnsi" w:cstheme="minorHAnsi"/>
          <w:sz w:val="24"/>
          <w:szCs w:val="24"/>
          <w:lang w:val="es-ES_tradnl"/>
        </w:rPr>
        <w:t xml:space="preserve"> </w:t>
      </w:r>
    </w:p>
    <w:p w14:paraId="3A037B18" w14:textId="77777777" w:rsidR="00E85F5C" w:rsidRPr="0051709F" w:rsidRDefault="00E85F5C" w:rsidP="00E85F5C">
      <w:pPr>
        <w:pStyle w:val="Prrafodelista"/>
        <w:jc w:val="both"/>
        <w:rPr>
          <w:rFonts w:asciiTheme="minorHAnsi" w:hAnsiTheme="minorHAnsi" w:cstheme="minorHAnsi"/>
          <w:sz w:val="24"/>
          <w:szCs w:val="24"/>
          <w:lang w:val="es-ES_tradnl"/>
        </w:rPr>
      </w:pPr>
    </w:p>
    <w:p w14:paraId="32962D79" w14:textId="77777777" w:rsidR="00E85F5C" w:rsidRPr="0051709F" w:rsidRDefault="00E85F5C" w:rsidP="00E85F5C">
      <w:pPr>
        <w:pStyle w:val="Prrafodelista"/>
        <w:numPr>
          <w:ilvl w:val="0"/>
          <w:numId w:val="87"/>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Identificar y eliminar aquellas barreras a las que se enfrentan las personas para ser activas, orientándoles a reconocer cómo superar esas barreras;</w:t>
      </w:r>
    </w:p>
    <w:p w14:paraId="465B480F" w14:textId="77777777" w:rsidR="00E85F5C" w:rsidRPr="0051709F" w:rsidRDefault="00E85F5C" w:rsidP="00E85F5C">
      <w:pPr>
        <w:jc w:val="both"/>
        <w:rPr>
          <w:rFonts w:cstheme="minorHAnsi"/>
          <w:lang w:val="es-ES_tradnl"/>
        </w:rPr>
      </w:pPr>
    </w:p>
    <w:p w14:paraId="36E83DC4" w14:textId="77777777" w:rsidR="00E85F5C" w:rsidRPr="0051709F" w:rsidRDefault="00E85F5C" w:rsidP="00E85F5C">
      <w:pPr>
        <w:pStyle w:val="Prrafodelista"/>
        <w:numPr>
          <w:ilvl w:val="0"/>
          <w:numId w:val="87"/>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Mejorar la cooperación sectorial a nivel nacional, regional, local y comunitario</w:t>
      </w:r>
      <w:r>
        <w:rPr>
          <w:rFonts w:asciiTheme="minorHAnsi" w:hAnsiTheme="minorHAnsi" w:cstheme="minorHAnsi"/>
          <w:sz w:val="24"/>
          <w:szCs w:val="24"/>
          <w:lang w:val="es-ES_tradnl"/>
        </w:rPr>
        <w:t>,</w:t>
      </w:r>
      <w:r w:rsidRPr="0051709F">
        <w:rPr>
          <w:rFonts w:asciiTheme="minorHAnsi" w:hAnsiTheme="minorHAnsi" w:cstheme="minorHAnsi"/>
          <w:sz w:val="24"/>
          <w:szCs w:val="24"/>
          <w:lang w:val="es-ES_tradnl"/>
        </w:rPr>
        <w:t xml:space="preserve"> para fomentar la práctica de</w:t>
      </w:r>
      <w:r>
        <w:rPr>
          <w:rFonts w:asciiTheme="minorHAnsi" w:hAnsiTheme="minorHAnsi" w:cstheme="minorHAnsi"/>
          <w:sz w:val="24"/>
          <w:szCs w:val="24"/>
          <w:lang w:val="es-ES_tradnl"/>
        </w:rPr>
        <w:t xml:space="preserve"> la</w:t>
      </w:r>
      <w:r w:rsidRPr="0051709F">
        <w:rPr>
          <w:rFonts w:asciiTheme="minorHAnsi" w:hAnsiTheme="minorHAnsi" w:cstheme="minorHAnsi"/>
          <w:sz w:val="24"/>
          <w:szCs w:val="24"/>
          <w:lang w:val="es-ES_tradnl"/>
        </w:rPr>
        <w:t xml:space="preserve"> actividad física y </w:t>
      </w:r>
      <w:r>
        <w:rPr>
          <w:rFonts w:asciiTheme="minorHAnsi" w:hAnsiTheme="minorHAnsi" w:cstheme="minorHAnsi"/>
          <w:sz w:val="24"/>
          <w:szCs w:val="24"/>
          <w:lang w:val="es-ES_tradnl"/>
        </w:rPr>
        <w:t xml:space="preserve">del </w:t>
      </w:r>
      <w:r w:rsidRPr="0051709F">
        <w:rPr>
          <w:rFonts w:asciiTheme="minorHAnsi" w:hAnsiTheme="minorHAnsi" w:cstheme="minorHAnsi"/>
          <w:sz w:val="24"/>
          <w:szCs w:val="24"/>
          <w:lang w:val="es-ES_tradnl"/>
        </w:rPr>
        <w:t xml:space="preserve">deporte a todos los niveles; </w:t>
      </w:r>
    </w:p>
    <w:p w14:paraId="06966BA3" w14:textId="77777777" w:rsidR="00E85F5C" w:rsidRPr="0051709F" w:rsidRDefault="00E85F5C" w:rsidP="00E85F5C">
      <w:pPr>
        <w:jc w:val="both"/>
        <w:rPr>
          <w:rFonts w:cstheme="minorHAnsi"/>
          <w:lang w:val="es-ES_tradnl"/>
        </w:rPr>
      </w:pPr>
    </w:p>
    <w:p w14:paraId="53AC011D" w14:textId="77777777" w:rsidR="00E85F5C" w:rsidRPr="0051709F" w:rsidRDefault="00E85F5C" w:rsidP="00E85F5C">
      <w:pPr>
        <w:pStyle w:val="Prrafodelista"/>
        <w:numPr>
          <w:ilvl w:val="0"/>
          <w:numId w:val="87"/>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Fomentar un entorno de apoyo positivo en el que la actividad física y el deporte se conviertan en comportamientos normalizados;</w:t>
      </w:r>
    </w:p>
    <w:p w14:paraId="08B39885" w14:textId="77777777" w:rsidR="00E85F5C" w:rsidRPr="0051709F" w:rsidRDefault="00E85F5C" w:rsidP="00E85F5C">
      <w:pPr>
        <w:jc w:val="both"/>
        <w:rPr>
          <w:rFonts w:cstheme="minorHAnsi"/>
          <w:lang w:val="es-ES_tradnl"/>
        </w:rPr>
      </w:pPr>
    </w:p>
    <w:p w14:paraId="6CEED7C4" w14:textId="77777777" w:rsidR="00E85F5C" w:rsidRPr="0051709F" w:rsidRDefault="00E85F5C" w:rsidP="00E85F5C">
      <w:pPr>
        <w:pStyle w:val="Prrafodelista"/>
        <w:numPr>
          <w:ilvl w:val="0"/>
          <w:numId w:val="87"/>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Promover las buenas prácticas y reconocer y visibilizar nuevos modelos de participación que promuevan y faciliten de forma sostenible que más personas sean activas en su día a día.</w:t>
      </w:r>
    </w:p>
    <w:p w14:paraId="21D875E9" w14:textId="77777777" w:rsidR="00E85F5C" w:rsidRPr="0051709F" w:rsidRDefault="00E85F5C" w:rsidP="00E85F5C">
      <w:pPr>
        <w:jc w:val="both"/>
        <w:rPr>
          <w:rFonts w:cstheme="minorHAnsi"/>
          <w:lang w:val="es-ES_tradnl"/>
        </w:rPr>
      </w:pPr>
    </w:p>
    <w:p w14:paraId="0830414B" w14:textId="77777777" w:rsidR="00E85F5C" w:rsidRPr="0051709F" w:rsidRDefault="00E85F5C" w:rsidP="00E85F5C">
      <w:pPr>
        <w:jc w:val="both"/>
        <w:rPr>
          <w:rFonts w:cstheme="minorHAnsi"/>
          <w:color w:val="000000" w:themeColor="text1"/>
        </w:rPr>
      </w:pPr>
      <w:r w:rsidRPr="0051709F">
        <w:rPr>
          <w:rFonts w:cstheme="minorHAnsi"/>
          <w:lang w:val="es-ES_tradnl"/>
        </w:rPr>
        <w:t>Esta propuesta de estrategia ha sido desarrollada por un grupo de expertos de los ámbitos científico, académico y técnico</w:t>
      </w:r>
      <w:r>
        <w:rPr>
          <w:rFonts w:cstheme="minorHAnsi"/>
          <w:lang w:val="es-ES_tradnl"/>
        </w:rPr>
        <w:t>,</w:t>
      </w:r>
      <w:r w:rsidRPr="0051709F">
        <w:rPr>
          <w:rFonts w:cstheme="minorHAnsi"/>
          <w:lang w:val="es-ES_tradnl"/>
        </w:rPr>
        <w:t xml:space="preserve"> que se ha basado fundamentalmente </w:t>
      </w:r>
      <w:r w:rsidRPr="0051709F">
        <w:rPr>
          <w:rFonts w:cstheme="minorHAnsi"/>
          <w:color w:val="000000" w:themeColor="text1"/>
        </w:rPr>
        <w:t>en los marcos de referencia internacionales vigentes y en la revisión y análisis de las evidencias más actualizadas. De hecho, su</w:t>
      </w:r>
      <w:r w:rsidRPr="0051709F">
        <w:rPr>
          <w:rFonts w:cstheme="minorHAnsi"/>
          <w:lang w:val="es-ES_tradnl"/>
        </w:rPr>
        <w:t xml:space="preserve">s principios son coherentes con </w:t>
      </w:r>
      <w:r w:rsidRPr="0051709F">
        <w:rPr>
          <w:rFonts w:cstheme="minorHAnsi"/>
          <w:color w:val="000000" w:themeColor="text1"/>
        </w:rPr>
        <w:t xml:space="preserve">las </w:t>
      </w:r>
      <w:r w:rsidRPr="0051709F">
        <w:rPr>
          <w:rFonts w:cstheme="minorHAnsi"/>
          <w:i/>
          <w:iCs/>
          <w:color w:val="000000" w:themeColor="text1"/>
        </w:rPr>
        <w:t>Directrices de la Organización Mundial de la Salud (OMS) sobre la Actividad Física y el Sedentarismo</w:t>
      </w:r>
      <w:r w:rsidRPr="0051709F">
        <w:rPr>
          <w:rFonts w:cstheme="minorHAnsi"/>
          <w:color w:val="000000" w:themeColor="text1"/>
        </w:rPr>
        <w:t xml:space="preserve"> (</w:t>
      </w:r>
      <w:proofErr w:type="spellStart"/>
      <w:r w:rsidRPr="0051709F">
        <w:rPr>
          <w:rFonts w:cstheme="minorHAnsi"/>
          <w:color w:val="000000" w:themeColor="text1"/>
        </w:rPr>
        <w:t>World</w:t>
      </w:r>
      <w:proofErr w:type="spellEnd"/>
      <w:r w:rsidRPr="0051709F">
        <w:rPr>
          <w:rFonts w:cstheme="minorHAnsi"/>
          <w:color w:val="000000" w:themeColor="text1"/>
        </w:rPr>
        <w:t xml:space="preserve"> </w:t>
      </w:r>
      <w:proofErr w:type="spellStart"/>
      <w:r w:rsidRPr="0051709F">
        <w:rPr>
          <w:rFonts w:cstheme="minorHAnsi"/>
          <w:color w:val="000000" w:themeColor="text1"/>
        </w:rPr>
        <w:t>Health</w:t>
      </w:r>
      <w:proofErr w:type="spellEnd"/>
      <w:r w:rsidRPr="0051709F">
        <w:rPr>
          <w:rFonts w:cstheme="minorHAnsi"/>
          <w:color w:val="000000" w:themeColor="text1"/>
        </w:rPr>
        <w:t xml:space="preserve"> </w:t>
      </w:r>
      <w:proofErr w:type="spellStart"/>
      <w:r w:rsidRPr="0051709F">
        <w:rPr>
          <w:rFonts w:cstheme="minorHAnsi"/>
          <w:color w:val="000000" w:themeColor="text1"/>
        </w:rPr>
        <w:t>Organization</w:t>
      </w:r>
      <w:proofErr w:type="spellEnd"/>
      <w:r w:rsidRPr="0051709F">
        <w:rPr>
          <w:rFonts w:cstheme="minorHAnsi"/>
          <w:color w:val="000000" w:themeColor="text1"/>
        </w:rPr>
        <w:t xml:space="preserve">, 2020), del </w:t>
      </w:r>
      <w:r w:rsidRPr="0051709F">
        <w:rPr>
          <w:rFonts w:cstheme="minorHAnsi"/>
          <w:i/>
          <w:iCs/>
          <w:color w:val="000000" w:themeColor="text1"/>
        </w:rPr>
        <w:t>Plan de Acción Mundial sobre la Actividad Física 2018-</w:t>
      </w:r>
      <w:r w:rsidRPr="00963270">
        <w:rPr>
          <w:rFonts w:cstheme="minorHAnsi"/>
          <w:i/>
          <w:iCs/>
          <w:color w:val="000000" w:themeColor="text1"/>
        </w:rPr>
        <w:t>2030</w:t>
      </w:r>
      <w:r w:rsidRPr="00963270">
        <w:rPr>
          <w:rFonts w:cstheme="minorHAnsi"/>
          <w:color w:val="000000" w:themeColor="text1"/>
        </w:rPr>
        <w:t xml:space="preserve"> (</w:t>
      </w:r>
      <w:proofErr w:type="spellStart"/>
      <w:r w:rsidRPr="00963270">
        <w:rPr>
          <w:rFonts w:cstheme="minorHAnsi"/>
          <w:color w:val="000000" w:themeColor="text1"/>
        </w:rPr>
        <w:t>World</w:t>
      </w:r>
      <w:proofErr w:type="spellEnd"/>
      <w:r w:rsidRPr="00963270">
        <w:rPr>
          <w:rFonts w:cstheme="minorHAnsi"/>
          <w:color w:val="000000" w:themeColor="text1"/>
        </w:rPr>
        <w:t xml:space="preserve"> </w:t>
      </w:r>
      <w:proofErr w:type="spellStart"/>
      <w:r w:rsidRPr="00963270">
        <w:rPr>
          <w:rFonts w:cstheme="minorHAnsi"/>
          <w:color w:val="000000" w:themeColor="text1"/>
        </w:rPr>
        <w:t>Health</w:t>
      </w:r>
      <w:proofErr w:type="spellEnd"/>
      <w:r w:rsidRPr="00963270">
        <w:rPr>
          <w:rFonts w:cstheme="minorHAnsi"/>
          <w:color w:val="000000" w:themeColor="text1"/>
        </w:rPr>
        <w:t xml:space="preserve"> </w:t>
      </w:r>
      <w:proofErr w:type="spellStart"/>
      <w:r w:rsidRPr="00963270">
        <w:rPr>
          <w:rFonts w:cstheme="minorHAnsi"/>
          <w:color w:val="000000" w:themeColor="text1"/>
        </w:rPr>
        <w:t>Organization</w:t>
      </w:r>
      <w:proofErr w:type="spellEnd"/>
      <w:r w:rsidRPr="00963270">
        <w:rPr>
          <w:rFonts w:cstheme="minorHAnsi"/>
          <w:color w:val="000000" w:themeColor="text1"/>
        </w:rPr>
        <w:t>, 2018) y secundariamente</w:t>
      </w:r>
      <w:r>
        <w:rPr>
          <w:rFonts w:cstheme="minorHAnsi"/>
          <w:color w:val="000000" w:themeColor="text1"/>
        </w:rPr>
        <w:t>, en</w:t>
      </w:r>
      <w:r w:rsidRPr="00963270">
        <w:rPr>
          <w:rFonts w:cstheme="minorHAnsi"/>
          <w:color w:val="000000" w:themeColor="text1"/>
        </w:rPr>
        <w:t xml:space="preserve"> el </w:t>
      </w:r>
      <w:r w:rsidRPr="00963270">
        <w:rPr>
          <w:rFonts w:cstheme="minorHAnsi"/>
          <w:i/>
          <w:iCs/>
          <w:color w:val="000000" w:themeColor="text1"/>
        </w:rPr>
        <w:t>Plan de Acción de Kazán, KAP</w:t>
      </w:r>
      <w:r w:rsidRPr="00963270">
        <w:rPr>
          <w:rFonts w:cstheme="minorHAnsi"/>
          <w:b/>
          <w:bCs/>
          <w:color w:val="000000" w:themeColor="text1"/>
        </w:rPr>
        <w:t xml:space="preserve"> </w:t>
      </w:r>
      <w:r w:rsidRPr="00963270">
        <w:rPr>
          <w:rFonts w:cstheme="minorHAnsi"/>
          <w:color w:val="000000" w:themeColor="text1"/>
        </w:rPr>
        <w:t>(UNESCO, 2017</w:t>
      </w:r>
      <w:r w:rsidRPr="0051709F">
        <w:rPr>
          <w:rFonts w:cstheme="minorHAnsi"/>
          <w:color w:val="000000" w:themeColor="text1"/>
        </w:rPr>
        <w:t xml:space="preserve">). </w:t>
      </w:r>
    </w:p>
    <w:p w14:paraId="3E457EF6" w14:textId="77777777" w:rsidR="00E85F5C" w:rsidRPr="0051709F" w:rsidRDefault="00E85F5C" w:rsidP="00E85F5C">
      <w:pPr>
        <w:jc w:val="both"/>
        <w:rPr>
          <w:rFonts w:cstheme="minorHAnsi"/>
          <w:color w:val="000000" w:themeColor="text1"/>
        </w:rPr>
      </w:pPr>
    </w:p>
    <w:p w14:paraId="0B247D5C" w14:textId="77777777" w:rsidR="00E85F5C" w:rsidRPr="0051709F" w:rsidRDefault="00E85F5C" w:rsidP="00E85F5C">
      <w:pPr>
        <w:jc w:val="both"/>
        <w:rPr>
          <w:rFonts w:cstheme="minorHAnsi"/>
          <w:lang w:val="es-ES_tradnl"/>
        </w:rPr>
      </w:pPr>
      <w:r w:rsidRPr="0051709F">
        <w:rPr>
          <w:rFonts w:cstheme="minorHAnsi"/>
          <w:lang w:val="es-ES_tradnl"/>
        </w:rPr>
        <w:t>Estos principios se pueden resumir en los siguientes:</w:t>
      </w:r>
    </w:p>
    <w:p w14:paraId="11E9EBAC" w14:textId="77777777" w:rsidR="00E85F5C" w:rsidRPr="0051709F" w:rsidRDefault="00E85F5C" w:rsidP="00E85F5C">
      <w:pPr>
        <w:jc w:val="both"/>
        <w:rPr>
          <w:rFonts w:cstheme="minorHAnsi"/>
          <w:lang w:val="es-ES_tradnl"/>
        </w:rPr>
      </w:pPr>
    </w:p>
    <w:p w14:paraId="5602D044"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Adoptar estrategias basadas en evidencias obtenidas en intervenciones dirigidas a toda la población, así como a subgrupos de población específicos.</w:t>
      </w:r>
    </w:p>
    <w:p w14:paraId="44FCB60A" w14:textId="77777777" w:rsidR="00E85F5C" w:rsidRPr="0051709F" w:rsidRDefault="00E85F5C" w:rsidP="00E85F5C">
      <w:pPr>
        <w:pStyle w:val="Prrafodelista"/>
        <w:ind w:left="360"/>
        <w:jc w:val="both"/>
        <w:rPr>
          <w:rFonts w:asciiTheme="minorHAnsi" w:hAnsiTheme="minorHAnsi" w:cstheme="minorHAnsi"/>
          <w:sz w:val="24"/>
          <w:szCs w:val="24"/>
          <w:lang w:val="es-ES_tradnl"/>
        </w:rPr>
      </w:pPr>
    </w:p>
    <w:p w14:paraId="2DE088B5"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Adoptar un enfoque de</w:t>
      </w:r>
      <w:r>
        <w:rPr>
          <w:rFonts w:asciiTheme="minorHAnsi" w:hAnsiTheme="minorHAnsi" w:cstheme="minorHAnsi"/>
          <w:sz w:val="24"/>
          <w:szCs w:val="24"/>
          <w:lang w:val="es-ES_tradnl"/>
        </w:rPr>
        <w:t xml:space="preserve"> igualdad,</w:t>
      </w:r>
      <w:r w:rsidRPr="0051709F">
        <w:rPr>
          <w:rFonts w:asciiTheme="minorHAnsi" w:hAnsiTheme="minorHAnsi" w:cstheme="minorHAnsi"/>
          <w:sz w:val="24"/>
          <w:szCs w:val="24"/>
          <w:lang w:val="es-ES_tradnl"/>
        </w:rPr>
        <w:t xml:space="preserve"> equidad y defensa de los derechos humanos dirigido a reducir las desigualdades sociales y las disparidades en el acceso a la práctica de actividad física y deportiva.</w:t>
      </w:r>
    </w:p>
    <w:p w14:paraId="19E950E3" w14:textId="77777777" w:rsidR="00E85F5C" w:rsidRPr="0051709F" w:rsidRDefault="00E85F5C" w:rsidP="00E85F5C">
      <w:pPr>
        <w:pStyle w:val="Prrafodelista"/>
        <w:ind w:left="432"/>
        <w:jc w:val="both"/>
        <w:rPr>
          <w:rFonts w:asciiTheme="minorHAnsi" w:hAnsiTheme="minorHAnsi" w:cstheme="minorHAnsi"/>
          <w:sz w:val="24"/>
          <w:szCs w:val="24"/>
          <w:lang w:val="es-ES_tradnl"/>
        </w:rPr>
      </w:pPr>
    </w:p>
    <w:p w14:paraId="26D0D2BB"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Abordar de forma específica los determinantes físicos, sociales y medioambientales de la actividad física.</w:t>
      </w:r>
    </w:p>
    <w:p w14:paraId="3431279A" w14:textId="77777777" w:rsidR="00E85F5C" w:rsidRPr="0051709F" w:rsidRDefault="00E85F5C" w:rsidP="00E85F5C">
      <w:pPr>
        <w:jc w:val="both"/>
        <w:rPr>
          <w:rFonts w:cstheme="minorHAnsi"/>
          <w:lang w:val="es-ES_tradnl"/>
        </w:rPr>
      </w:pPr>
    </w:p>
    <w:p w14:paraId="5CC9065A"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Implementar acciones que sean sostenibles a múltiples niveles, a través de la implicación y participación de múltiples sectores y agentes para lograr el mayor impacto.</w:t>
      </w:r>
    </w:p>
    <w:p w14:paraId="27058882" w14:textId="77777777" w:rsidR="00E85F5C" w:rsidRPr="0051709F" w:rsidRDefault="00E85F5C" w:rsidP="00E85F5C">
      <w:pPr>
        <w:pStyle w:val="Prrafodelista"/>
        <w:rPr>
          <w:rFonts w:asciiTheme="minorHAnsi" w:hAnsiTheme="minorHAnsi" w:cstheme="minorHAnsi"/>
          <w:sz w:val="24"/>
          <w:szCs w:val="24"/>
          <w:lang w:val="es-ES_tradnl"/>
        </w:rPr>
      </w:pPr>
    </w:p>
    <w:p w14:paraId="1A52A697"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Emprender acciones de promoción para obtener el apoyo de los responsables de la toma de decisiones y de la comunidad en general</w:t>
      </w:r>
      <w:r>
        <w:rPr>
          <w:rFonts w:asciiTheme="minorHAnsi" w:hAnsiTheme="minorHAnsi" w:cstheme="minorHAnsi"/>
          <w:sz w:val="24"/>
          <w:szCs w:val="24"/>
          <w:lang w:val="es-ES_tradnl"/>
        </w:rPr>
        <w:t>,</w:t>
      </w:r>
      <w:r w:rsidRPr="0051709F">
        <w:rPr>
          <w:rFonts w:asciiTheme="minorHAnsi" w:hAnsiTheme="minorHAnsi" w:cstheme="minorHAnsi"/>
          <w:sz w:val="24"/>
          <w:szCs w:val="24"/>
          <w:lang w:val="es-ES_tradnl"/>
        </w:rPr>
        <w:t xml:space="preserve"> para garantizar un aumento de los recursos y del compromiso político en cada caso.</w:t>
      </w:r>
    </w:p>
    <w:p w14:paraId="6FCDADA5" w14:textId="77777777" w:rsidR="00E85F5C" w:rsidRPr="0051709F" w:rsidRDefault="00E85F5C" w:rsidP="00E85F5C">
      <w:pPr>
        <w:pStyle w:val="Prrafodelista"/>
        <w:rPr>
          <w:rFonts w:asciiTheme="minorHAnsi" w:hAnsiTheme="minorHAnsi" w:cstheme="minorHAnsi"/>
          <w:sz w:val="24"/>
          <w:szCs w:val="24"/>
          <w:lang w:val="es-ES_tradnl"/>
        </w:rPr>
      </w:pPr>
    </w:p>
    <w:p w14:paraId="408B7506"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lastRenderedPageBreak/>
        <w:t>Apoyar la creación de capacidad y recursos en la investigación, la práctica y la formación, con especial atención al desarrollo de capacidad en los sistemas educativos y de salud pública implicados en los ámbitos de la educación física, la actividad física, el ejercicio y el deporte.</w:t>
      </w:r>
    </w:p>
    <w:p w14:paraId="4115382D" w14:textId="77777777" w:rsidR="00E85F5C" w:rsidRPr="0051709F" w:rsidRDefault="00E85F5C" w:rsidP="00E85F5C">
      <w:pPr>
        <w:pStyle w:val="Prrafodelista"/>
        <w:rPr>
          <w:rFonts w:asciiTheme="minorHAnsi" w:hAnsiTheme="minorHAnsi" w:cstheme="minorHAnsi"/>
          <w:sz w:val="24"/>
          <w:szCs w:val="24"/>
          <w:lang w:val="es-ES_tradnl"/>
        </w:rPr>
      </w:pPr>
    </w:p>
    <w:p w14:paraId="6618FDBF"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Adoptar un enfoque basado en las etapas de la vida que aborde las necesidades de los niños, las familias, los adultos y los mayores.</w:t>
      </w:r>
    </w:p>
    <w:p w14:paraId="67CB7BB3" w14:textId="77777777" w:rsidR="00E85F5C" w:rsidRPr="0051709F" w:rsidRDefault="00E85F5C" w:rsidP="00E85F5C">
      <w:pPr>
        <w:pStyle w:val="Prrafodelista"/>
        <w:rPr>
          <w:rFonts w:asciiTheme="minorHAnsi" w:hAnsiTheme="minorHAnsi" w:cstheme="minorHAnsi"/>
          <w:sz w:val="24"/>
          <w:szCs w:val="24"/>
          <w:lang w:val="es-ES_tradnl"/>
        </w:rPr>
      </w:pPr>
    </w:p>
    <w:p w14:paraId="045570C6"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Garantizar la sensibilidad cultural y reconocer la necesidad de adaptar las estrategias de actividad física a las distintas realidades y recursos locales.</w:t>
      </w:r>
    </w:p>
    <w:p w14:paraId="5CD4213D" w14:textId="77777777" w:rsidR="00E85F5C" w:rsidRPr="0051709F" w:rsidRDefault="00E85F5C" w:rsidP="00E85F5C">
      <w:pPr>
        <w:pStyle w:val="Prrafodelista"/>
        <w:rPr>
          <w:rFonts w:asciiTheme="minorHAnsi" w:hAnsiTheme="minorHAnsi" w:cstheme="minorHAnsi"/>
          <w:sz w:val="24"/>
          <w:szCs w:val="24"/>
          <w:lang w:val="es-ES_tradnl"/>
        </w:rPr>
      </w:pPr>
    </w:p>
    <w:p w14:paraId="510BFBAC" w14:textId="77777777" w:rsidR="00E85F5C" w:rsidRPr="0051709F" w:rsidRDefault="00E85F5C" w:rsidP="00E85F5C">
      <w:pPr>
        <w:pStyle w:val="Prrafodelista"/>
        <w:numPr>
          <w:ilvl w:val="0"/>
          <w:numId w:val="88"/>
        </w:numPr>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 xml:space="preserve">Facilitar las elecciones personales saludables haciendo que la elección físicamente activa sea la elección más fácil, accesible y atractiva. </w:t>
      </w:r>
      <w:r w:rsidRPr="0051709F">
        <w:rPr>
          <w:rFonts w:asciiTheme="minorHAnsi" w:hAnsiTheme="minorHAnsi" w:cstheme="minorHAnsi"/>
          <w:sz w:val="24"/>
          <w:szCs w:val="24"/>
          <w:lang w:val="es-ES_tradnl"/>
        </w:rPr>
        <w:br w:type="page"/>
      </w:r>
    </w:p>
    <w:p w14:paraId="07466CE3" w14:textId="77777777" w:rsidR="00631C6B" w:rsidRDefault="00631C6B" w:rsidP="00DF3DF5">
      <w:pPr>
        <w:pStyle w:val="Ttulo1"/>
        <w:rPr>
          <w:rFonts w:asciiTheme="minorHAnsi" w:hAnsiTheme="minorHAnsi" w:cstheme="minorHAnsi"/>
          <w:sz w:val="24"/>
          <w:szCs w:val="24"/>
        </w:rPr>
      </w:pPr>
    </w:p>
    <w:p w14:paraId="7157F897" w14:textId="77777777" w:rsidR="00CF340C" w:rsidRDefault="00CF340C" w:rsidP="0088331D">
      <w:pPr>
        <w:pStyle w:val="Ttulo1"/>
        <w:jc w:val="both"/>
        <w:rPr>
          <w:rFonts w:asciiTheme="minorHAnsi" w:hAnsiTheme="minorHAnsi" w:cstheme="minorHAnsi"/>
          <w:sz w:val="28"/>
          <w:szCs w:val="28"/>
        </w:rPr>
      </w:pPr>
    </w:p>
    <w:p w14:paraId="3775389E" w14:textId="77777777" w:rsidR="00CF340C" w:rsidRDefault="00CF340C" w:rsidP="0088331D">
      <w:pPr>
        <w:pStyle w:val="Ttulo1"/>
        <w:jc w:val="both"/>
        <w:rPr>
          <w:rFonts w:asciiTheme="minorHAnsi" w:hAnsiTheme="minorHAnsi" w:cstheme="minorHAnsi"/>
          <w:sz w:val="28"/>
          <w:szCs w:val="28"/>
        </w:rPr>
      </w:pPr>
    </w:p>
    <w:p w14:paraId="3D08C3E6" w14:textId="77777777" w:rsidR="00CF340C" w:rsidRDefault="00CF340C" w:rsidP="0088331D">
      <w:pPr>
        <w:pStyle w:val="Ttulo1"/>
        <w:jc w:val="both"/>
        <w:rPr>
          <w:rFonts w:asciiTheme="minorHAnsi" w:hAnsiTheme="minorHAnsi" w:cstheme="minorHAnsi"/>
          <w:sz w:val="28"/>
          <w:szCs w:val="28"/>
        </w:rPr>
      </w:pPr>
    </w:p>
    <w:p w14:paraId="60C8EC45" w14:textId="77777777" w:rsidR="00CF340C" w:rsidRDefault="00CF340C" w:rsidP="0088331D">
      <w:pPr>
        <w:pStyle w:val="Ttulo1"/>
        <w:jc w:val="both"/>
        <w:rPr>
          <w:rFonts w:asciiTheme="minorHAnsi" w:hAnsiTheme="minorHAnsi" w:cstheme="minorHAnsi"/>
          <w:sz w:val="28"/>
          <w:szCs w:val="28"/>
        </w:rPr>
      </w:pPr>
    </w:p>
    <w:p w14:paraId="4CE164A2" w14:textId="77777777" w:rsidR="00CF340C" w:rsidRDefault="00CF340C" w:rsidP="0088331D">
      <w:pPr>
        <w:pStyle w:val="Ttulo1"/>
        <w:jc w:val="both"/>
        <w:rPr>
          <w:rFonts w:asciiTheme="minorHAnsi" w:hAnsiTheme="minorHAnsi" w:cstheme="minorHAnsi"/>
          <w:sz w:val="28"/>
          <w:szCs w:val="28"/>
        </w:rPr>
      </w:pPr>
    </w:p>
    <w:p w14:paraId="59BF6104" w14:textId="77777777" w:rsidR="00CF340C" w:rsidRDefault="00CF340C" w:rsidP="0088331D">
      <w:pPr>
        <w:pStyle w:val="Ttulo1"/>
        <w:jc w:val="both"/>
        <w:rPr>
          <w:rFonts w:asciiTheme="minorHAnsi" w:hAnsiTheme="minorHAnsi" w:cstheme="minorHAnsi"/>
          <w:sz w:val="28"/>
          <w:szCs w:val="28"/>
        </w:rPr>
      </w:pPr>
    </w:p>
    <w:p w14:paraId="0FF57306" w14:textId="77777777" w:rsidR="00CF340C" w:rsidRDefault="00CF340C" w:rsidP="0088331D">
      <w:pPr>
        <w:pStyle w:val="Ttulo1"/>
        <w:jc w:val="both"/>
        <w:rPr>
          <w:rFonts w:asciiTheme="minorHAnsi" w:hAnsiTheme="minorHAnsi" w:cstheme="minorHAnsi"/>
          <w:sz w:val="28"/>
          <w:szCs w:val="28"/>
        </w:rPr>
      </w:pPr>
    </w:p>
    <w:p w14:paraId="7F0617B7" w14:textId="77777777" w:rsidR="00CF340C" w:rsidRDefault="00CF340C" w:rsidP="0088331D">
      <w:pPr>
        <w:pStyle w:val="Ttulo1"/>
        <w:jc w:val="both"/>
        <w:rPr>
          <w:rFonts w:asciiTheme="minorHAnsi" w:hAnsiTheme="minorHAnsi" w:cstheme="minorHAnsi"/>
          <w:sz w:val="28"/>
          <w:szCs w:val="28"/>
        </w:rPr>
      </w:pPr>
    </w:p>
    <w:p w14:paraId="5DB549E7" w14:textId="77777777" w:rsidR="00CF340C" w:rsidRDefault="00CF340C" w:rsidP="0088331D">
      <w:pPr>
        <w:pStyle w:val="Ttulo1"/>
        <w:jc w:val="both"/>
        <w:rPr>
          <w:rFonts w:asciiTheme="minorHAnsi" w:hAnsiTheme="minorHAnsi" w:cstheme="minorHAnsi"/>
          <w:sz w:val="28"/>
          <w:szCs w:val="28"/>
        </w:rPr>
      </w:pPr>
    </w:p>
    <w:p w14:paraId="6D3B575F" w14:textId="77777777" w:rsidR="00CF340C" w:rsidRDefault="00CF340C" w:rsidP="00CF340C"/>
    <w:p w14:paraId="79CD4467" w14:textId="77777777" w:rsidR="00CF340C" w:rsidRDefault="00CF340C" w:rsidP="00CF340C"/>
    <w:p w14:paraId="127D28B0" w14:textId="77777777" w:rsidR="00CF340C" w:rsidRDefault="00CF340C" w:rsidP="00CF340C"/>
    <w:p w14:paraId="07D32459" w14:textId="77777777" w:rsidR="00CF340C" w:rsidRDefault="00CF340C" w:rsidP="00CF340C"/>
    <w:p w14:paraId="705D9434" w14:textId="59EFD586" w:rsidR="00CF340C" w:rsidRDefault="00CF340C" w:rsidP="00CF340C">
      <w:pPr>
        <w:pStyle w:val="Ttulo1"/>
        <w:jc w:val="right"/>
        <w:rPr>
          <w:rFonts w:asciiTheme="minorHAnsi" w:hAnsiTheme="minorHAnsi" w:cstheme="minorHAnsi"/>
        </w:rPr>
      </w:pPr>
      <w:r w:rsidRPr="00CF340C">
        <w:rPr>
          <w:rFonts w:asciiTheme="minorHAnsi" w:hAnsiTheme="minorHAnsi" w:cstheme="minorHAnsi"/>
        </w:rPr>
        <w:t>#</w:t>
      </w:r>
      <w:r w:rsidR="009C7738">
        <w:rPr>
          <w:rFonts w:asciiTheme="minorHAnsi" w:hAnsiTheme="minorHAnsi" w:cstheme="minorHAnsi"/>
        </w:rPr>
        <w:t>5</w:t>
      </w:r>
      <w:r w:rsidRPr="00CF340C">
        <w:rPr>
          <w:rFonts w:asciiTheme="minorHAnsi" w:hAnsiTheme="minorHAnsi" w:cstheme="minorHAnsi"/>
        </w:rPr>
        <w:t>.</w:t>
      </w:r>
      <w:r w:rsidR="009C7738">
        <w:rPr>
          <w:rFonts w:asciiTheme="minorHAnsi" w:hAnsiTheme="minorHAnsi" w:cstheme="minorHAnsi"/>
        </w:rPr>
        <w:t>1</w:t>
      </w:r>
      <w:r w:rsidRPr="00CF340C">
        <w:rPr>
          <w:rFonts w:asciiTheme="minorHAnsi" w:hAnsiTheme="minorHAnsi" w:cstheme="minorHAnsi"/>
        </w:rPr>
        <w:t xml:space="preserve"> Metodología de Implementación, </w:t>
      </w:r>
    </w:p>
    <w:p w14:paraId="4371DDFC" w14:textId="77777777" w:rsidR="00CF340C" w:rsidRDefault="00CF340C" w:rsidP="00CF340C">
      <w:pPr>
        <w:pStyle w:val="Ttulo1"/>
        <w:jc w:val="right"/>
        <w:rPr>
          <w:rFonts w:asciiTheme="minorHAnsi" w:hAnsiTheme="minorHAnsi" w:cstheme="minorHAnsi"/>
        </w:rPr>
      </w:pPr>
      <w:r w:rsidRPr="00CF340C">
        <w:rPr>
          <w:rFonts w:asciiTheme="minorHAnsi" w:hAnsiTheme="minorHAnsi" w:cstheme="minorHAnsi"/>
        </w:rPr>
        <w:t xml:space="preserve">investigación, seguimiento y evaluación </w:t>
      </w:r>
    </w:p>
    <w:p w14:paraId="11E143EB" w14:textId="510B8ECB" w:rsidR="00CF340C" w:rsidRPr="00CF340C" w:rsidRDefault="00CF340C" w:rsidP="00CF340C">
      <w:pPr>
        <w:pStyle w:val="Ttulo1"/>
        <w:jc w:val="right"/>
        <w:rPr>
          <w:rFonts w:asciiTheme="minorHAnsi" w:hAnsiTheme="minorHAnsi" w:cstheme="minorHAnsi"/>
        </w:rPr>
      </w:pPr>
      <w:r w:rsidRPr="00CF340C">
        <w:rPr>
          <w:rFonts w:asciiTheme="minorHAnsi" w:hAnsiTheme="minorHAnsi" w:cstheme="minorHAnsi"/>
        </w:rPr>
        <w:t>de la Estrategia Nacional</w:t>
      </w:r>
    </w:p>
    <w:p w14:paraId="331042D9" w14:textId="77777777" w:rsidR="00CF340C" w:rsidRPr="00CF340C" w:rsidRDefault="00CF340C" w:rsidP="00CF340C">
      <w:pPr>
        <w:jc w:val="right"/>
        <w:rPr>
          <w:sz w:val="32"/>
          <w:szCs w:val="32"/>
        </w:rPr>
      </w:pPr>
    </w:p>
    <w:p w14:paraId="650EF026" w14:textId="77777777" w:rsidR="00CF340C" w:rsidRDefault="00CF340C" w:rsidP="0088331D">
      <w:pPr>
        <w:pStyle w:val="Ttulo1"/>
        <w:jc w:val="both"/>
        <w:rPr>
          <w:rFonts w:asciiTheme="minorHAnsi" w:hAnsiTheme="minorHAnsi" w:cstheme="minorHAnsi"/>
          <w:sz w:val="28"/>
          <w:szCs w:val="28"/>
        </w:rPr>
      </w:pPr>
    </w:p>
    <w:p w14:paraId="217CF0F9" w14:textId="77777777" w:rsidR="00CF340C" w:rsidRDefault="00CF340C" w:rsidP="0088331D">
      <w:pPr>
        <w:pStyle w:val="Ttulo1"/>
        <w:jc w:val="both"/>
        <w:rPr>
          <w:rFonts w:asciiTheme="minorHAnsi" w:hAnsiTheme="minorHAnsi" w:cstheme="minorHAnsi"/>
          <w:sz w:val="28"/>
          <w:szCs w:val="28"/>
        </w:rPr>
      </w:pPr>
    </w:p>
    <w:p w14:paraId="1CF5F230" w14:textId="77777777" w:rsidR="00CF340C" w:rsidRDefault="00CF340C" w:rsidP="00CF340C"/>
    <w:p w14:paraId="4767F1C1" w14:textId="77777777" w:rsidR="00CF340C" w:rsidRDefault="00CF340C" w:rsidP="00CF340C"/>
    <w:p w14:paraId="47286334" w14:textId="77777777" w:rsidR="00CF340C" w:rsidRDefault="00CF340C" w:rsidP="00CF340C"/>
    <w:p w14:paraId="0ED2E65A" w14:textId="77777777" w:rsidR="00CF340C" w:rsidRDefault="00CF340C" w:rsidP="00CF340C"/>
    <w:p w14:paraId="46CDFEA8" w14:textId="77777777" w:rsidR="00CF340C" w:rsidRDefault="00CF340C" w:rsidP="00CF340C"/>
    <w:p w14:paraId="4DB9FAF0" w14:textId="77777777" w:rsidR="00CF340C" w:rsidRDefault="00CF340C" w:rsidP="00CF340C"/>
    <w:p w14:paraId="17050298" w14:textId="77777777" w:rsidR="00CF340C" w:rsidRDefault="00CF340C" w:rsidP="00CF340C"/>
    <w:p w14:paraId="0191BFAE" w14:textId="77777777" w:rsidR="00CF340C" w:rsidRDefault="00CF340C" w:rsidP="00CF340C"/>
    <w:p w14:paraId="1138496C" w14:textId="77777777" w:rsidR="00CF340C" w:rsidRDefault="00CF340C" w:rsidP="00CF340C"/>
    <w:p w14:paraId="4A2E4CEF" w14:textId="77777777" w:rsidR="00CF340C" w:rsidRDefault="00CF340C" w:rsidP="00CF340C"/>
    <w:p w14:paraId="5491646C" w14:textId="77777777" w:rsidR="00CF340C" w:rsidRPr="00CF340C" w:rsidRDefault="00CF340C" w:rsidP="00CF340C"/>
    <w:p w14:paraId="7644E8CA" w14:textId="63600B90" w:rsidR="00512539" w:rsidRPr="0088331D" w:rsidRDefault="00512539" w:rsidP="0088331D">
      <w:pPr>
        <w:pStyle w:val="Ttulo1"/>
        <w:jc w:val="both"/>
        <w:rPr>
          <w:rFonts w:asciiTheme="minorHAnsi" w:hAnsiTheme="minorHAnsi" w:cstheme="minorHAnsi"/>
          <w:sz w:val="28"/>
          <w:szCs w:val="28"/>
        </w:rPr>
      </w:pPr>
      <w:r w:rsidRPr="0088331D">
        <w:rPr>
          <w:rFonts w:asciiTheme="minorHAnsi" w:hAnsiTheme="minorHAnsi" w:cstheme="minorHAnsi"/>
          <w:sz w:val="28"/>
          <w:szCs w:val="28"/>
        </w:rPr>
        <w:lastRenderedPageBreak/>
        <w:t>#</w:t>
      </w:r>
      <w:r w:rsidR="009C7738">
        <w:rPr>
          <w:rFonts w:asciiTheme="minorHAnsi" w:hAnsiTheme="minorHAnsi" w:cstheme="minorHAnsi"/>
          <w:sz w:val="28"/>
          <w:szCs w:val="28"/>
        </w:rPr>
        <w:t>5</w:t>
      </w:r>
      <w:r w:rsidRPr="0088331D">
        <w:rPr>
          <w:rFonts w:asciiTheme="minorHAnsi" w:hAnsiTheme="minorHAnsi" w:cstheme="minorHAnsi"/>
          <w:sz w:val="28"/>
          <w:szCs w:val="28"/>
        </w:rPr>
        <w:t>.</w:t>
      </w:r>
      <w:r w:rsidR="009C7738">
        <w:rPr>
          <w:rFonts w:asciiTheme="minorHAnsi" w:hAnsiTheme="minorHAnsi" w:cstheme="minorHAnsi"/>
          <w:sz w:val="28"/>
          <w:szCs w:val="28"/>
        </w:rPr>
        <w:t>1</w:t>
      </w:r>
      <w:r w:rsidRPr="0088331D">
        <w:rPr>
          <w:rFonts w:asciiTheme="minorHAnsi" w:hAnsiTheme="minorHAnsi" w:cstheme="minorHAnsi"/>
          <w:sz w:val="28"/>
          <w:szCs w:val="28"/>
        </w:rPr>
        <w:t xml:space="preserve"> </w:t>
      </w:r>
      <w:r w:rsidR="00DE7F84" w:rsidRPr="0088331D">
        <w:rPr>
          <w:rFonts w:asciiTheme="minorHAnsi" w:hAnsiTheme="minorHAnsi" w:cstheme="minorHAnsi"/>
          <w:sz w:val="28"/>
          <w:szCs w:val="28"/>
        </w:rPr>
        <w:t>Metodología de</w:t>
      </w:r>
      <w:r w:rsidRPr="0088331D">
        <w:rPr>
          <w:rFonts w:asciiTheme="minorHAnsi" w:hAnsiTheme="minorHAnsi" w:cstheme="minorHAnsi"/>
          <w:sz w:val="28"/>
          <w:szCs w:val="28"/>
        </w:rPr>
        <w:t xml:space="preserve"> I</w:t>
      </w:r>
      <w:r w:rsidR="00CF340C">
        <w:rPr>
          <w:rFonts w:asciiTheme="minorHAnsi" w:hAnsiTheme="minorHAnsi" w:cstheme="minorHAnsi"/>
          <w:sz w:val="28"/>
          <w:szCs w:val="28"/>
        </w:rPr>
        <w:t>mplementación, i</w:t>
      </w:r>
      <w:r w:rsidRPr="0088331D">
        <w:rPr>
          <w:rFonts w:asciiTheme="minorHAnsi" w:hAnsiTheme="minorHAnsi" w:cstheme="minorHAnsi"/>
          <w:sz w:val="28"/>
          <w:szCs w:val="28"/>
        </w:rPr>
        <w:t>nvestigación, seguimiento y evaluación</w:t>
      </w:r>
      <w:r w:rsidR="00DE7F84" w:rsidRPr="0088331D">
        <w:rPr>
          <w:rFonts w:asciiTheme="minorHAnsi" w:hAnsiTheme="minorHAnsi" w:cstheme="minorHAnsi"/>
          <w:sz w:val="28"/>
          <w:szCs w:val="28"/>
        </w:rPr>
        <w:t xml:space="preserve"> de la Estrategia Nacional</w:t>
      </w:r>
    </w:p>
    <w:p w14:paraId="4B4E8077" w14:textId="77777777" w:rsidR="003911B9" w:rsidRPr="0051709F" w:rsidRDefault="003911B9" w:rsidP="003911B9">
      <w:pPr>
        <w:rPr>
          <w:rFonts w:cstheme="minorHAnsi"/>
          <w:lang w:val="es-ES_tradnl"/>
        </w:rPr>
      </w:pPr>
    </w:p>
    <w:p w14:paraId="70970519" w14:textId="2DCEE57A" w:rsidR="00512539" w:rsidRPr="0051709F" w:rsidRDefault="00512539" w:rsidP="007B667D">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España en el contexto europeo de las estrategias nacionales de promoción de actividad física y deporte y </w:t>
      </w:r>
      <w:r w:rsidR="00636CF6">
        <w:rPr>
          <w:rFonts w:asciiTheme="minorHAnsi" w:hAnsiTheme="minorHAnsi" w:cstheme="minorHAnsi"/>
          <w:sz w:val="24"/>
          <w:szCs w:val="24"/>
          <w:lang w:val="es-ES"/>
        </w:rPr>
        <w:t>su</w:t>
      </w:r>
      <w:r w:rsidRPr="0051709F">
        <w:rPr>
          <w:rFonts w:asciiTheme="minorHAnsi" w:hAnsiTheme="minorHAnsi" w:cstheme="minorHAnsi"/>
          <w:sz w:val="24"/>
          <w:szCs w:val="24"/>
          <w:lang w:val="es-ES"/>
        </w:rPr>
        <w:t xml:space="preserve"> evaluación</w:t>
      </w:r>
      <w:r w:rsidR="00DF3DF5" w:rsidRPr="0051709F">
        <w:rPr>
          <w:rFonts w:asciiTheme="minorHAnsi" w:hAnsiTheme="minorHAnsi" w:cstheme="minorHAnsi"/>
          <w:sz w:val="24"/>
          <w:szCs w:val="24"/>
          <w:lang w:val="es-ES"/>
        </w:rPr>
        <w:t xml:space="preserve"> o monitorización</w:t>
      </w:r>
      <w:r w:rsidR="00384026">
        <w:rPr>
          <w:rFonts w:asciiTheme="minorHAnsi" w:hAnsiTheme="minorHAnsi" w:cstheme="minorHAnsi"/>
          <w:sz w:val="24"/>
          <w:szCs w:val="24"/>
          <w:lang w:val="es-ES"/>
        </w:rPr>
        <w:t>.</w:t>
      </w:r>
    </w:p>
    <w:p w14:paraId="6CAB8D23" w14:textId="77777777" w:rsidR="00512539" w:rsidRPr="0051709F" w:rsidRDefault="00512539" w:rsidP="00512539">
      <w:pPr>
        <w:jc w:val="both"/>
        <w:rPr>
          <w:rFonts w:cstheme="minorHAnsi"/>
          <w:b/>
          <w:bCs/>
          <w:color w:val="000000" w:themeColor="text1"/>
        </w:rPr>
      </w:pPr>
    </w:p>
    <w:p w14:paraId="0C5257B4" w14:textId="567A8BD0" w:rsidR="00512539" w:rsidRPr="0051709F" w:rsidRDefault="00512539" w:rsidP="00512539">
      <w:pPr>
        <w:jc w:val="both"/>
        <w:rPr>
          <w:rFonts w:cstheme="minorHAnsi"/>
        </w:rPr>
      </w:pPr>
      <w:r w:rsidRPr="0051709F">
        <w:rPr>
          <w:rFonts w:cstheme="minorHAnsi"/>
        </w:rPr>
        <w:t xml:space="preserve">Con respecto a los países europeos con planes o </w:t>
      </w:r>
      <w:r w:rsidR="00BD4E24" w:rsidRPr="0051709F">
        <w:rPr>
          <w:rFonts w:cstheme="minorHAnsi"/>
        </w:rPr>
        <w:t>estrategias</w:t>
      </w:r>
      <w:r w:rsidRPr="0051709F">
        <w:rPr>
          <w:rFonts w:cstheme="minorHAnsi"/>
        </w:rPr>
        <w:t xml:space="preserve"> nacionales de promoción de actividad física y deporte, </w:t>
      </w:r>
      <w:r w:rsidRPr="0051709F">
        <w:rPr>
          <w:rFonts w:cstheme="minorHAnsi"/>
          <w:bCs/>
        </w:rPr>
        <w:t xml:space="preserve">según la </w:t>
      </w:r>
      <w:r w:rsidR="006D4843">
        <w:rPr>
          <w:rFonts w:cstheme="minorHAnsi"/>
          <w:bCs/>
        </w:rPr>
        <w:t>Organización Mundial de la Salud</w:t>
      </w:r>
      <w:r w:rsidRPr="0051709F">
        <w:rPr>
          <w:rFonts w:cstheme="minorHAnsi"/>
          <w:bCs/>
        </w:rPr>
        <w:t xml:space="preserve"> </w:t>
      </w:r>
      <w:r w:rsidRPr="0051709F">
        <w:rPr>
          <w:rFonts w:cstheme="minorHAnsi"/>
        </w:rPr>
        <w:t>(</w:t>
      </w:r>
      <w:proofErr w:type="spellStart"/>
      <w:r w:rsidRPr="0051709F">
        <w:rPr>
          <w:rFonts w:cstheme="minorHAnsi"/>
        </w:rPr>
        <w:t>World</w:t>
      </w:r>
      <w:proofErr w:type="spellEnd"/>
      <w:r w:rsidRPr="0051709F">
        <w:rPr>
          <w:rFonts w:cstheme="minorHAnsi"/>
        </w:rPr>
        <w:t xml:space="preserve"> </w:t>
      </w:r>
      <w:proofErr w:type="spellStart"/>
      <w:r w:rsidRPr="0051709F">
        <w:rPr>
          <w:rFonts w:cstheme="minorHAnsi"/>
        </w:rPr>
        <w:t>Health</w:t>
      </w:r>
      <w:proofErr w:type="spellEnd"/>
      <w:r w:rsidRPr="0051709F">
        <w:rPr>
          <w:rFonts w:cstheme="minorHAnsi"/>
        </w:rPr>
        <w:t xml:space="preserve"> </w:t>
      </w:r>
      <w:proofErr w:type="spellStart"/>
      <w:r w:rsidRPr="0051709F">
        <w:rPr>
          <w:rFonts w:cstheme="minorHAnsi"/>
        </w:rPr>
        <w:t>Organization</w:t>
      </w:r>
      <w:proofErr w:type="spellEnd"/>
      <w:r w:rsidRPr="0051709F">
        <w:rPr>
          <w:rFonts w:cstheme="minorHAnsi"/>
        </w:rPr>
        <w:t>, 2021)</w:t>
      </w:r>
      <w:r w:rsidR="00BD4E24">
        <w:rPr>
          <w:rFonts w:cstheme="minorHAnsi"/>
        </w:rPr>
        <w:t>,</w:t>
      </w:r>
      <w:r w:rsidRPr="0051709F">
        <w:rPr>
          <w:rFonts w:cstheme="minorHAnsi"/>
        </w:rPr>
        <w:t xml:space="preserve"> </w:t>
      </w:r>
      <w:r w:rsidRPr="0051709F">
        <w:rPr>
          <w:rFonts w:cstheme="minorHAnsi"/>
          <w:bCs/>
        </w:rPr>
        <w:t>el 89% de los</w:t>
      </w:r>
      <w:r w:rsidRPr="0051709F">
        <w:rPr>
          <w:rFonts w:cstheme="minorHAnsi"/>
        </w:rPr>
        <w:t xml:space="preserve"> </w:t>
      </w:r>
      <w:r w:rsidR="001B1885" w:rsidRPr="0051709F">
        <w:rPr>
          <w:rFonts w:cstheme="minorHAnsi"/>
        </w:rPr>
        <w:t>E</w:t>
      </w:r>
      <w:r w:rsidRPr="0051709F">
        <w:rPr>
          <w:rFonts w:cstheme="minorHAnsi"/>
        </w:rPr>
        <w:t xml:space="preserve">stados miembros contaban con un plan para la promoción del deporte (ver Figura </w:t>
      </w:r>
      <w:r w:rsidR="0040157F" w:rsidRPr="0051709F">
        <w:rPr>
          <w:rFonts w:cstheme="minorHAnsi"/>
        </w:rPr>
        <w:t>6</w:t>
      </w:r>
      <w:r w:rsidRPr="0051709F">
        <w:rPr>
          <w:rFonts w:cstheme="minorHAnsi"/>
        </w:rPr>
        <w:t xml:space="preserve">). Sin embargo, el informe de </w:t>
      </w:r>
      <w:r w:rsidR="00BD4E24">
        <w:rPr>
          <w:rFonts w:cstheme="minorHAnsi"/>
        </w:rPr>
        <w:t>es</w:t>
      </w:r>
      <w:r w:rsidRPr="0051709F">
        <w:rPr>
          <w:rFonts w:cstheme="minorHAnsi"/>
        </w:rPr>
        <w:t xml:space="preserve">a </w:t>
      </w:r>
      <w:r w:rsidR="006D4843">
        <w:rPr>
          <w:rFonts w:cstheme="minorHAnsi"/>
          <w:bCs/>
        </w:rPr>
        <w:t xml:space="preserve">Organización </w:t>
      </w:r>
      <w:r w:rsidRPr="0051709F">
        <w:rPr>
          <w:rFonts w:cstheme="minorHAnsi"/>
        </w:rPr>
        <w:t>sólo hacía referencia a la evaluación y monitoreo de dichos planes en 10 países (ver Tabla 2).</w:t>
      </w:r>
    </w:p>
    <w:p w14:paraId="4DFB3BBA" w14:textId="77777777" w:rsidR="00512539" w:rsidRPr="0051709F" w:rsidRDefault="00512539" w:rsidP="00512539">
      <w:pPr>
        <w:jc w:val="both"/>
        <w:rPr>
          <w:rFonts w:cstheme="minorHAnsi"/>
        </w:rPr>
      </w:pPr>
    </w:p>
    <w:tbl>
      <w:tblPr>
        <w:tblpPr w:leftFromText="180" w:rightFromText="180" w:vertAnchor="text" w:horzAnchor="margin" w:tblpY="26"/>
        <w:tblW w:w="8779" w:type="dxa"/>
        <w:tblCellMar>
          <w:left w:w="0" w:type="dxa"/>
          <w:right w:w="0" w:type="dxa"/>
        </w:tblCellMar>
        <w:tblLook w:val="04A0" w:firstRow="1" w:lastRow="0" w:firstColumn="1" w:lastColumn="0" w:noHBand="0" w:noVBand="1"/>
      </w:tblPr>
      <w:tblGrid>
        <w:gridCol w:w="8779"/>
      </w:tblGrid>
      <w:tr w:rsidR="00512539" w:rsidRPr="0051709F" w14:paraId="4041DDE4" w14:textId="77777777" w:rsidTr="00F16F30">
        <w:trPr>
          <w:trHeight w:val="274"/>
        </w:trPr>
        <w:tc>
          <w:tcPr>
            <w:tcW w:w="8779" w:type="dxa"/>
            <w:tcBorders>
              <w:top w:val="single" w:sz="8" w:space="0" w:color="FFFFFF"/>
              <w:left w:val="single" w:sz="8" w:space="0" w:color="FFFFFF"/>
              <w:bottom w:val="single" w:sz="24" w:space="0" w:color="FFFFFF"/>
              <w:right w:val="single" w:sz="8" w:space="0" w:color="FFFFFF"/>
            </w:tcBorders>
            <w:shd w:val="clear" w:color="auto" w:fill="5B9BD5"/>
            <w:tcMar>
              <w:top w:w="15" w:type="dxa"/>
              <w:left w:w="58" w:type="dxa"/>
              <w:bottom w:w="0" w:type="dxa"/>
              <w:right w:w="58" w:type="dxa"/>
            </w:tcMar>
          </w:tcPr>
          <w:p w14:paraId="3A2F3646" w14:textId="3848704C" w:rsidR="00512539" w:rsidRPr="0051709F" w:rsidRDefault="00512539" w:rsidP="00F16F30">
            <w:pPr>
              <w:rPr>
                <w:rFonts w:cstheme="minorHAnsi"/>
                <w:bCs/>
              </w:rPr>
            </w:pPr>
            <w:r w:rsidRPr="0051709F">
              <w:rPr>
                <w:rFonts w:cstheme="minorHAnsi"/>
                <w:bCs/>
              </w:rPr>
              <w:t>Países con estrategias nacionales</w:t>
            </w:r>
          </w:p>
        </w:tc>
      </w:tr>
      <w:tr w:rsidR="00512539" w:rsidRPr="0051709F" w14:paraId="6D5C0329" w14:textId="77777777" w:rsidTr="00F16F30">
        <w:trPr>
          <w:trHeight w:val="274"/>
        </w:trPr>
        <w:tc>
          <w:tcPr>
            <w:tcW w:w="8779" w:type="dxa"/>
            <w:tcBorders>
              <w:top w:val="single" w:sz="8" w:space="0" w:color="FFFFFF"/>
              <w:left w:val="single" w:sz="8" w:space="0" w:color="FFFFFF"/>
              <w:bottom w:val="single" w:sz="24" w:space="0" w:color="FFFFFF"/>
              <w:right w:val="single" w:sz="8" w:space="0" w:color="FFFFFF"/>
            </w:tcBorders>
            <w:shd w:val="clear" w:color="auto" w:fill="5B9BD5"/>
            <w:tcMar>
              <w:top w:w="15" w:type="dxa"/>
              <w:left w:w="58" w:type="dxa"/>
              <w:bottom w:w="0" w:type="dxa"/>
              <w:right w:w="58" w:type="dxa"/>
            </w:tcMar>
            <w:hideMark/>
          </w:tcPr>
          <w:p w14:paraId="39EA5217" w14:textId="77777777" w:rsidR="00512539" w:rsidRPr="0051709F" w:rsidRDefault="00512539" w:rsidP="00F16F30">
            <w:pPr>
              <w:rPr>
                <w:rFonts w:cstheme="minorHAnsi"/>
              </w:rPr>
            </w:pPr>
            <w:r w:rsidRPr="0051709F">
              <w:rPr>
                <w:rFonts w:cstheme="minorHAnsi"/>
                <w:bCs/>
              </w:rPr>
              <w:t>Sí</w:t>
            </w:r>
          </w:p>
        </w:tc>
      </w:tr>
      <w:tr w:rsidR="00512539" w:rsidRPr="0051709F" w14:paraId="4EF5D3E7" w14:textId="77777777" w:rsidTr="00F16F30">
        <w:trPr>
          <w:trHeight w:val="274"/>
        </w:trPr>
        <w:tc>
          <w:tcPr>
            <w:tcW w:w="8779" w:type="dxa"/>
            <w:tcBorders>
              <w:top w:val="single" w:sz="24" w:space="0" w:color="FFFFFF"/>
              <w:left w:val="single" w:sz="8" w:space="0" w:color="FFFFFF"/>
              <w:bottom w:val="single" w:sz="24" w:space="0" w:color="FFFFFF"/>
              <w:right w:val="single" w:sz="8" w:space="0" w:color="FFFFFF"/>
            </w:tcBorders>
            <w:shd w:val="clear" w:color="auto" w:fill="D9E2F3" w:themeFill="accent1" w:themeFillTint="33"/>
            <w:tcMar>
              <w:top w:w="15" w:type="dxa"/>
              <w:left w:w="58" w:type="dxa"/>
              <w:bottom w:w="0" w:type="dxa"/>
              <w:right w:w="58" w:type="dxa"/>
            </w:tcMar>
            <w:hideMark/>
          </w:tcPr>
          <w:p w14:paraId="7DF22EAE" w14:textId="1041639D" w:rsidR="00512539" w:rsidRPr="0051709F" w:rsidRDefault="00512539" w:rsidP="00F16F30">
            <w:pPr>
              <w:rPr>
                <w:rFonts w:cstheme="minorHAnsi"/>
              </w:rPr>
            </w:pPr>
            <w:r w:rsidRPr="0051709F">
              <w:rPr>
                <w:rFonts w:cstheme="minorHAnsi"/>
                <w:bCs/>
              </w:rPr>
              <w:t>Alemania, Austria, Bélgica, Bulgaria, Croacia, Dinamarca, Eslovaquia, Eslovenia, España, Estonia, Finlandia, Francia, Grecia, Holanda, Hungría, Irlanda, Italia, Letonia, Lituania, Luxemburgo, Polonia, Portugal, Rumanía, Suecia</w:t>
            </w:r>
            <w:r w:rsidR="00BD4E24">
              <w:rPr>
                <w:rFonts w:cstheme="minorHAnsi"/>
                <w:bCs/>
              </w:rPr>
              <w:t>.</w:t>
            </w:r>
          </w:p>
        </w:tc>
      </w:tr>
      <w:tr w:rsidR="00512539" w:rsidRPr="0051709F" w14:paraId="711DBBA9" w14:textId="77777777" w:rsidTr="00F16F30">
        <w:trPr>
          <w:trHeight w:val="274"/>
        </w:trPr>
        <w:tc>
          <w:tcPr>
            <w:tcW w:w="8779" w:type="dxa"/>
            <w:tcBorders>
              <w:top w:val="single" w:sz="8" w:space="0" w:color="FFFFFF"/>
              <w:left w:val="single" w:sz="8" w:space="0" w:color="FFFFFF"/>
              <w:bottom w:val="single" w:sz="24" w:space="0" w:color="FFFFFF"/>
              <w:right w:val="single" w:sz="8" w:space="0" w:color="FFFFFF"/>
            </w:tcBorders>
            <w:shd w:val="clear" w:color="auto" w:fill="FFD966" w:themeFill="accent4" w:themeFillTint="99"/>
            <w:tcMar>
              <w:top w:w="15" w:type="dxa"/>
              <w:left w:w="58" w:type="dxa"/>
              <w:bottom w:w="0" w:type="dxa"/>
              <w:right w:w="58" w:type="dxa"/>
            </w:tcMar>
          </w:tcPr>
          <w:p w14:paraId="47CF2726" w14:textId="77777777" w:rsidR="00512539" w:rsidRPr="0051709F" w:rsidRDefault="00512539" w:rsidP="00F16F30">
            <w:pPr>
              <w:rPr>
                <w:rFonts w:cstheme="minorHAnsi"/>
                <w:bCs/>
              </w:rPr>
            </w:pPr>
            <w:r w:rsidRPr="0051709F">
              <w:rPr>
                <w:rFonts w:cstheme="minorHAnsi"/>
                <w:bCs/>
              </w:rPr>
              <w:t>No</w:t>
            </w:r>
          </w:p>
        </w:tc>
      </w:tr>
      <w:tr w:rsidR="00512539" w:rsidRPr="0051709F" w14:paraId="70897C2C" w14:textId="77777777" w:rsidTr="00F16F30">
        <w:trPr>
          <w:trHeight w:val="274"/>
        </w:trPr>
        <w:tc>
          <w:tcPr>
            <w:tcW w:w="8779" w:type="dxa"/>
            <w:tcBorders>
              <w:top w:val="single" w:sz="24" w:space="0" w:color="FFFFFF"/>
              <w:left w:val="single" w:sz="8" w:space="0" w:color="FFFFFF"/>
              <w:bottom w:val="single" w:sz="24" w:space="0" w:color="FFFFFF"/>
              <w:right w:val="single" w:sz="8" w:space="0" w:color="FFFFFF"/>
            </w:tcBorders>
            <w:shd w:val="clear" w:color="auto" w:fill="FFF2CC" w:themeFill="accent4" w:themeFillTint="33"/>
            <w:tcMar>
              <w:top w:w="15" w:type="dxa"/>
              <w:left w:w="58" w:type="dxa"/>
              <w:bottom w:w="0" w:type="dxa"/>
              <w:right w:w="58" w:type="dxa"/>
            </w:tcMar>
          </w:tcPr>
          <w:p w14:paraId="1CB540F3" w14:textId="6A60E20F" w:rsidR="00512539" w:rsidRPr="0051709F" w:rsidRDefault="00512539" w:rsidP="00F16F30">
            <w:pPr>
              <w:rPr>
                <w:rFonts w:cstheme="minorHAnsi"/>
                <w:bCs/>
              </w:rPr>
            </w:pPr>
            <w:r w:rsidRPr="0051709F">
              <w:rPr>
                <w:rFonts w:cstheme="minorHAnsi"/>
              </w:rPr>
              <w:t>Malta, Chipre, República Checa</w:t>
            </w:r>
            <w:r w:rsidR="00BD4E24">
              <w:rPr>
                <w:rFonts w:cstheme="minorHAnsi"/>
              </w:rPr>
              <w:t>.</w:t>
            </w:r>
          </w:p>
        </w:tc>
      </w:tr>
    </w:tbl>
    <w:p w14:paraId="656D9247" w14:textId="77777777" w:rsidR="00512539" w:rsidRPr="0051709F" w:rsidRDefault="00512539" w:rsidP="00512539">
      <w:pPr>
        <w:rPr>
          <w:rFonts w:eastAsia="Times New Roman" w:cstheme="minorHAnsi"/>
          <w:color w:val="333333"/>
          <w:lang w:eastAsia="en-GB"/>
        </w:rPr>
      </w:pPr>
    </w:p>
    <w:p w14:paraId="37919605" w14:textId="77777777" w:rsidR="00512539" w:rsidRPr="0051709F" w:rsidRDefault="00512539" w:rsidP="00512539">
      <w:pPr>
        <w:rPr>
          <w:rFonts w:eastAsia="Times New Roman" w:cstheme="minorHAnsi"/>
          <w:color w:val="333333"/>
          <w:lang w:eastAsia="en-GB"/>
        </w:rPr>
      </w:pPr>
    </w:p>
    <w:p w14:paraId="67350AB1" w14:textId="77777777" w:rsidR="00512539" w:rsidRPr="0051709F" w:rsidRDefault="00512539" w:rsidP="00512539">
      <w:pPr>
        <w:rPr>
          <w:rFonts w:eastAsia="Times New Roman" w:cstheme="minorHAnsi"/>
          <w:color w:val="333333"/>
          <w:lang w:eastAsia="en-GB"/>
        </w:rPr>
      </w:pPr>
    </w:p>
    <w:tbl>
      <w:tblPr>
        <w:tblStyle w:val="Tablaconcuadrcula"/>
        <w:tblW w:w="8784" w:type="dxa"/>
        <w:tblLook w:val="04A0" w:firstRow="1" w:lastRow="0" w:firstColumn="1" w:lastColumn="0" w:noHBand="0" w:noVBand="1"/>
      </w:tblPr>
      <w:tblGrid>
        <w:gridCol w:w="8784"/>
      </w:tblGrid>
      <w:tr w:rsidR="00512539" w:rsidRPr="0051709F" w14:paraId="79BD98B1" w14:textId="77777777" w:rsidTr="00F16F30">
        <w:tc>
          <w:tcPr>
            <w:tcW w:w="8784" w:type="dxa"/>
          </w:tcPr>
          <w:p w14:paraId="78E81013" w14:textId="77777777" w:rsidR="00512539" w:rsidRPr="0051709F" w:rsidRDefault="00512539" w:rsidP="00F16F30">
            <w:pPr>
              <w:jc w:val="center"/>
              <w:rPr>
                <w:rFonts w:cstheme="minorHAnsi"/>
                <w:sz w:val="24"/>
                <w:szCs w:val="24"/>
              </w:rPr>
            </w:pPr>
            <w:r w:rsidRPr="0051709F">
              <w:rPr>
                <w:rFonts w:cstheme="minorHAnsi"/>
                <w:noProof/>
                <w:lang w:val="en-GB" w:eastAsia="en-GB"/>
              </w:rPr>
              <w:drawing>
                <wp:inline distT="0" distB="0" distL="0" distR="0" wp14:anchorId="7A72FA6F" wp14:editId="5EF1F4B4">
                  <wp:extent cx="4202866" cy="2895600"/>
                  <wp:effectExtent l="0" t="0" r="7620" b="0"/>
                  <wp:docPr id="904800463" name="Imagen 90480046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rotWithShape="1">
                          <a:blip r:embed="rId31" cstate="print">
                            <a:extLst>
                              <a:ext uri="{28A0092B-C50C-407E-A947-70E740481C1C}">
                                <a14:useLocalDpi xmlns:a14="http://schemas.microsoft.com/office/drawing/2010/main" val="0"/>
                              </a:ext>
                            </a:extLst>
                          </a:blip>
                          <a:srcRect l="29484" t="8312" r="23623" b="16123"/>
                          <a:stretch/>
                        </pic:blipFill>
                        <pic:spPr bwMode="auto">
                          <a:xfrm>
                            <a:off x="0" y="0"/>
                            <a:ext cx="4296091" cy="29598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97BECD" w14:textId="77777777" w:rsidR="00512539" w:rsidRPr="0051709F" w:rsidRDefault="00512539" w:rsidP="00512539">
      <w:pPr>
        <w:jc w:val="center"/>
        <w:rPr>
          <w:rFonts w:cstheme="minorHAnsi"/>
        </w:rPr>
      </w:pPr>
    </w:p>
    <w:p w14:paraId="71A9E492" w14:textId="77777777" w:rsidR="00BD4E24" w:rsidRDefault="00BD4E24" w:rsidP="00512539">
      <w:pPr>
        <w:jc w:val="center"/>
        <w:rPr>
          <w:rFonts w:cstheme="minorHAnsi"/>
          <w:i/>
          <w:iCs/>
          <w:sz w:val="22"/>
          <w:szCs w:val="22"/>
        </w:rPr>
      </w:pPr>
    </w:p>
    <w:p w14:paraId="4D7FAC18" w14:textId="514C2811" w:rsidR="00512539" w:rsidRPr="007B667D" w:rsidRDefault="00512539" w:rsidP="00512539">
      <w:pPr>
        <w:jc w:val="center"/>
        <w:rPr>
          <w:rFonts w:cstheme="minorHAnsi"/>
          <w:i/>
          <w:iCs/>
          <w:sz w:val="22"/>
          <w:szCs w:val="22"/>
        </w:rPr>
      </w:pPr>
      <w:r w:rsidRPr="007B667D">
        <w:rPr>
          <w:rFonts w:cstheme="minorHAnsi"/>
          <w:i/>
          <w:iCs/>
          <w:sz w:val="22"/>
          <w:szCs w:val="22"/>
        </w:rPr>
        <w:t xml:space="preserve">Figura </w:t>
      </w:r>
      <w:r w:rsidR="0040157F" w:rsidRPr="007B667D">
        <w:rPr>
          <w:rFonts w:cstheme="minorHAnsi"/>
          <w:i/>
          <w:iCs/>
          <w:sz w:val="22"/>
          <w:szCs w:val="22"/>
        </w:rPr>
        <w:t>6</w:t>
      </w:r>
      <w:r w:rsidRPr="007B667D">
        <w:rPr>
          <w:rFonts w:cstheme="minorHAnsi"/>
          <w:i/>
          <w:iCs/>
          <w:sz w:val="22"/>
          <w:szCs w:val="22"/>
        </w:rPr>
        <w:t xml:space="preserve">. Información sobre el Indicador HEPA 22 en el año 2021 </w:t>
      </w:r>
    </w:p>
    <w:p w14:paraId="35F9E4AB" w14:textId="77777777" w:rsidR="00512539" w:rsidRPr="007B667D" w:rsidRDefault="00512539" w:rsidP="00512539">
      <w:pPr>
        <w:jc w:val="center"/>
        <w:rPr>
          <w:rFonts w:cstheme="minorHAnsi"/>
          <w:i/>
          <w:iCs/>
          <w:sz w:val="22"/>
          <w:szCs w:val="22"/>
        </w:rPr>
      </w:pPr>
      <w:r w:rsidRPr="007B667D">
        <w:rPr>
          <w:rFonts w:cstheme="minorHAnsi"/>
          <w:i/>
          <w:iCs/>
          <w:sz w:val="22"/>
          <w:szCs w:val="22"/>
        </w:rPr>
        <w:t>(</w:t>
      </w:r>
      <w:proofErr w:type="spellStart"/>
      <w:r w:rsidRPr="007B667D">
        <w:rPr>
          <w:rFonts w:cstheme="minorHAnsi"/>
          <w:i/>
          <w:iCs/>
          <w:sz w:val="22"/>
          <w:szCs w:val="22"/>
        </w:rPr>
        <w:t>World</w:t>
      </w:r>
      <w:proofErr w:type="spellEnd"/>
      <w:r w:rsidRPr="007B667D">
        <w:rPr>
          <w:rFonts w:cstheme="minorHAnsi"/>
          <w:i/>
          <w:iCs/>
          <w:sz w:val="22"/>
          <w:szCs w:val="22"/>
        </w:rPr>
        <w:t xml:space="preserve"> </w:t>
      </w:r>
      <w:proofErr w:type="spellStart"/>
      <w:r w:rsidRPr="007B667D">
        <w:rPr>
          <w:rFonts w:cstheme="minorHAnsi"/>
          <w:i/>
          <w:iCs/>
          <w:sz w:val="22"/>
          <w:szCs w:val="22"/>
        </w:rPr>
        <w:t>Health</w:t>
      </w:r>
      <w:proofErr w:type="spellEnd"/>
      <w:r w:rsidRPr="007B667D">
        <w:rPr>
          <w:rFonts w:cstheme="minorHAnsi"/>
          <w:i/>
          <w:iCs/>
          <w:sz w:val="22"/>
          <w:szCs w:val="22"/>
        </w:rPr>
        <w:t xml:space="preserve"> </w:t>
      </w:r>
      <w:proofErr w:type="spellStart"/>
      <w:r w:rsidRPr="007B667D">
        <w:rPr>
          <w:rFonts w:cstheme="minorHAnsi"/>
          <w:i/>
          <w:iCs/>
          <w:sz w:val="22"/>
          <w:szCs w:val="22"/>
        </w:rPr>
        <w:t>Organization</w:t>
      </w:r>
      <w:proofErr w:type="spellEnd"/>
      <w:r w:rsidRPr="007B667D">
        <w:rPr>
          <w:rFonts w:cstheme="minorHAnsi"/>
          <w:i/>
          <w:iCs/>
          <w:sz w:val="22"/>
          <w:szCs w:val="22"/>
        </w:rPr>
        <w:t>, 2021)</w:t>
      </w:r>
    </w:p>
    <w:p w14:paraId="1E05788D" w14:textId="77777777" w:rsidR="00512539" w:rsidRPr="0051709F" w:rsidRDefault="00512539" w:rsidP="00512539">
      <w:pPr>
        <w:jc w:val="center"/>
        <w:rPr>
          <w:rFonts w:cstheme="minorHAnsi"/>
          <w:b/>
          <w:bCs/>
        </w:rPr>
      </w:pPr>
    </w:p>
    <w:p w14:paraId="2267C2B3" w14:textId="77777777" w:rsidR="00512539" w:rsidRDefault="00512539" w:rsidP="00512539">
      <w:pPr>
        <w:jc w:val="center"/>
        <w:rPr>
          <w:rFonts w:cstheme="minorHAnsi"/>
          <w:b/>
          <w:bCs/>
        </w:rPr>
      </w:pPr>
    </w:p>
    <w:p w14:paraId="3226788D" w14:textId="77777777" w:rsidR="00631C6B" w:rsidRPr="0051709F" w:rsidRDefault="00631C6B" w:rsidP="00512539">
      <w:pPr>
        <w:jc w:val="center"/>
        <w:rPr>
          <w:rFonts w:cstheme="minorHAnsi"/>
          <w:b/>
          <w:bCs/>
        </w:rPr>
      </w:pPr>
    </w:p>
    <w:p w14:paraId="56EA2B6D" w14:textId="77777777" w:rsidR="006F1E6B" w:rsidRDefault="006F1E6B" w:rsidP="00512539">
      <w:pPr>
        <w:jc w:val="center"/>
        <w:rPr>
          <w:rFonts w:cstheme="minorHAnsi"/>
          <w:bCs/>
        </w:rPr>
      </w:pPr>
    </w:p>
    <w:p w14:paraId="2792D496" w14:textId="174F43D6" w:rsidR="00512539" w:rsidRPr="007B667D" w:rsidRDefault="00512539" w:rsidP="00512539">
      <w:pPr>
        <w:jc w:val="center"/>
        <w:rPr>
          <w:rFonts w:cstheme="minorHAnsi"/>
          <w:bCs/>
          <w:sz w:val="22"/>
          <w:szCs w:val="22"/>
        </w:rPr>
      </w:pPr>
      <w:r w:rsidRPr="007B667D">
        <w:rPr>
          <w:rFonts w:cstheme="minorHAnsi"/>
          <w:bCs/>
          <w:sz w:val="22"/>
          <w:szCs w:val="22"/>
        </w:rPr>
        <w:lastRenderedPageBreak/>
        <w:t xml:space="preserve">Tabla 2. Políticas o planes nacionales recogidos en los </w:t>
      </w:r>
      <w:proofErr w:type="spellStart"/>
      <w:r w:rsidRPr="0099028D">
        <w:rPr>
          <w:rFonts w:cstheme="minorHAnsi"/>
          <w:bCs/>
          <w:i/>
          <w:iCs/>
          <w:sz w:val="22"/>
          <w:szCs w:val="22"/>
        </w:rPr>
        <w:t>Factsheet</w:t>
      </w:r>
      <w:proofErr w:type="spellEnd"/>
      <w:r w:rsidRPr="007B667D">
        <w:rPr>
          <w:rFonts w:cstheme="minorHAnsi"/>
          <w:bCs/>
          <w:sz w:val="22"/>
          <w:szCs w:val="22"/>
        </w:rPr>
        <w:t xml:space="preserve"> </w:t>
      </w:r>
    </w:p>
    <w:p w14:paraId="46F241A1" w14:textId="77777777" w:rsidR="00512539" w:rsidRPr="007B667D" w:rsidRDefault="00512539" w:rsidP="00512539">
      <w:pPr>
        <w:jc w:val="center"/>
        <w:rPr>
          <w:rFonts w:cstheme="minorHAnsi"/>
          <w:bCs/>
          <w:sz w:val="22"/>
          <w:szCs w:val="22"/>
          <w:lang w:val="en-US"/>
        </w:rPr>
      </w:pPr>
      <w:proofErr w:type="spellStart"/>
      <w:r w:rsidRPr="007B667D">
        <w:rPr>
          <w:rFonts w:cstheme="minorHAnsi"/>
          <w:bCs/>
          <w:sz w:val="22"/>
          <w:szCs w:val="22"/>
          <w:lang w:val="en-US"/>
        </w:rPr>
        <w:t>sobre</w:t>
      </w:r>
      <w:proofErr w:type="spellEnd"/>
      <w:r w:rsidRPr="007B667D">
        <w:rPr>
          <w:rFonts w:cstheme="minorHAnsi"/>
          <w:bCs/>
          <w:sz w:val="22"/>
          <w:szCs w:val="22"/>
          <w:lang w:val="en-US"/>
        </w:rPr>
        <w:t xml:space="preserve"> </w:t>
      </w:r>
      <w:proofErr w:type="spellStart"/>
      <w:r w:rsidRPr="007B667D">
        <w:rPr>
          <w:rFonts w:cstheme="minorHAnsi"/>
          <w:bCs/>
          <w:sz w:val="22"/>
          <w:szCs w:val="22"/>
          <w:lang w:val="en-US"/>
        </w:rPr>
        <w:t>actividad</w:t>
      </w:r>
      <w:proofErr w:type="spellEnd"/>
      <w:r w:rsidRPr="007B667D">
        <w:rPr>
          <w:rFonts w:cstheme="minorHAnsi"/>
          <w:bCs/>
          <w:sz w:val="22"/>
          <w:szCs w:val="22"/>
          <w:lang w:val="en-US"/>
        </w:rPr>
        <w:t xml:space="preserve"> </w:t>
      </w:r>
      <w:proofErr w:type="spellStart"/>
      <w:r w:rsidRPr="007B667D">
        <w:rPr>
          <w:rFonts w:cstheme="minorHAnsi"/>
          <w:bCs/>
          <w:sz w:val="22"/>
          <w:szCs w:val="22"/>
          <w:lang w:val="en-US"/>
        </w:rPr>
        <w:t>física</w:t>
      </w:r>
      <w:proofErr w:type="spellEnd"/>
      <w:r w:rsidRPr="007B667D">
        <w:rPr>
          <w:rFonts w:cstheme="minorHAnsi"/>
          <w:bCs/>
          <w:sz w:val="22"/>
          <w:szCs w:val="22"/>
          <w:lang w:val="en-US"/>
        </w:rPr>
        <w:t xml:space="preserve"> del 2021 (World Health Organization, 2021)</w:t>
      </w:r>
    </w:p>
    <w:p w14:paraId="56CC8DBC" w14:textId="3BD2E905" w:rsidR="00512539" w:rsidRPr="007B667D" w:rsidRDefault="00BD4E24" w:rsidP="00512539">
      <w:pPr>
        <w:jc w:val="center"/>
        <w:rPr>
          <w:rFonts w:cstheme="minorHAnsi"/>
          <w:iCs/>
          <w:sz w:val="22"/>
          <w:szCs w:val="22"/>
        </w:rPr>
      </w:pPr>
      <w:r>
        <w:rPr>
          <w:rFonts w:cstheme="minorHAnsi"/>
          <w:iCs/>
          <w:sz w:val="22"/>
          <w:szCs w:val="22"/>
        </w:rPr>
        <w:t>S</w:t>
      </w:r>
      <w:r w:rsidR="00512539" w:rsidRPr="007B667D">
        <w:rPr>
          <w:rFonts w:cstheme="minorHAnsi"/>
          <w:iCs/>
          <w:sz w:val="22"/>
          <w:szCs w:val="22"/>
        </w:rPr>
        <w:t>e hace alusión específica a la evaluación o monitorización de los resultados</w:t>
      </w:r>
    </w:p>
    <w:p w14:paraId="006653BF" w14:textId="77777777" w:rsidR="00512539" w:rsidRPr="0051709F" w:rsidRDefault="00512539" w:rsidP="00512539">
      <w:pPr>
        <w:jc w:val="both"/>
        <w:rPr>
          <w:rFonts w:cstheme="minorHAnsi"/>
          <w:lang w:val="es-ES_tradnl"/>
        </w:rPr>
      </w:pPr>
    </w:p>
    <w:tbl>
      <w:tblPr>
        <w:tblStyle w:val="Tablanormal2"/>
        <w:tblW w:w="0" w:type="auto"/>
        <w:tblLook w:val="04A0" w:firstRow="1" w:lastRow="0" w:firstColumn="1" w:lastColumn="0" w:noHBand="0" w:noVBand="1"/>
      </w:tblPr>
      <w:tblGrid>
        <w:gridCol w:w="1675"/>
        <w:gridCol w:w="2558"/>
        <w:gridCol w:w="4265"/>
      </w:tblGrid>
      <w:tr w:rsidR="00512539" w:rsidRPr="0051709F" w14:paraId="760430EA" w14:textId="77777777" w:rsidTr="007B66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0A76FD2" w14:textId="77777777" w:rsidR="00512539" w:rsidRPr="0051709F" w:rsidRDefault="00512539" w:rsidP="00F16F30">
            <w:pPr>
              <w:rPr>
                <w:rFonts w:cstheme="minorHAnsi"/>
                <w:sz w:val="24"/>
                <w:szCs w:val="24"/>
                <w:lang w:val="es-ES"/>
              </w:rPr>
            </w:pPr>
            <w:r w:rsidRPr="0051709F">
              <w:rPr>
                <w:rFonts w:cstheme="minorHAnsi"/>
                <w:sz w:val="24"/>
                <w:szCs w:val="24"/>
                <w:lang w:val="es-ES"/>
              </w:rPr>
              <w:t>País</w:t>
            </w:r>
          </w:p>
        </w:tc>
        <w:tc>
          <w:tcPr>
            <w:tcW w:w="0" w:type="auto"/>
          </w:tcPr>
          <w:p w14:paraId="6279B649" w14:textId="77777777" w:rsidR="00512539" w:rsidRPr="0051709F" w:rsidRDefault="00512539" w:rsidP="00F16F30">
            <w:pPr>
              <w:cnfStyle w:val="100000000000" w:firstRow="1"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Políticas o planes de acción</w:t>
            </w:r>
          </w:p>
        </w:tc>
        <w:tc>
          <w:tcPr>
            <w:tcW w:w="0" w:type="auto"/>
          </w:tcPr>
          <w:p w14:paraId="7253056E" w14:textId="77777777" w:rsidR="00512539" w:rsidRPr="0051709F" w:rsidRDefault="00512539" w:rsidP="00F16F30">
            <w:pPr>
              <w:cnfStyle w:val="100000000000" w:firstRow="1"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Alusión a la evaluación</w:t>
            </w:r>
          </w:p>
        </w:tc>
      </w:tr>
      <w:tr w:rsidR="00512539" w:rsidRPr="0051709F" w14:paraId="1125142D"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D566D7" w14:textId="77777777" w:rsidR="00512539" w:rsidRPr="0051709F" w:rsidRDefault="00512539" w:rsidP="00F16F30">
            <w:pPr>
              <w:rPr>
                <w:rFonts w:cstheme="minorHAnsi"/>
                <w:sz w:val="24"/>
                <w:szCs w:val="24"/>
                <w:lang w:val="es-ES"/>
              </w:rPr>
            </w:pPr>
            <w:r w:rsidRPr="0051709F">
              <w:rPr>
                <w:rFonts w:cstheme="minorHAnsi"/>
                <w:sz w:val="24"/>
                <w:szCs w:val="24"/>
                <w:lang w:val="es-ES"/>
              </w:rPr>
              <w:t>FINLANDIA</w:t>
            </w:r>
          </w:p>
        </w:tc>
        <w:tc>
          <w:tcPr>
            <w:tcW w:w="0" w:type="auto"/>
          </w:tcPr>
          <w:p w14:paraId="2AD6F3E3" w14:textId="77777777"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n/a</w:t>
            </w:r>
          </w:p>
        </w:tc>
        <w:tc>
          <w:tcPr>
            <w:tcW w:w="0" w:type="auto"/>
          </w:tcPr>
          <w:p w14:paraId="135724A2"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El Organismo de Coordinación de Políticas Deportivas, establecido en 2018 por el Ministerio de Educación y Cultura, tiene como objetivo apoyar a todos los ministerios y sectores para promover la actividad física. El organismo coordina, monitorea y evalúa las acciones de los ministerios y sectores en política deportiva.</w:t>
            </w:r>
          </w:p>
        </w:tc>
      </w:tr>
      <w:tr w:rsidR="00512539" w:rsidRPr="0051709F" w14:paraId="61DA6C0E" w14:textId="77777777" w:rsidTr="007B667D">
        <w:tc>
          <w:tcPr>
            <w:cnfStyle w:val="001000000000" w:firstRow="0" w:lastRow="0" w:firstColumn="1" w:lastColumn="0" w:oddVBand="0" w:evenVBand="0" w:oddHBand="0" w:evenHBand="0" w:firstRowFirstColumn="0" w:firstRowLastColumn="0" w:lastRowFirstColumn="0" w:lastRowLastColumn="0"/>
            <w:tcW w:w="0" w:type="auto"/>
          </w:tcPr>
          <w:p w14:paraId="5683B419" w14:textId="77777777" w:rsidR="00512539" w:rsidRPr="0051709F" w:rsidRDefault="00512539" w:rsidP="00F16F30">
            <w:pPr>
              <w:rPr>
                <w:rFonts w:cstheme="minorHAnsi"/>
                <w:sz w:val="24"/>
                <w:szCs w:val="24"/>
              </w:rPr>
            </w:pPr>
            <w:r w:rsidRPr="0051709F">
              <w:rPr>
                <w:rFonts w:cstheme="minorHAnsi"/>
                <w:sz w:val="24"/>
                <w:szCs w:val="24"/>
              </w:rPr>
              <w:t>GRECIA</w:t>
            </w:r>
          </w:p>
        </w:tc>
        <w:tc>
          <w:tcPr>
            <w:tcW w:w="0" w:type="auto"/>
          </w:tcPr>
          <w:p w14:paraId="15A1144D" w14:textId="77777777" w:rsidR="00512539" w:rsidRPr="0051709F" w:rsidRDefault="00512539" w:rsidP="00F16F30">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51709F">
              <w:rPr>
                <w:rFonts w:eastAsia="FlamaCondensed-Book" w:cstheme="minorHAnsi"/>
                <w:sz w:val="24"/>
                <w:szCs w:val="24"/>
              </w:rPr>
              <w:t>SPORTS FOR ALL PROGRAMME</w:t>
            </w:r>
          </w:p>
        </w:tc>
        <w:tc>
          <w:tcPr>
            <w:tcW w:w="0" w:type="auto"/>
          </w:tcPr>
          <w:p w14:paraId="5F94930E" w14:textId="77777777" w:rsidR="00512539" w:rsidRPr="0051709F" w:rsidRDefault="00512539" w:rsidP="007B667D">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El Departamento de Planificación, Evaluación y Seguimiento evalúa la viabilidad, planificación e implementación de cada propuesta.</w:t>
            </w:r>
          </w:p>
        </w:tc>
      </w:tr>
      <w:tr w:rsidR="00512539" w:rsidRPr="0051709F" w14:paraId="10F505C6"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704B7A" w14:textId="77777777" w:rsidR="00512539" w:rsidRPr="0051709F" w:rsidRDefault="00512539" w:rsidP="00F16F30">
            <w:pPr>
              <w:rPr>
                <w:rFonts w:cstheme="minorHAnsi"/>
                <w:sz w:val="24"/>
                <w:szCs w:val="24"/>
              </w:rPr>
            </w:pPr>
            <w:r w:rsidRPr="0051709F">
              <w:rPr>
                <w:rFonts w:cstheme="minorHAnsi"/>
                <w:sz w:val="24"/>
                <w:szCs w:val="24"/>
              </w:rPr>
              <w:t>IRLANDA</w:t>
            </w:r>
          </w:p>
          <w:p w14:paraId="560C3A7F" w14:textId="77777777" w:rsidR="00512539" w:rsidRPr="0051709F" w:rsidRDefault="00512539" w:rsidP="00F16F30">
            <w:pPr>
              <w:rPr>
                <w:rFonts w:cstheme="minorHAnsi"/>
                <w:sz w:val="24"/>
                <w:szCs w:val="24"/>
              </w:rPr>
            </w:pPr>
          </w:p>
        </w:tc>
        <w:tc>
          <w:tcPr>
            <w:tcW w:w="0" w:type="auto"/>
          </w:tcPr>
          <w:p w14:paraId="2E2CF64D" w14:textId="230ABEDF"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51709F">
              <w:rPr>
                <w:rFonts w:cstheme="minorHAnsi"/>
                <w:sz w:val="24"/>
                <w:szCs w:val="24"/>
              </w:rPr>
              <w:t xml:space="preserve">GET IRELAND </w:t>
            </w:r>
            <w:r w:rsidR="0099028D" w:rsidRPr="0051709F">
              <w:rPr>
                <w:rFonts w:cstheme="minorHAnsi"/>
                <w:sz w:val="24"/>
                <w:szCs w:val="24"/>
              </w:rPr>
              <w:t>ACTIVE,</w:t>
            </w:r>
            <w:r w:rsidRPr="0051709F">
              <w:rPr>
                <w:rFonts w:cstheme="minorHAnsi"/>
                <w:sz w:val="24"/>
                <w:szCs w:val="24"/>
              </w:rPr>
              <w:t xml:space="preserve"> NATIONAL PHYSICAL ACTIVITY PLAN</w:t>
            </w:r>
          </w:p>
          <w:p w14:paraId="0DF1AB7D" w14:textId="77777777"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eastAsia="FlamaCondensed-Medium" w:cstheme="minorHAnsi"/>
                <w:color w:val="000000"/>
                <w:sz w:val="24"/>
                <w:szCs w:val="24"/>
              </w:rPr>
            </w:pPr>
          </w:p>
        </w:tc>
        <w:tc>
          <w:tcPr>
            <w:tcW w:w="0" w:type="auto"/>
          </w:tcPr>
          <w:p w14:paraId="0B4C80C7"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Las áreas de acción dentro del plan incluyen conciencia pública, educación, comunicación, entornos de salud, lugares de trabajo, investigación, seguimiento, evaluación e implementación.</w:t>
            </w:r>
          </w:p>
        </w:tc>
      </w:tr>
      <w:tr w:rsidR="00512539" w:rsidRPr="0051709F" w14:paraId="20D04788" w14:textId="77777777" w:rsidTr="007B667D">
        <w:tc>
          <w:tcPr>
            <w:cnfStyle w:val="001000000000" w:firstRow="0" w:lastRow="0" w:firstColumn="1" w:lastColumn="0" w:oddVBand="0" w:evenVBand="0" w:oddHBand="0" w:evenHBand="0" w:firstRowFirstColumn="0" w:firstRowLastColumn="0" w:lastRowFirstColumn="0" w:lastRowLastColumn="0"/>
            <w:tcW w:w="0" w:type="auto"/>
          </w:tcPr>
          <w:p w14:paraId="22EB283E" w14:textId="77777777" w:rsidR="00512539" w:rsidRPr="0051709F" w:rsidRDefault="00512539" w:rsidP="00F16F30">
            <w:pPr>
              <w:rPr>
                <w:rFonts w:cstheme="minorHAnsi"/>
                <w:sz w:val="24"/>
                <w:szCs w:val="24"/>
              </w:rPr>
            </w:pPr>
            <w:r w:rsidRPr="0051709F">
              <w:rPr>
                <w:rFonts w:cstheme="minorHAnsi"/>
                <w:sz w:val="24"/>
                <w:szCs w:val="24"/>
              </w:rPr>
              <w:t>ITALIA</w:t>
            </w:r>
          </w:p>
        </w:tc>
        <w:tc>
          <w:tcPr>
            <w:tcW w:w="0" w:type="auto"/>
          </w:tcPr>
          <w:p w14:paraId="3273858D" w14:textId="25423AC3" w:rsidR="00512539" w:rsidRPr="0051709F" w:rsidRDefault="00512539" w:rsidP="00F16F30">
            <w:pPr>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Programa “Promoción de la salud en el trabajo – Red Lombardía”, parte del Plan Regional de Prevención de Lombardía 2014–2019</w:t>
            </w:r>
          </w:p>
        </w:tc>
        <w:tc>
          <w:tcPr>
            <w:tcW w:w="0" w:type="auto"/>
          </w:tcPr>
          <w:p w14:paraId="14D74073" w14:textId="78D50B6D" w:rsidR="00512539" w:rsidRPr="0051709F" w:rsidRDefault="00512539" w:rsidP="007B667D">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Promueve la salud en el trabajo y, en particular, monitorea la prevención de los factores de riesgo comportamentales para condiciones crónicas y degenerativas.</w:t>
            </w:r>
          </w:p>
        </w:tc>
      </w:tr>
      <w:tr w:rsidR="00512539" w:rsidRPr="0051709F" w14:paraId="31817D31"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54F861" w14:textId="77777777" w:rsidR="00512539" w:rsidRPr="0051709F" w:rsidRDefault="00512539" w:rsidP="00F16F30">
            <w:pPr>
              <w:rPr>
                <w:rFonts w:cstheme="minorHAnsi"/>
                <w:sz w:val="24"/>
                <w:szCs w:val="24"/>
              </w:rPr>
            </w:pPr>
            <w:r w:rsidRPr="0051709F">
              <w:rPr>
                <w:rFonts w:cstheme="minorHAnsi"/>
                <w:sz w:val="24"/>
                <w:szCs w:val="24"/>
              </w:rPr>
              <w:t>LITUANIA</w:t>
            </w:r>
          </w:p>
        </w:tc>
        <w:tc>
          <w:tcPr>
            <w:tcW w:w="0" w:type="auto"/>
          </w:tcPr>
          <w:p w14:paraId="63C9A87B" w14:textId="77777777"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51709F">
              <w:rPr>
                <w:rFonts w:cstheme="minorHAnsi"/>
                <w:sz w:val="24"/>
                <w:szCs w:val="24"/>
              </w:rPr>
              <w:t>NATIONAL PROGRAMME FOR THE DEVELOPMENT OF PUBLIC HEALTH CARE 2016–2023</w:t>
            </w:r>
          </w:p>
        </w:tc>
        <w:tc>
          <w:tcPr>
            <w:tcW w:w="0" w:type="auto"/>
          </w:tcPr>
          <w:p w14:paraId="4A5171A4"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Los niveles de actividad física serán monitoreados en varios grupos de población para evaluar los cambios y la eficacia de las medidas.</w:t>
            </w:r>
          </w:p>
        </w:tc>
      </w:tr>
      <w:tr w:rsidR="00512539" w:rsidRPr="0051709F" w14:paraId="23696DB5" w14:textId="77777777" w:rsidTr="007B667D">
        <w:tc>
          <w:tcPr>
            <w:cnfStyle w:val="001000000000" w:firstRow="0" w:lastRow="0" w:firstColumn="1" w:lastColumn="0" w:oddVBand="0" w:evenVBand="0" w:oddHBand="0" w:evenHBand="0" w:firstRowFirstColumn="0" w:firstRowLastColumn="0" w:lastRowFirstColumn="0" w:lastRowLastColumn="0"/>
            <w:tcW w:w="0" w:type="auto"/>
          </w:tcPr>
          <w:p w14:paraId="4FAC87C2" w14:textId="77777777" w:rsidR="00512539" w:rsidRPr="0051709F" w:rsidRDefault="00512539" w:rsidP="00F16F30">
            <w:pPr>
              <w:rPr>
                <w:rFonts w:cstheme="minorHAnsi"/>
                <w:sz w:val="24"/>
                <w:szCs w:val="24"/>
              </w:rPr>
            </w:pPr>
            <w:r w:rsidRPr="0051709F">
              <w:rPr>
                <w:rFonts w:cstheme="minorHAnsi"/>
                <w:sz w:val="24"/>
                <w:szCs w:val="24"/>
              </w:rPr>
              <w:t>LUXEMBURGO</w:t>
            </w:r>
          </w:p>
        </w:tc>
        <w:tc>
          <w:tcPr>
            <w:tcW w:w="0" w:type="auto"/>
          </w:tcPr>
          <w:p w14:paraId="28E0F7D8" w14:textId="77777777" w:rsidR="00512539" w:rsidRPr="0051709F" w:rsidRDefault="00512539" w:rsidP="00F16F30">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51709F">
              <w:rPr>
                <w:rFonts w:cstheme="minorHAnsi"/>
                <w:sz w:val="24"/>
                <w:szCs w:val="24"/>
              </w:rPr>
              <w:t>NATIONAL FRAMEWORK PLAN EAT HEALTHY, MOVE MORE (GESOND IESSEN, MÉI BEWEEGEN) 2018–2025</w:t>
            </w:r>
          </w:p>
        </w:tc>
        <w:tc>
          <w:tcPr>
            <w:tcW w:w="0" w:type="auto"/>
          </w:tcPr>
          <w:p w14:paraId="5990CF31" w14:textId="20244478" w:rsidR="00512539" w:rsidRPr="0051709F" w:rsidRDefault="00512539" w:rsidP="007B667D">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rPr>
              <w:t xml:space="preserve"> </w:t>
            </w:r>
            <w:r w:rsidRPr="0051709F">
              <w:rPr>
                <w:rFonts w:cstheme="minorHAnsi"/>
                <w:sz w:val="24"/>
                <w:szCs w:val="24"/>
                <w:lang w:val="es-ES"/>
              </w:rPr>
              <w:t>El plan incluye un sistema de evaluación compuesto por indicadores cuantitativos y cualitativos del progreso de la estrategia.</w:t>
            </w:r>
          </w:p>
        </w:tc>
      </w:tr>
      <w:tr w:rsidR="00512539" w:rsidRPr="0051709F" w14:paraId="5963403C"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EA2899B" w14:textId="77777777" w:rsidR="00512539" w:rsidRPr="0051709F" w:rsidRDefault="00512539" w:rsidP="00F16F30">
            <w:pPr>
              <w:rPr>
                <w:rFonts w:cstheme="minorHAnsi"/>
                <w:sz w:val="24"/>
                <w:szCs w:val="24"/>
              </w:rPr>
            </w:pPr>
            <w:r w:rsidRPr="0051709F">
              <w:rPr>
                <w:rFonts w:cstheme="minorHAnsi"/>
                <w:sz w:val="24"/>
                <w:szCs w:val="24"/>
              </w:rPr>
              <w:t>POLONIA</w:t>
            </w:r>
          </w:p>
        </w:tc>
        <w:tc>
          <w:tcPr>
            <w:tcW w:w="0" w:type="auto"/>
          </w:tcPr>
          <w:p w14:paraId="5C85B269" w14:textId="77777777"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51709F">
              <w:rPr>
                <w:rFonts w:cstheme="minorHAnsi"/>
                <w:sz w:val="24"/>
                <w:szCs w:val="24"/>
              </w:rPr>
              <w:t>STRATEGY FOR THE DEVELOPMENT OF HUMAN CAPITAL</w:t>
            </w:r>
          </w:p>
        </w:tc>
        <w:tc>
          <w:tcPr>
            <w:tcW w:w="0" w:type="auto"/>
          </w:tcPr>
          <w:p w14:paraId="101A3B57"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Todos los proyectos dentro de la estrategia son monitorizados.</w:t>
            </w:r>
          </w:p>
        </w:tc>
      </w:tr>
      <w:tr w:rsidR="00512539" w:rsidRPr="0051709F" w14:paraId="7D2A0D19" w14:textId="77777777" w:rsidTr="007B667D">
        <w:tc>
          <w:tcPr>
            <w:cnfStyle w:val="001000000000" w:firstRow="0" w:lastRow="0" w:firstColumn="1" w:lastColumn="0" w:oddVBand="0" w:evenVBand="0" w:oddHBand="0" w:evenHBand="0" w:firstRowFirstColumn="0" w:firstRowLastColumn="0" w:lastRowFirstColumn="0" w:lastRowLastColumn="0"/>
            <w:tcW w:w="0" w:type="auto"/>
            <w:vMerge/>
          </w:tcPr>
          <w:p w14:paraId="4FA43083" w14:textId="77777777" w:rsidR="00512539" w:rsidRPr="0051709F" w:rsidRDefault="00512539" w:rsidP="00F16F30">
            <w:pPr>
              <w:rPr>
                <w:rFonts w:cstheme="minorHAnsi"/>
                <w:sz w:val="24"/>
                <w:szCs w:val="24"/>
                <w:lang w:val="es-ES"/>
              </w:rPr>
            </w:pPr>
          </w:p>
        </w:tc>
        <w:tc>
          <w:tcPr>
            <w:tcW w:w="0" w:type="auto"/>
          </w:tcPr>
          <w:p w14:paraId="68E5EEF3" w14:textId="77777777" w:rsidR="00512539" w:rsidRPr="0051709F" w:rsidRDefault="00512539" w:rsidP="00F16F30">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51709F">
              <w:rPr>
                <w:rFonts w:cstheme="minorHAnsi"/>
                <w:sz w:val="24"/>
                <w:szCs w:val="24"/>
              </w:rPr>
              <w:t>NATIONAL HEALTH PROGRAMME, 2021–2025</w:t>
            </w:r>
          </w:p>
        </w:tc>
        <w:tc>
          <w:tcPr>
            <w:tcW w:w="0" w:type="auto"/>
          </w:tcPr>
          <w:p w14:paraId="580CC68E" w14:textId="77777777" w:rsidR="00512539" w:rsidRPr="0051709F" w:rsidRDefault="00512539" w:rsidP="007B667D">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Será monitorizado a través de indicadores de la participación de las personas por edad y sexo en los programas de actividad física.</w:t>
            </w:r>
          </w:p>
        </w:tc>
      </w:tr>
      <w:tr w:rsidR="00512539" w:rsidRPr="0051709F" w14:paraId="38CC174A"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457E47" w14:textId="77777777" w:rsidR="00512539" w:rsidRPr="0051709F" w:rsidRDefault="00512539" w:rsidP="00F16F30">
            <w:pPr>
              <w:rPr>
                <w:rFonts w:cstheme="minorHAnsi"/>
                <w:sz w:val="24"/>
                <w:szCs w:val="24"/>
              </w:rPr>
            </w:pPr>
            <w:r w:rsidRPr="0051709F">
              <w:rPr>
                <w:rFonts w:cstheme="minorHAnsi"/>
                <w:sz w:val="24"/>
                <w:szCs w:val="24"/>
              </w:rPr>
              <w:lastRenderedPageBreak/>
              <w:t>PORTUGAL</w:t>
            </w:r>
          </w:p>
        </w:tc>
        <w:tc>
          <w:tcPr>
            <w:tcW w:w="0" w:type="auto"/>
          </w:tcPr>
          <w:p w14:paraId="720A4FEB" w14:textId="77777777" w:rsidR="00512539" w:rsidRPr="0051709F" w:rsidRDefault="00512539"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51709F">
              <w:rPr>
                <w:rFonts w:cstheme="minorHAnsi"/>
                <w:sz w:val="24"/>
                <w:szCs w:val="24"/>
              </w:rPr>
              <w:t>NATIONAL STRATEGY FOR ACTIVE MOBILITY 2020–2030</w:t>
            </w:r>
          </w:p>
        </w:tc>
        <w:tc>
          <w:tcPr>
            <w:tcW w:w="0" w:type="auto"/>
          </w:tcPr>
          <w:p w14:paraId="10A8DA51"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Comprende 51 medidas legislativas, de investigación, monitorización, evaluación y financiación para el fomento del ciclismo activo.</w:t>
            </w:r>
          </w:p>
        </w:tc>
      </w:tr>
      <w:tr w:rsidR="00512539" w:rsidRPr="0051709F" w14:paraId="477E0B22" w14:textId="77777777" w:rsidTr="007B667D">
        <w:tc>
          <w:tcPr>
            <w:cnfStyle w:val="001000000000" w:firstRow="0" w:lastRow="0" w:firstColumn="1" w:lastColumn="0" w:oddVBand="0" w:evenVBand="0" w:oddHBand="0" w:evenHBand="0" w:firstRowFirstColumn="0" w:firstRowLastColumn="0" w:lastRowFirstColumn="0" w:lastRowLastColumn="0"/>
            <w:tcW w:w="0" w:type="auto"/>
          </w:tcPr>
          <w:p w14:paraId="08A63EC3" w14:textId="77777777" w:rsidR="00512539" w:rsidRPr="0051709F" w:rsidRDefault="00512539" w:rsidP="00F16F30">
            <w:pPr>
              <w:rPr>
                <w:rFonts w:cstheme="minorHAnsi"/>
                <w:sz w:val="24"/>
                <w:szCs w:val="24"/>
              </w:rPr>
            </w:pPr>
            <w:r w:rsidRPr="0051709F">
              <w:rPr>
                <w:rFonts w:cstheme="minorHAnsi"/>
                <w:sz w:val="24"/>
                <w:szCs w:val="24"/>
              </w:rPr>
              <w:t>ESLOVAQUIA</w:t>
            </w:r>
          </w:p>
        </w:tc>
        <w:tc>
          <w:tcPr>
            <w:tcW w:w="0" w:type="auto"/>
          </w:tcPr>
          <w:p w14:paraId="6CC28040" w14:textId="77777777" w:rsidR="00512539" w:rsidRPr="0051709F" w:rsidRDefault="00512539" w:rsidP="00F16F30">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51709F">
              <w:rPr>
                <w:rFonts w:cstheme="minorHAnsi"/>
                <w:sz w:val="24"/>
                <w:szCs w:val="24"/>
              </w:rPr>
              <w:t>NATIONAL ACTION PLAN TO PROMOTE PHYSICAL ACTIVITY FOR YEARS 2017–2020</w:t>
            </w:r>
          </w:p>
        </w:tc>
        <w:tc>
          <w:tcPr>
            <w:tcW w:w="0" w:type="auto"/>
          </w:tcPr>
          <w:p w14:paraId="7CBF070A" w14:textId="77777777" w:rsidR="00512539" w:rsidRPr="0051709F" w:rsidRDefault="00512539" w:rsidP="007B667D">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es-ES"/>
              </w:rPr>
            </w:pPr>
            <w:r w:rsidRPr="0051709F">
              <w:rPr>
                <w:rFonts w:cstheme="minorHAnsi"/>
                <w:sz w:val="24"/>
                <w:szCs w:val="24"/>
                <w:lang w:val="es-ES"/>
              </w:rPr>
              <w:t>Fortalece el monitoreo y la vigilancia para apoyar a los profesionales en la actividad física y la evaluación e implementación del plan.</w:t>
            </w:r>
          </w:p>
        </w:tc>
      </w:tr>
      <w:tr w:rsidR="00512539" w:rsidRPr="0051709F" w14:paraId="2826EF17" w14:textId="77777777" w:rsidTr="007B6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7E04F9" w14:textId="77777777" w:rsidR="00512539" w:rsidRPr="0051709F" w:rsidRDefault="00512539" w:rsidP="00F16F30">
            <w:pPr>
              <w:rPr>
                <w:rFonts w:cstheme="minorHAnsi"/>
                <w:sz w:val="24"/>
                <w:szCs w:val="24"/>
              </w:rPr>
            </w:pPr>
            <w:r w:rsidRPr="0051709F">
              <w:rPr>
                <w:rFonts w:cstheme="minorHAnsi"/>
                <w:sz w:val="24"/>
                <w:szCs w:val="24"/>
              </w:rPr>
              <w:t>ESPAÑA</w:t>
            </w:r>
          </w:p>
        </w:tc>
        <w:tc>
          <w:tcPr>
            <w:tcW w:w="0" w:type="auto"/>
          </w:tcPr>
          <w:p w14:paraId="02919456" w14:textId="5144F731" w:rsidR="00512539" w:rsidRPr="0021277C" w:rsidRDefault="0021277C" w:rsidP="00F16F30">
            <w:pPr>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21277C">
              <w:rPr>
                <w:rFonts w:cstheme="minorHAnsi"/>
                <w:sz w:val="24"/>
                <w:szCs w:val="24"/>
                <w:lang w:val="es-ES"/>
              </w:rPr>
              <w:t>ESTRATEGIA DE PROMOCIÓN DE LA SALUD Y PREVENCIÓN EN EL SISTEMA NACIONAL DE SALUD.</w:t>
            </w:r>
          </w:p>
        </w:tc>
        <w:tc>
          <w:tcPr>
            <w:tcW w:w="0" w:type="auto"/>
          </w:tcPr>
          <w:p w14:paraId="25F44C7C" w14:textId="77777777" w:rsidR="00512539" w:rsidRPr="0051709F" w:rsidRDefault="00512539" w:rsidP="007B667D">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ES"/>
              </w:rPr>
            </w:pPr>
            <w:r w:rsidRPr="0051709F">
              <w:rPr>
                <w:rFonts w:cstheme="minorHAnsi"/>
                <w:sz w:val="24"/>
                <w:szCs w:val="24"/>
                <w:lang w:val="es-ES"/>
              </w:rPr>
              <w:t>La evaluación y el seguimiento se realizan cada dos años, con un análisis para mejorar las medidas actuales.</w:t>
            </w:r>
          </w:p>
        </w:tc>
      </w:tr>
    </w:tbl>
    <w:p w14:paraId="78AF1F1E" w14:textId="77777777" w:rsidR="00512539" w:rsidRPr="0051709F" w:rsidRDefault="00512539" w:rsidP="00512539">
      <w:pPr>
        <w:jc w:val="both"/>
        <w:rPr>
          <w:rFonts w:cstheme="minorHAnsi"/>
        </w:rPr>
      </w:pPr>
    </w:p>
    <w:p w14:paraId="3272E224" w14:textId="77777777" w:rsidR="00512539" w:rsidRPr="0051709F" w:rsidRDefault="00512539" w:rsidP="00512539">
      <w:pPr>
        <w:jc w:val="both"/>
        <w:rPr>
          <w:rFonts w:cstheme="minorHAnsi"/>
          <w:lang w:val="es-ES_tradnl"/>
        </w:rPr>
      </w:pPr>
    </w:p>
    <w:p w14:paraId="33C256E9" w14:textId="5E023849" w:rsidR="00512539" w:rsidRPr="0051709F" w:rsidRDefault="00512539" w:rsidP="00DF3DF5">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Diseño de un marco de análisis para desarrollar indicadores que permitan evaluar y monitorizar estrategias de promoción de actividad física y deporte</w:t>
      </w:r>
    </w:p>
    <w:p w14:paraId="5A181B8B" w14:textId="77777777" w:rsidR="00512539" w:rsidRPr="0051709F" w:rsidRDefault="00512539" w:rsidP="00512539">
      <w:pPr>
        <w:jc w:val="both"/>
        <w:rPr>
          <w:rFonts w:cstheme="minorHAnsi"/>
        </w:rPr>
      </w:pPr>
    </w:p>
    <w:p w14:paraId="69E597DC" w14:textId="237ED137" w:rsidR="00512539" w:rsidRPr="0051709F" w:rsidRDefault="0022064C" w:rsidP="00512539">
      <w:pPr>
        <w:jc w:val="both"/>
        <w:rPr>
          <w:rFonts w:cstheme="minorHAnsi"/>
        </w:rPr>
      </w:pPr>
      <w:r w:rsidRPr="0051709F">
        <w:rPr>
          <w:rFonts w:cstheme="minorHAnsi"/>
        </w:rPr>
        <w:t xml:space="preserve">En el año 2018, la </w:t>
      </w:r>
      <w:r w:rsidR="006D4843">
        <w:rPr>
          <w:rFonts w:cstheme="minorHAnsi"/>
          <w:bCs/>
        </w:rPr>
        <w:t>Organización Mundial de la Salud</w:t>
      </w:r>
      <w:r w:rsidR="006D4843" w:rsidRPr="0051709F">
        <w:rPr>
          <w:rFonts w:cstheme="minorHAnsi"/>
          <w:bCs/>
        </w:rPr>
        <w:t xml:space="preserve"> </w:t>
      </w:r>
      <w:r w:rsidR="00512539" w:rsidRPr="0051709F">
        <w:rPr>
          <w:rFonts w:cstheme="minorHAnsi"/>
        </w:rPr>
        <w:t>publicó objetivos globales de actividad física de los que España forma parte también. El Plan Global en Actividad Física (GAPPA en sus siglas en inglés), tiene como objetivo reducir un 15% la prevalencia de inactividad física para 2025</w:t>
      </w:r>
      <w:r w:rsidR="006A52F5" w:rsidRPr="0051709F">
        <w:rPr>
          <w:rFonts w:cstheme="minorHAnsi"/>
        </w:rPr>
        <w:t xml:space="preserve"> (Bull et al., 2020)</w:t>
      </w:r>
      <w:r w:rsidR="00512539" w:rsidRPr="0051709F">
        <w:rPr>
          <w:rFonts w:cstheme="minorHAnsi"/>
        </w:rPr>
        <w:t>. Los últimos datos evidencian que esta prevalencia, tanto en España como en Europa, no se ha modificado</w:t>
      </w:r>
      <w:r w:rsidR="00B76386">
        <w:rPr>
          <w:rFonts w:cstheme="minorHAnsi"/>
        </w:rPr>
        <w:t>,</w:t>
      </w:r>
      <w:r w:rsidR="00512539" w:rsidRPr="0051709F">
        <w:rPr>
          <w:rFonts w:cstheme="minorHAnsi"/>
        </w:rPr>
        <w:t xml:space="preserve"> </w:t>
      </w:r>
      <w:proofErr w:type="gramStart"/>
      <w:r w:rsidR="00512539" w:rsidRPr="0051709F">
        <w:rPr>
          <w:rFonts w:cstheme="minorHAnsi"/>
        </w:rPr>
        <w:t>y</w:t>
      </w:r>
      <w:proofErr w:type="gramEnd"/>
      <w:r w:rsidR="00512539" w:rsidRPr="0051709F">
        <w:rPr>
          <w:rFonts w:cstheme="minorHAnsi"/>
        </w:rPr>
        <w:t xml:space="preserve"> por lo tanto</w:t>
      </w:r>
      <w:r w:rsidR="00B76386">
        <w:rPr>
          <w:rFonts w:cstheme="minorHAnsi"/>
        </w:rPr>
        <w:t>,</w:t>
      </w:r>
      <w:r w:rsidR="00512539" w:rsidRPr="0051709F">
        <w:rPr>
          <w:rFonts w:cstheme="minorHAnsi"/>
        </w:rPr>
        <w:t xml:space="preserve"> los objetivos de reducción de prevalencia de inactividad física no se van a cumplir</w:t>
      </w:r>
      <w:r w:rsidR="006A52F5" w:rsidRPr="0051709F">
        <w:rPr>
          <w:rFonts w:cstheme="minorHAnsi"/>
        </w:rPr>
        <w:t xml:space="preserve"> (Mayo et al., 2019)</w:t>
      </w:r>
      <w:r w:rsidR="00512539" w:rsidRPr="0051709F">
        <w:rPr>
          <w:rFonts w:cstheme="minorHAnsi"/>
        </w:rPr>
        <w:t xml:space="preserve">. En el desarrollo de indicadores de evaluación que permitan contextualizar la promoción de políticas públicas para el aumento de la práctica de la actividad física, y como se puede ver en la Figura </w:t>
      </w:r>
      <w:r w:rsidR="0040157F" w:rsidRPr="0051709F">
        <w:rPr>
          <w:rFonts w:cstheme="minorHAnsi"/>
        </w:rPr>
        <w:t>7</w:t>
      </w:r>
      <w:r w:rsidR="00512539" w:rsidRPr="0051709F">
        <w:rPr>
          <w:rFonts w:cstheme="minorHAnsi"/>
        </w:rPr>
        <w:t>, es importante tener en cuenta tres ejes: la política, el sector y la escala</w:t>
      </w:r>
      <w:r w:rsidR="006A52F5" w:rsidRPr="0051709F">
        <w:rPr>
          <w:rFonts w:cstheme="minorHAnsi"/>
        </w:rPr>
        <w:t xml:space="preserve"> (Schmid et al., 2006)</w:t>
      </w:r>
      <w:r w:rsidR="00512539" w:rsidRPr="0051709F">
        <w:rPr>
          <w:rFonts w:cstheme="minorHAnsi"/>
        </w:rPr>
        <w:t xml:space="preserve">: </w:t>
      </w:r>
      <w:r w:rsidR="00B76386">
        <w:rPr>
          <w:rFonts w:cstheme="minorHAnsi"/>
        </w:rPr>
        <w:t>e</w:t>
      </w:r>
      <w:r w:rsidR="00512539" w:rsidRPr="0051709F">
        <w:rPr>
          <w:rFonts w:cstheme="minorHAnsi"/>
        </w:rPr>
        <w:t>l eje más importante es el vertical y es el que hace referencia a las diferentes formas en la cual la política puede ser estudiada (identificada, determinada, desarrollada, implementa y analizad</w:t>
      </w:r>
      <w:r w:rsidR="00B76386">
        <w:rPr>
          <w:rFonts w:cstheme="minorHAnsi"/>
        </w:rPr>
        <w:t>o</w:t>
      </w:r>
      <w:r w:rsidR="00512539" w:rsidRPr="0051709F">
        <w:rPr>
          <w:rFonts w:cstheme="minorHAnsi"/>
        </w:rPr>
        <w:t xml:space="preserve"> su impacto)</w:t>
      </w:r>
      <w:r w:rsidR="00B76386">
        <w:rPr>
          <w:rFonts w:cstheme="minorHAnsi"/>
        </w:rPr>
        <w:t>;e</w:t>
      </w:r>
      <w:r w:rsidR="00512539" w:rsidRPr="0051709F">
        <w:rPr>
          <w:rFonts w:cstheme="minorHAnsi"/>
        </w:rPr>
        <w:t>l segundo, hace referencia al sector en donde la política se desarrolla y a cuál es la relación entre los sectores (salud, transporte, espacios públicos, trabajo y escuela)</w:t>
      </w:r>
      <w:r w:rsidR="00B76386">
        <w:rPr>
          <w:rFonts w:cstheme="minorHAnsi"/>
        </w:rPr>
        <w:t>;</w:t>
      </w:r>
      <w:r w:rsidR="00512539" w:rsidRPr="0051709F">
        <w:rPr>
          <w:rFonts w:cstheme="minorHAnsi"/>
        </w:rPr>
        <w:t xml:space="preserve"> y el tercer eje es el </w:t>
      </w:r>
      <w:r w:rsidR="00B76386">
        <w:rPr>
          <w:rFonts w:cstheme="minorHAnsi"/>
        </w:rPr>
        <w:t xml:space="preserve">que se refiere al </w:t>
      </w:r>
      <w:r w:rsidR="00512539" w:rsidRPr="0051709F">
        <w:rPr>
          <w:rFonts w:cstheme="minorHAnsi"/>
        </w:rPr>
        <w:t>nivel local, autonómico, nacional o internacional. Este análisis permite categorizar</w:t>
      </w:r>
      <w:r w:rsidR="00B76386">
        <w:rPr>
          <w:rFonts w:cstheme="minorHAnsi"/>
        </w:rPr>
        <w:t>,</w:t>
      </w:r>
      <w:r w:rsidR="00512539" w:rsidRPr="0051709F">
        <w:rPr>
          <w:rFonts w:cstheme="minorHAnsi"/>
        </w:rPr>
        <w:t xml:space="preserve"> visualizar y entender la evaluación de las políticas de promoción de actividad física.</w:t>
      </w:r>
    </w:p>
    <w:p w14:paraId="27FFB022" w14:textId="77777777" w:rsidR="00512539" w:rsidRPr="0051709F" w:rsidRDefault="00512539" w:rsidP="00512539">
      <w:pPr>
        <w:jc w:val="both"/>
        <w:rPr>
          <w:rFonts w:cstheme="minorHAnsi"/>
        </w:rPr>
      </w:pPr>
    </w:p>
    <w:p w14:paraId="1714E0B2" w14:textId="77777777" w:rsidR="00512539" w:rsidRPr="0051709F" w:rsidRDefault="00512539" w:rsidP="00512539">
      <w:pPr>
        <w:jc w:val="both"/>
        <w:rPr>
          <w:rFonts w:cstheme="minorHAnsi"/>
        </w:rPr>
      </w:pPr>
    </w:p>
    <w:p w14:paraId="16FCC610" w14:textId="77777777" w:rsidR="00512539" w:rsidRPr="0051709F" w:rsidRDefault="00512539" w:rsidP="00512539">
      <w:pPr>
        <w:jc w:val="center"/>
        <w:rPr>
          <w:rFonts w:cstheme="minorHAnsi"/>
        </w:rPr>
      </w:pPr>
      <w:r w:rsidRPr="0051709F">
        <w:rPr>
          <w:rFonts w:cstheme="minorHAnsi"/>
          <w:noProof/>
          <w:lang w:val="en-GB" w:eastAsia="en-GB"/>
        </w:rPr>
        <w:lastRenderedPageBreak/>
        <w:drawing>
          <wp:inline distT="0" distB="0" distL="0" distR="0" wp14:anchorId="66A6DDED" wp14:editId="2A9CAEA8">
            <wp:extent cx="5120331" cy="2615784"/>
            <wp:effectExtent l="0" t="0" r="0" b="635"/>
            <wp:docPr id="375264736" name="Imagen 37526473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pic:nvPicPr>
                  <pic:blipFill rotWithShape="1">
                    <a:blip r:embed="rId32"/>
                    <a:srcRect b="8437"/>
                    <a:stretch/>
                  </pic:blipFill>
                  <pic:spPr bwMode="auto">
                    <a:xfrm>
                      <a:off x="0" y="0"/>
                      <a:ext cx="5127979" cy="2619691"/>
                    </a:xfrm>
                    <a:prstGeom prst="rect">
                      <a:avLst/>
                    </a:prstGeom>
                    <a:ln>
                      <a:noFill/>
                    </a:ln>
                    <a:extLst>
                      <a:ext uri="{53640926-AAD7-44D8-BBD7-CCE9431645EC}">
                        <a14:shadowObscured xmlns:a14="http://schemas.microsoft.com/office/drawing/2010/main"/>
                      </a:ext>
                    </a:extLst>
                  </pic:spPr>
                </pic:pic>
              </a:graphicData>
            </a:graphic>
          </wp:inline>
        </w:drawing>
      </w:r>
    </w:p>
    <w:p w14:paraId="7A470C88" w14:textId="2686B760" w:rsidR="00512539" w:rsidRPr="007B667D" w:rsidRDefault="00512539" w:rsidP="00512539">
      <w:pPr>
        <w:jc w:val="center"/>
        <w:rPr>
          <w:rFonts w:cstheme="minorHAnsi"/>
          <w:i/>
          <w:iCs/>
          <w:sz w:val="22"/>
          <w:szCs w:val="22"/>
        </w:rPr>
      </w:pPr>
      <w:r w:rsidRPr="007B667D">
        <w:rPr>
          <w:rFonts w:cstheme="minorHAnsi"/>
          <w:i/>
          <w:iCs/>
          <w:sz w:val="22"/>
          <w:szCs w:val="22"/>
        </w:rPr>
        <w:t xml:space="preserve">Figura </w:t>
      </w:r>
      <w:r w:rsidR="0040157F" w:rsidRPr="007B667D">
        <w:rPr>
          <w:rFonts w:cstheme="minorHAnsi"/>
          <w:i/>
          <w:iCs/>
          <w:sz w:val="22"/>
          <w:szCs w:val="22"/>
        </w:rPr>
        <w:t>7</w:t>
      </w:r>
      <w:r w:rsidRPr="007B667D">
        <w:rPr>
          <w:rFonts w:cstheme="minorHAnsi"/>
          <w:i/>
          <w:iCs/>
          <w:sz w:val="22"/>
          <w:szCs w:val="22"/>
        </w:rPr>
        <w:t xml:space="preserve">. Desarrollo de indicadores de evaluación en tres ejes: </w:t>
      </w:r>
    </w:p>
    <w:p w14:paraId="12B8AA81" w14:textId="77777777" w:rsidR="00512539" w:rsidRPr="007B667D" w:rsidRDefault="00512539" w:rsidP="00512539">
      <w:pPr>
        <w:jc w:val="center"/>
        <w:rPr>
          <w:rFonts w:cstheme="minorHAnsi"/>
          <w:i/>
          <w:iCs/>
          <w:sz w:val="22"/>
          <w:szCs w:val="22"/>
        </w:rPr>
      </w:pPr>
      <w:r w:rsidRPr="007B667D">
        <w:rPr>
          <w:rFonts w:cstheme="minorHAnsi"/>
          <w:i/>
          <w:iCs/>
          <w:sz w:val="22"/>
          <w:szCs w:val="22"/>
        </w:rPr>
        <w:t xml:space="preserve">la política, el sector y la escala </w:t>
      </w:r>
      <w:r w:rsidRPr="007B667D">
        <w:rPr>
          <w:rFonts w:cstheme="minorHAnsi"/>
          <w:i/>
          <w:iCs/>
          <w:sz w:val="22"/>
          <w:szCs w:val="22"/>
        </w:rPr>
        <w:fldChar w:fldCharType="begin" w:fldLock="1"/>
      </w:r>
      <w:r w:rsidRPr="007B667D">
        <w:rPr>
          <w:rFonts w:cstheme="minorHAnsi"/>
          <w:i/>
          <w:iCs/>
          <w:sz w:val="22"/>
          <w:szCs w:val="22"/>
        </w:rPr>
        <w:instrText>ADDIN CSL_CITATION {"citationItems":[{"id":"ITEM-1","itemData":{"DOI":"10.1123/jpah.3.s1.s20","ISSN":"15433080","abstract":"Although policy approaches are traditionally an important element of public health efforts to address major health problems, public health policy around physical activity remains poorly defined and developed. Methods: After extensive literature searches and reviews of policy frameworks developed for other public health issues such as tobacco control and injury prevention, the Centers for Disease Control and Prevention hosted a series of workshops and discussions on physical activity policy. Results: A simple model describing relationships among policy, the environment, behavior, and health was developed, a framework for organizing and conceptualizing policy interventions was described, and priorities for public health efforts to promote physical activity were proposed. Conclusions: An expanded focus on physical activity policy interventions is warranted, and such efforts can complement physical activity promotion efforts at other levels. The addition of researchers with expertise in the policy sciences will enhance the work of existing multidisciplinary teams.","author":[{"dropping-particle":"","family":"Schmid","given":"Thomas L","non-dropping-particle":"","parse-names":false,"suffix":""},{"dropping-particle":"","family":"Pratt","given":"Michael","non-dropping-particle":"","parse-names":false,"suffix":""},{"dropping-particle":"","family":"Witmer","given":"Lindsay","non-dropping-particle":"","parse-names":false,"suffix":""}],"container-title":"Journal of Physical Activity and Health","id":"ITEM-1","issued":{"date-parts":[["2006"]]},"note":"public health policy\naround physical activity remains poorly defined and developed.9-11\n\n12-14.19\n\n23","page":"20-29","title":"A Framework for Physical Activity Policy Research","type":"article-journal","volume":"3"},"uris":["http://www.mendeley.com/documents/?uuid=c291f966-0f16-4dd7-a956-7500bf4edf35"]}],"mendeley":{"formattedCitation":"(3)","plainTextFormattedCitation":"(3)","previouslyFormattedCitation":"(3)"},"properties":{"noteIndex":0},"schema":"https://github.com/citation-style-language/schema/raw/master/csl-citation.json"}</w:instrText>
      </w:r>
      <w:r w:rsidRPr="007B667D">
        <w:rPr>
          <w:rFonts w:cstheme="minorHAnsi"/>
          <w:i/>
          <w:iCs/>
          <w:sz w:val="22"/>
          <w:szCs w:val="22"/>
        </w:rPr>
        <w:fldChar w:fldCharType="separate"/>
      </w:r>
      <w:r w:rsidRPr="007B667D">
        <w:rPr>
          <w:rFonts w:cstheme="minorHAnsi"/>
          <w:i/>
          <w:iCs/>
          <w:noProof/>
          <w:sz w:val="22"/>
          <w:szCs w:val="22"/>
        </w:rPr>
        <w:t>(3)</w:t>
      </w:r>
      <w:r w:rsidRPr="007B667D">
        <w:rPr>
          <w:rFonts w:cstheme="minorHAnsi"/>
          <w:i/>
          <w:iCs/>
          <w:sz w:val="22"/>
          <w:szCs w:val="22"/>
        </w:rPr>
        <w:fldChar w:fldCharType="end"/>
      </w:r>
      <w:r w:rsidRPr="007B667D">
        <w:rPr>
          <w:rFonts w:cstheme="minorHAnsi"/>
          <w:i/>
          <w:iCs/>
          <w:sz w:val="22"/>
          <w:szCs w:val="22"/>
        </w:rPr>
        <w:t>.</w:t>
      </w:r>
    </w:p>
    <w:p w14:paraId="5171DC52" w14:textId="77777777" w:rsidR="00512539" w:rsidRPr="007B667D" w:rsidRDefault="00512539" w:rsidP="00512539">
      <w:pPr>
        <w:jc w:val="both"/>
        <w:rPr>
          <w:rFonts w:cstheme="minorHAnsi"/>
          <w:i/>
          <w:iCs/>
          <w:sz w:val="22"/>
          <w:szCs w:val="22"/>
        </w:rPr>
      </w:pPr>
    </w:p>
    <w:p w14:paraId="20EB6C5D" w14:textId="6E494260" w:rsidR="0022064C" w:rsidRPr="0051709F" w:rsidRDefault="00512539" w:rsidP="0022064C">
      <w:pPr>
        <w:jc w:val="both"/>
        <w:rPr>
          <w:rFonts w:cstheme="minorHAnsi"/>
        </w:rPr>
      </w:pPr>
      <w:r w:rsidRPr="0051709F">
        <w:rPr>
          <w:rFonts w:cstheme="minorHAnsi"/>
        </w:rPr>
        <w:t>Sin embargo, esta categorización tradicional necesaria para entender el análisis y evaluación de las políticas públicas adolece de diferentes limitaciones que son necesarias indicar. Por un lado, se centra en políticas públicas, ignorando que la iniciativa privada y el tercer sector son también importantes en la promoción de un comportamiento activo. En este sentido, ignora los procesos formales para desarrollarlas, así como los mecanismos no escritos para llevarlos a cabo. Por otro</w:t>
      </w:r>
      <w:r w:rsidR="00CA2C6C">
        <w:rPr>
          <w:rFonts w:cstheme="minorHAnsi"/>
        </w:rPr>
        <w:t xml:space="preserve"> lado</w:t>
      </w:r>
      <w:r w:rsidRPr="0051709F">
        <w:rPr>
          <w:rFonts w:cstheme="minorHAnsi"/>
        </w:rPr>
        <w:t xml:space="preserve">, este análisis es estático, impidiendo estudiar el proceso del análisis, desde su percepción hasta la toma de acuerdos y decesión de prioridades. </w:t>
      </w:r>
      <w:r w:rsidR="0022064C" w:rsidRPr="0051709F">
        <w:rPr>
          <w:rFonts w:cstheme="minorHAnsi"/>
        </w:rPr>
        <w:t>Por último, un análisis como este impide examinar con mayor amplitud el contexto para el desarrollo de la política, así como los actores involucrados en el desarrollo de la propia política.</w:t>
      </w:r>
    </w:p>
    <w:p w14:paraId="02A8EC9A" w14:textId="77777777" w:rsidR="0022064C" w:rsidRPr="0051709F" w:rsidRDefault="0022064C" w:rsidP="0022064C">
      <w:pPr>
        <w:jc w:val="both"/>
        <w:rPr>
          <w:rFonts w:cstheme="minorHAnsi"/>
        </w:rPr>
      </w:pPr>
    </w:p>
    <w:p w14:paraId="44BA57F7" w14:textId="241B14E6" w:rsidR="00512539" w:rsidRPr="0051709F" w:rsidRDefault="00512539" w:rsidP="00512539">
      <w:pPr>
        <w:jc w:val="both"/>
        <w:rPr>
          <w:rFonts w:cstheme="minorHAnsi"/>
        </w:rPr>
      </w:pPr>
      <w:r w:rsidRPr="0051709F">
        <w:rPr>
          <w:rFonts w:cstheme="minorHAnsi"/>
        </w:rPr>
        <w:t xml:space="preserve">Tal y como se muestra en la Figura </w:t>
      </w:r>
      <w:r w:rsidR="0040157F" w:rsidRPr="0051709F">
        <w:rPr>
          <w:rFonts w:cstheme="minorHAnsi"/>
        </w:rPr>
        <w:t>8</w:t>
      </w:r>
      <w:r w:rsidRPr="0051709F">
        <w:rPr>
          <w:rFonts w:cstheme="minorHAnsi"/>
        </w:rPr>
        <w:t xml:space="preserve">, es por ello por lo que es necesario añadir ciertas categorías al análisis y evaluación atendiendo al </w:t>
      </w:r>
      <w:r w:rsidR="0022064C" w:rsidRPr="0051709F">
        <w:rPr>
          <w:rFonts w:cstheme="minorHAnsi"/>
        </w:rPr>
        <w:t xml:space="preserve">propio </w:t>
      </w:r>
      <w:r w:rsidRPr="0051709F">
        <w:rPr>
          <w:rFonts w:cstheme="minorHAnsi"/>
        </w:rPr>
        <w:t>objetivo del análisis</w:t>
      </w:r>
      <w:r w:rsidR="00CA2C6C">
        <w:rPr>
          <w:rFonts w:cstheme="minorHAnsi"/>
        </w:rPr>
        <w:t>:</w:t>
      </w:r>
      <w:r w:rsidRPr="0051709F">
        <w:rPr>
          <w:rFonts w:cstheme="minorHAnsi"/>
        </w:rPr>
        <w:t xml:space="preserve"> auditoría y evaluación de políticas, al propio sector político (añadiendo a los dominios anteriores el de desarrollo y planificación urbana y rural, turismo, sector de investigación, fiscalidad y asignación de recursos económicos), el tipo de política (formal y escrita, informal y no escrita y aquellos procedimientos formales y no formales para desarrollarlas), la etapa del ciclo político (configuración de la agenda, formulación, legitimación, implementación, evaluación, mantenimiento o finalización), así como objetivo del análisis</w:t>
      </w:r>
      <w:r w:rsidR="00CA2C6C">
        <w:rPr>
          <w:rFonts w:cstheme="minorHAnsi"/>
        </w:rPr>
        <w:t>:</w:t>
      </w:r>
      <w:r w:rsidRPr="0051709F">
        <w:rPr>
          <w:rFonts w:cstheme="minorHAnsi"/>
        </w:rPr>
        <w:t xml:space="preserve"> disponibilidad, contexto, procesos, actores, voluntad política, contexto y efectos </w:t>
      </w:r>
      <w:r w:rsidR="006A52F5" w:rsidRPr="0051709F">
        <w:rPr>
          <w:rFonts w:cstheme="minorHAnsi"/>
        </w:rPr>
        <w:t>(</w:t>
      </w:r>
      <w:proofErr w:type="spellStart"/>
      <w:r w:rsidR="006A52F5" w:rsidRPr="0051709F">
        <w:rPr>
          <w:rFonts w:cstheme="minorHAnsi"/>
        </w:rPr>
        <w:t>Klepac</w:t>
      </w:r>
      <w:proofErr w:type="spellEnd"/>
      <w:r w:rsidR="006A52F5" w:rsidRPr="0051709F">
        <w:rPr>
          <w:rFonts w:cstheme="minorHAnsi"/>
        </w:rPr>
        <w:t xml:space="preserve"> </w:t>
      </w:r>
      <w:proofErr w:type="spellStart"/>
      <w:r w:rsidR="006A52F5" w:rsidRPr="0051709F">
        <w:rPr>
          <w:rFonts w:cstheme="minorHAnsi"/>
        </w:rPr>
        <w:t>Pogrmilovic</w:t>
      </w:r>
      <w:proofErr w:type="spellEnd"/>
      <w:r w:rsidR="006A52F5" w:rsidRPr="0051709F">
        <w:rPr>
          <w:rFonts w:cstheme="minorHAnsi"/>
        </w:rPr>
        <w:t xml:space="preserve"> et al., 2019).</w:t>
      </w:r>
    </w:p>
    <w:p w14:paraId="3BCD6949" w14:textId="77777777" w:rsidR="00512539" w:rsidRPr="0051709F" w:rsidRDefault="00512539" w:rsidP="00512539">
      <w:pPr>
        <w:jc w:val="both"/>
        <w:rPr>
          <w:rFonts w:cstheme="minorHAnsi"/>
        </w:rPr>
      </w:pPr>
    </w:p>
    <w:p w14:paraId="524CE518" w14:textId="77777777" w:rsidR="00512539" w:rsidRPr="0051709F" w:rsidRDefault="00512539" w:rsidP="00512539">
      <w:pPr>
        <w:jc w:val="center"/>
        <w:rPr>
          <w:rFonts w:cstheme="minorHAnsi"/>
        </w:rPr>
      </w:pPr>
    </w:p>
    <w:p w14:paraId="459F0150" w14:textId="77777777" w:rsidR="006F1E6B" w:rsidRPr="007B667D" w:rsidRDefault="00512539" w:rsidP="00512539">
      <w:pPr>
        <w:jc w:val="center"/>
        <w:rPr>
          <w:rFonts w:cstheme="minorHAnsi"/>
          <w:sz w:val="22"/>
          <w:szCs w:val="22"/>
        </w:rPr>
      </w:pPr>
      <w:r w:rsidRPr="0051709F">
        <w:rPr>
          <w:rFonts w:cstheme="minorHAnsi"/>
          <w:noProof/>
          <w:lang w:val="en-GB" w:eastAsia="en-GB"/>
        </w:rPr>
        <w:lastRenderedPageBreak/>
        <w:drawing>
          <wp:inline distT="0" distB="0" distL="0" distR="0" wp14:anchorId="57E5298A" wp14:editId="0D776A0E">
            <wp:extent cx="3828845" cy="4586990"/>
            <wp:effectExtent l="0" t="0" r="0" b="0"/>
            <wp:docPr id="1666284915" name="Imagen 166628491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pic:nvPicPr>
                  <pic:blipFill>
                    <a:blip r:embed="rId33"/>
                    <a:stretch>
                      <a:fillRect/>
                    </a:stretch>
                  </pic:blipFill>
                  <pic:spPr>
                    <a:xfrm>
                      <a:off x="0" y="0"/>
                      <a:ext cx="3835672" cy="4595169"/>
                    </a:xfrm>
                    <a:prstGeom prst="rect">
                      <a:avLst/>
                    </a:prstGeom>
                  </pic:spPr>
                </pic:pic>
              </a:graphicData>
            </a:graphic>
          </wp:inline>
        </w:drawing>
      </w:r>
      <w:r w:rsidRPr="0051709F">
        <w:rPr>
          <w:rFonts w:cstheme="minorHAnsi"/>
        </w:rPr>
        <w:br/>
      </w:r>
      <w:r w:rsidRPr="007B667D">
        <w:rPr>
          <w:rFonts w:cstheme="minorHAnsi"/>
          <w:i/>
          <w:iCs/>
          <w:sz w:val="22"/>
          <w:szCs w:val="22"/>
        </w:rPr>
        <w:t xml:space="preserve">Figura </w:t>
      </w:r>
      <w:r w:rsidR="0040157F" w:rsidRPr="007B667D">
        <w:rPr>
          <w:rFonts w:cstheme="minorHAnsi"/>
          <w:i/>
          <w:iCs/>
          <w:sz w:val="22"/>
          <w:szCs w:val="22"/>
        </w:rPr>
        <w:t>8</w:t>
      </w:r>
      <w:r w:rsidRPr="007B667D">
        <w:rPr>
          <w:rFonts w:cstheme="minorHAnsi"/>
          <w:i/>
          <w:iCs/>
          <w:sz w:val="22"/>
          <w:szCs w:val="22"/>
        </w:rPr>
        <w:t>. Marco de análisis integral de la política sobre actividad física</w:t>
      </w:r>
      <w:r w:rsidRPr="007B667D">
        <w:rPr>
          <w:rFonts w:cstheme="minorHAnsi"/>
          <w:sz w:val="22"/>
          <w:szCs w:val="22"/>
        </w:rPr>
        <w:t xml:space="preserve"> </w:t>
      </w:r>
    </w:p>
    <w:p w14:paraId="6AFD9FCF" w14:textId="0FF859F0" w:rsidR="00512539" w:rsidRPr="007B667D" w:rsidRDefault="00D1485B" w:rsidP="00512539">
      <w:pPr>
        <w:jc w:val="center"/>
        <w:rPr>
          <w:rFonts w:cstheme="minorHAnsi"/>
          <w:sz w:val="22"/>
          <w:szCs w:val="22"/>
        </w:rPr>
      </w:pPr>
      <w:r w:rsidRPr="007B667D">
        <w:rPr>
          <w:rFonts w:cstheme="minorHAnsi"/>
          <w:sz w:val="22"/>
          <w:szCs w:val="22"/>
        </w:rPr>
        <w:t>(</w:t>
      </w:r>
      <w:proofErr w:type="spellStart"/>
      <w:r w:rsidRPr="007B667D">
        <w:rPr>
          <w:rFonts w:cstheme="minorHAnsi"/>
          <w:sz w:val="22"/>
          <w:szCs w:val="22"/>
        </w:rPr>
        <w:t>Klepac</w:t>
      </w:r>
      <w:proofErr w:type="spellEnd"/>
      <w:r w:rsidRPr="007B667D">
        <w:rPr>
          <w:rFonts w:cstheme="minorHAnsi"/>
          <w:sz w:val="22"/>
          <w:szCs w:val="22"/>
        </w:rPr>
        <w:t xml:space="preserve"> </w:t>
      </w:r>
      <w:proofErr w:type="spellStart"/>
      <w:r w:rsidRPr="007B667D">
        <w:rPr>
          <w:rFonts w:cstheme="minorHAnsi"/>
          <w:sz w:val="22"/>
          <w:szCs w:val="22"/>
        </w:rPr>
        <w:t>Pogrmilovic</w:t>
      </w:r>
      <w:proofErr w:type="spellEnd"/>
      <w:r w:rsidRPr="007B667D">
        <w:rPr>
          <w:rFonts w:cstheme="minorHAnsi"/>
          <w:sz w:val="22"/>
          <w:szCs w:val="22"/>
        </w:rPr>
        <w:t xml:space="preserve"> et al., 2019).</w:t>
      </w:r>
    </w:p>
    <w:p w14:paraId="1EE8BD17" w14:textId="77777777" w:rsidR="00512539" w:rsidRPr="0051709F" w:rsidRDefault="00512539" w:rsidP="00512539">
      <w:pPr>
        <w:jc w:val="center"/>
        <w:rPr>
          <w:rFonts w:cstheme="minorHAnsi"/>
        </w:rPr>
      </w:pPr>
    </w:p>
    <w:p w14:paraId="4FE13AE5" w14:textId="77777777" w:rsidR="00512539" w:rsidRPr="0051709F" w:rsidRDefault="00512539" w:rsidP="00512539">
      <w:pPr>
        <w:jc w:val="both"/>
        <w:rPr>
          <w:rStyle w:val="rynqvb"/>
          <w:rFonts w:cstheme="minorHAnsi"/>
        </w:rPr>
      </w:pPr>
      <w:r w:rsidRPr="0051709F">
        <w:rPr>
          <w:rStyle w:val="rynqvb"/>
          <w:rFonts w:cstheme="minorHAnsi"/>
        </w:rPr>
        <w:t xml:space="preserve">Este marco conceptual puede servir como una "hoja de ruta" para analizar las políticas de promoción de actividad física, así como para facilitar el desarrollo, monitoreo, implementación y análisis de dichas políticas. </w:t>
      </w:r>
    </w:p>
    <w:p w14:paraId="7F09CDD4" w14:textId="77777777" w:rsidR="00512539" w:rsidRPr="0051709F" w:rsidRDefault="00512539" w:rsidP="00512539">
      <w:pPr>
        <w:jc w:val="both"/>
        <w:rPr>
          <w:rStyle w:val="rynqvb"/>
          <w:rFonts w:cstheme="minorHAnsi"/>
        </w:rPr>
      </w:pPr>
    </w:p>
    <w:p w14:paraId="61AADC9E" w14:textId="4FB1D270" w:rsidR="00512539" w:rsidRPr="0051709F" w:rsidRDefault="0022064C" w:rsidP="00512539">
      <w:pPr>
        <w:jc w:val="both"/>
        <w:rPr>
          <w:rFonts w:cstheme="minorHAnsi"/>
        </w:rPr>
      </w:pPr>
      <w:r w:rsidRPr="0051709F">
        <w:rPr>
          <w:rStyle w:val="rynqvb"/>
          <w:rFonts w:cstheme="minorHAnsi"/>
        </w:rPr>
        <w:t>Igualmente, e</w:t>
      </w:r>
      <w:r w:rsidR="00512539" w:rsidRPr="0051709F">
        <w:rPr>
          <w:rStyle w:val="rynqvb"/>
          <w:rFonts w:cstheme="minorHAnsi"/>
        </w:rPr>
        <w:t xml:space="preserve">ste marco también permite categorizar las políticas de promoción de actividad física como un sistema de clasificación que complementa el modelo anteriormente descrito </w:t>
      </w:r>
      <w:r w:rsidR="00D1485B" w:rsidRPr="0051709F">
        <w:rPr>
          <w:rFonts w:cstheme="minorHAnsi"/>
        </w:rPr>
        <w:t>(Schmid et al., 2006)</w:t>
      </w:r>
      <w:r w:rsidR="00512539" w:rsidRPr="0051709F">
        <w:rPr>
          <w:rFonts w:cstheme="minorHAnsi"/>
        </w:rPr>
        <w:t xml:space="preserve"> y permite estandarizar el proceso de evaluación </w:t>
      </w:r>
      <w:r w:rsidR="00512539" w:rsidRPr="0051709F">
        <w:rPr>
          <w:rStyle w:val="rynqvb"/>
          <w:rFonts w:cstheme="minorHAnsi"/>
        </w:rPr>
        <w:t>de políticas de promoción de actividad física.</w:t>
      </w:r>
    </w:p>
    <w:p w14:paraId="72DE7B41" w14:textId="77777777" w:rsidR="00512539" w:rsidRPr="0051709F" w:rsidRDefault="00512539" w:rsidP="00512539">
      <w:pPr>
        <w:jc w:val="both"/>
        <w:rPr>
          <w:rFonts w:cstheme="minorHAnsi"/>
        </w:rPr>
      </w:pPr>
    </w:p>
    <w:p w14:paraId="04825326" w14:textId="0BD22310" w:rsidR="00512539" w:rsidRPr="0051709F" w:rsidRDefault="00512539" w:rsidP="006F1E6B">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Implementación de herramientas internacionales para el desarrollo </w:t>
      </w:r>
      <w:r w:rsidR="00F4657E">
        <w:rPr>
          <w:rFonts w:asciiTheme="minorHAnsi" w:hAnsiTheme="minorHAnsi" w:cstheme="minorHAnsi"/>
          <w:sz w:val="24"/>
          <w:szCs w:val="24"/>
          <w:lang w:val="es-ES"/>
        </w:rPr>
        <w:t xml:space="preserve">de </w:t>
      </w:r>
      <w:r w:rsidRPr="0051709F">
        <w:rPr>
          <w:rFonts w:asciiTheme="minorHAnsi" w:hAnsiTheme="minorHAnsi" w:cstheme="minorHAnsi"/>
          <w:sz w:val="24"/>
          <w:szCs w:val="24"/>
          <w:lang w:val="es-ES"/>
        </w:rPr>
        <w:t>indicadores: auditar vs. evaluar</w:t>
      </w:r>
    </w:p>
    <w:p w14:paraId="16BC895C" w14:textId="77777777" w:rsidR="00512539" w:rsidRPr="0051709F" w:rsidRDefault="00512539" w:rsidP="00512539">
      <w:pPr>
        <w:jc w:val="both"/>
        <w:rPr>
          <w:rFonts w:cstheme="minorHAnsi"/>
        </w:rPr>
      </w:pPr>
    </w:p>
    <w:p w14:paraId="59EE5CDF" w14:textId="3F2BF0FC" w:rsidR="00512539" w:rsidRPr="0051709F" w:rsidRDefault="00512539" w:rsidP="00512539">
      <w:pPr>
        <w:jc w:val="both"/>
        <w:rPr>
          <w:rFonts w:cstheme="minorHAnsi"/>
        </w:rPr>
      </w:pPr>
      <w:r w:rsidRPr="0051709F">
        <w:rPr>
          <w:rFonts w:cstheme="minorHAnsi"/>
        </w:rPr>
        <w:t>En este sentido, la evaluación de las políticas de promoción de actividad física puede tener un objetivo relacionado con la auditoria (cumplimiento o no en términos absolutos, con posibilidades dicotómicas), o bien relacionado con la evaluación en un sentido más estricto. Los procesos de auditoría, con el objetivo de hacer una evaluación de las políticas existentes, es un prerrequisito para evaluar las políticas</w:t>
      </w:r>
      <w:r w:rsidR="00F4657E">
        <w:rPr>
          <w:rFonts w:cstheme="minorHAnsi"/>
        </w:rPr>
        <w:t>,</w:t>
      </w:r>
      <w:r w:rsidRPr="0051709F">
        <w:rPr>
          <w:rFonts w:cstheme="minorHAnsi"/>
        </w:rPr>
        <w:t xml:space="preserve"> ya que es necesario saber qué aspectos de las políticas de promoción se cumplen o no antes de poder evaluarlas en un sentido estricto. </w:t>
      </w:r>
      <w:r w:rsidR="00F4657E">
        <w:rPr>
          <w:rFonts w:cstheme="minorHAnsi"/>
        </w:rPr>
        <w:t>Así</w:t>
      </w:r>
      <w:r w:rsidRPr="0051709F">
        <w:rPr>
          <w:rFonts w:cstheme="minorHAnsi"/>
        </w:rPr>
        <w:t>, es necesario no s</w:t>
      </w:r>
      <w:r w:rsidR="00F4657E">
        <w:rPr>
          <w:rFonts w:cstheme="minorHAnsi"/>
        </w:rPr>
        <w:t>ó</w:t>
      </w:r>
      <w:r w:rsidRPr="0051709F">
        <w:rPr>
          <w:rFonts w:cstheme="minorHAnsi"/>
        </w:rPr>
        <w:t xml:space="preserve">lo detectar los aspectos </w:t>
      </w:r>
      <w:r w:rsidRPr="0051709F">
        <w:rPr>
          <w:rFonts w:cstheme="minorHAnsi"/>
        </w:rPr>
        <w:lastRenderedPageBreak/>
        <w:t>que ya existen, sino que es también necesario determinar como de buenos son contra ciertos estándares.</w:t>
      </w:r>
    </w:p>
    <w:p w14:paraId="286DB7AC" w14:textId="77777777" w:rsidR="00512539" w:rsidRPr="0051709F" w:rsidRDefault="00512539" w:rsidP="00512539">
      <w:pPr>
        <w:jc w:val="both"/>
        <w:rPr>
          <w:rFonts w:cstheme="minorHAnsi"/>
        </w:rPr>
      </w:pPr>
    </w:p>
    <w:p w14:paraId="142C011A" w14:textId="2AF3140D" w:rsidR="00512539" w:rsidRPr="0051709F" w:rsidRDefault="00F4657E" w:rsidP="00512539">
      <w:pPr>
        <w:jc w:val="both"/>
        <w:rPr>
          <w:rFonts w:cstheme="minorHAnsi"/>
        </w:rPr>
      </w:pPr>
      <w:r>
        <w:rPr>
          <w:rFonts w:cstheme="minorHAnsi"/>
        </w:rPr>
        <w:t>E</w:t>
      </w:r>
      <w:r w:rsidR="00512539" w:rsidRPr="0051709F">
        <w:rPr>
          <w:rFonts w:cstheme="minorHAnsi"/>
        </w:rPr>
        <w:t>ste análisis basado más en la auditoría no es suficiente para analizar como de eficaz es el desarrollo de políticas de promoción de actividad física para producir cambios en la prevalencia de inactividad.</w:t>
      </w:r>
    </w:p>
    <w:p w14:paraId="7732FE16" w14:textId="77777777" w:rsidR="00512539" w:rsidRPr="0051709F" w:rsidRDefault="00512539" w:rsidP="00512539">
      <w:pPr>
        <w:jc w:val="both"/>
        <w:rPr>
          <w:rFonts w:cstheme="minorHAnsi"/>
        </w:rPr>
      </w:pPr>
    </w:p>
    <w:p w14:paraId="7A4A824E" w14:textId="4DF5286E" w:rsidR="00512539" w:rsidRPr="0051709F" w:rsidRDefault="00512539" w:rsidP="00512539">
      <w:pPr>
        <w:jc w:val="both"/>
        <w:rPr>
          <w:rFonts w:cstheme="minorHAnsi"/>
        </w:rPr>
      </w:pPr>
      <w:r w:rsidRPr="0051709F">
        <w:rPr>
          <w:rFonts w:cstheme="minorHAnsi"/>
        </w:rPr>
        <w:t xml:space="preserve">En este sentido, con anterioridad se ha observado </w:t>
      </w:r>
      <w:r w:rsidR="00F4657E">
        <w:rPr>
          <w:rFonts w:cstheme="minorHAnsi"/>
        </w:rPr>
        <w:t>que</w:t>
      </w:r>
      <w:r w:rsidR="00F4657E" w:rsidRPr="0051709F">
        <w:rPr>
          <w:rFonts w:cstheme="minorHAnsi"/>
        </w:rPr>
        <w:t xml:space="preserve"> </w:t>
      </w:r>
      <w:r w:rsidRPr="0051709F">
        <w:rPr>
          <w:rFonts w:cstheme="minorHAnsi"/>
        </w:rPr>
        <w:t xml:space="preserve">cumplir con los criterios de promoción de actividad física de la </w:t>
      </w:r>
      <w:r w:rsidR="006D4843">
        <w:rPr>
          <w:rFonts w:cstheme="minorHAnsi"/>
          <w:bCs/>
        </w:rPr>
        <w:t>Organización Mundial de la Salud</w:t>
      </w:r>
      <w:r w:rsidR="006D4843" w:rsidRPr="0051709F">
        <w:rPr>
          <w:rFonts w:cstheme="minorHAnsi"/>
          <w:bCs/>
        </w:rPr>
        <w:t xml:space="preserve"> </w:t>
      </w:r>
      <w:r w:rsidRPr="0051709F">
        <w:rPr>
          <w:rFonts w:cstheme="minorHAnsi"/>
        </w:rPr>
        <w:t xml:space="preserve">recogidos en los </w:t>
      </w:r>
      <w:proofErr w:type="spellStart"/>
      <w:r w:rsidRPr="0051709F">
        <w:rPr>
          <w:rFonts w:cstheme="minorHAnsi"/>
          <w:i/>
          <w:iCs/>
        </w:rPr>
        <w:t>factsheet</w:t>
      </w:r>
      <w:proofErr w:type="spellEnd"/>
      <w:r w:rsidR="00F4657E">
        <w:rPr>
          <w:rFonts w:cstheme="minorHAnsi"/>
          <w:i/>
          <w:iCs/>
        </w:rPr>
        <w:t>,</w:t>
      </w:r>
      <w:r w:rsidRPr="0051709F">
        <w:rPr>
          <w:rFonts w:cstheme="minorHAnsi"/>
        </w:rPr>
        <w:t xml:space="preserve"> es insuficiente para producir reducciones en la prevalencia de inactividad física del país</w:t>
      </w:r>
      <w:r w:rsidR="00D1485B" w:rsidRPr="0051709F">
        <w:rPr>
          <w:rFonts w:cstheme="minorHAnsi"/>
        </w:rPr>
        <w:t xml:space="preserve"> (Mayo et al., 2018)</w:t>
      </w:r>
      <w:r w:rsidRPr="0051709F">
        <w:rPr>
          <w:rFonts w:cstheme="minorHAnsi"/>
        </w:rPr>
        <w:t>. En los últimos años</w:t>
      </w:r>
      <w:r w:rsidR="00F4657E">
        <w:rPr>
          <w:rFonts w:cstheme="minorHAnsi"/>
        </w:rPr>
        <w:t>,</w:t>
      </w:r>
      <w:r w:rsidRPr="0051709F">
        <w:rPr>
          <w:rFonts w:cstheme="minorHAnsi"/>
        </w:rPr>
        <w:t xml:space="preserve"> la </w:t>
      </w:r>
      <w:r w:rsidR="00F4657E">
        <w:rPr>
          <w:rFonts w:cstheme="minorHAnsi"/>
          <w:bCs/>
        </w:rPr>
        <w:t>OMS</w:t>
      </w:r>
      <w:r w:rsidR="006D4843" w:rsidRPr="0051709F">
        <w:rPr>
          <w:rFonts w:cstheme="minorHAnsi"/>
          <w:bCs/>
        </w:rPr>
        <w:t xml:space="preserve"> </w:t>
      </w:r>
      <w:r w:rsidRPr="0051709F">
        <w:rPr>
          <w:rFonts w:cstheme="minorHAnsi"/>
        </w:rPr>
        <w:t xml:space="preserve">ha desarrollado herramientas para </w:t>
      </w:r>
      <w:r w:rsidRPr="0051709F">
        <w:rPr>
          <w:rStyle w:val="rynqvb"/>
          <w:rFonts w:cstheme="minorHAnsi"/>
        </w:rPr>
        <w:t xml:space="preserve">auditar el cumplimento o no de recomendaciones sobre políticas públicas de actividad física. Por un lado, en el 2011 desarrolló el </w:t>
      </w:r>
      <w:r w:rsidRPr="0051709F">
        <w:rPr>
          <w:rFonts w:cstheme="minorHAnsi"/>
          <w:i/>
          <w:iCs/>
          <w:noProof/>
        </w:rPr>
        <w:t>Health-enhancing physical activity (HEPA) Policy Audit Tool</w:t>
      </w:r>
      <w:r w:rsidRPr="0051709F">
        <w:rPr>
          <w:rFonts w:cstheme="minorHAnsi"/>
          <w:i/>
          <w:iCs/>
        </w:rPr>
        <w:t xml:space="preserve"> (PAT),</w:t>
      </w:r>
      <w:r w:rsidRPr="0051709F">
        <w:rPr>
          <w:rStyle w:val="rynqvb"/>
          <w:rFonts w:cstheme="minorHAnsi"/>
        </w:rPr>
        <w:t xml:space="preserve"> con 17 criterios identificados como elementos exitosos para los enfoques políticos de la actividad física</w:t>
      </w:r>
      <w:r w:rsidRPr="0051709F">
        <w:rPr>
          <w:rFonts w:cstheme="minorHAnsi"/>
        </w:rPr>
        <w:t xml:space="preserve"> </w:t>
      </w:r>
      <w:r w:rsidR="00D1485B" w:rsidRPr="0051709F">
        <w:rPr>
          <w:rFonts w:cstheme="minorHAnsi"/>
        </w:rPr>
        <w:t xml:space="preserve">(Bull et al., 2011). </w:t>
      </w:r>
      <w:r w:rsidRPr="0051709F">
        <w:rPr>
          <w:rFonts w:cstheme="minorHAnsi"/>
        </w:rPr>
        <w:t xml:space="preserve">Recientemente, ha evaluado la situación mundial de la actividad física aplicando las diferentes esferas del último plan de acción mundial sobre actividad física 2018-2030 </w:t>
      </w:r>
      <w:r w:rsidR="00D1485B" w:rsidRPr="0051709F">
        <w:rPr>
          <w:rFonts w:cstheme="minorHAnsi"/>
        </w:rPr>
        <w:t>(</w:t>
      </w:r>
      <w:proofErr w:type="spellStart"/>
      <w:r w:rsidR="00D1485B" w:rsidRPr="0051709F">
        <w:rPr>
          <w:rFonts w:cstheme="minorHAnsi"/>
        </w:rPr>
        <w:t>World</w:t>
      </w:r>
      <w:proofErr w:type="spellEnd"/>
      <w:r w:rsidR="00D1485B" w:rsidRPr="0051709F">
        <w:rPr>
          <w:rFonts w:cstheme="minorHAnsi"/>
        </w:rPr>
        <w:t xml:space="preserve"> </w:t>
      </w:r>
      <w:proofErr w:type="spellStart"/>
      <w:r w:rsidR="00D1485B" w:rsidRPr="0051709F">
        <w:rPr>
          <w:rFonts w:cstheme="minorHAnsi"/>
        </w:rPr>
        <w:t>Health</w:t>
      </w:r>
      <w:proofErr w:type="spellEnd"/>
      <w:r w:rsidR="00D1485B" w:rsidRPr="0051709F">
        <w:rPr>
          <w:rFonts w:cstheme="minorHAnsi"/>
        </w:rPr>
        <w:t xml:space="preserve"> </w:t>
      </w:r>
      <w:proofErr w:type="spellStart"/>
      <w:r w:rsidR="00D1485B" w:rsidRPr="0051709F">
        <w:rPr>
          <w:rFonts w:cstheme="minorHAnsi"/>
        </w:rPr>
        <w:t>Organization</w:t>
      </w:r>
      <w:proofErr w:type="spellEnd"/>
      <w:r w:rsidR="00D1485B" w:rsidRPr="0051709F">
        <w:rPr>
          <w:rFonts w:cstheme="minorHAnsi"/>
        </w:rPr>
        <w:t>, 2022)</w:t>
      </w:r>
      <w:r w:rsidRPr="0051709F">
        <w:rPr>
          <w:rFonts w:cstheme="minorHAnsi"/>
        </w:rPr>
        <w:t xml:space="preserve"> con 4 objetivos estratégicos y 20 medidas normativas para intentar reducir los niveles de inactividad física anteriormente descritos. Dicho análisis muestra como la aplicación de GAPPA ha sido lenta y desigual a nivel global, mostrando escasos avances en la reducción de la prevalencia de inactividad física en la población mundial</w:t>
      </w:r>
      <w:r w:rsidR="00D1485B" w:rsidRPr="0051709F">
        <w:rPr>
          <w:rFonts w:cstheme="minorHAnsi"/>
        </w:rPr>
        <w:t>.</w:t>
      </w:r>
      <w:r w:rsidRPr="0051709F">
        <w:rPr>
          <w:rFonts w:cstheme="minorHAnsi"/>
        </w:rPr>
        <w:t xml:space="preserve"> </w:t>
      </w:r>
    </w:p>
    <w:p w14:paraId="1775F555" w14:textId="77777777" w:rsidR="00512539" w:rsidRPr="0051709F" w:rsidRDefault="00512539" w:rsidP="00512539">
      <w:pPr>
        <w:jc w:val="both"/>
        <w:rPr>
          <w:rFonts w:cstheme="minorHAnsi"/>
        </w:rPr>
      </w:pPr>
    </w:p>
    <w:p w14:paraId="23516F42" w14:textId="1C429B7B" w:rsidR="00512539" w:rsidRPr="0051709F" w:rsidRDefault="00512539" w:rsidP="00512539">
      <w:pPr>
        <w:jc w:val="both"/>
        <w:rPr>
          <w:rFonts w:cstheme="minorHAnsi"/>
        </w:rPr>
      </w:pPr>
      <w:r w:rsidRPr="0051709F">
        <w:rPr>
          <w:rFonts w:cstheme="minorHAnsi"/>
        </w:rPr>
        <w:t xml:space="preserve">En el caso español, este último </w:t>
      </w:r>
      <w:proofErr w:type="spellStart"/>
      <w:r w:rsidRPr="007B667D">
        <w:rPr>
          <w:rFonts w:cstheme="minorHAnsi"/>
          <w:i/>
          <w:iCs/>
        </w:rPr>
        <w:t>factsheet</w:t>
      </w:r>
      <w:proofErr w:type="spellEnd"/>
      <w:r w:rsidRPr="0051709F">
        <w:rPr>
          <w:rFonts w:cstheme="minorHAnsi"/>
        </w:rPr>
        <w:t xml:space="preserve"> del 2021 y el </w:t>
      </w:r>
      <w:r w:rsidRPr="007B667D">
        <w:rPr>
          <w:rFonts w:cstheme="minorHAnsi"/>
          <w:i/>
          <w:iCs/>
        </w:rPr>
        <w:t xml:space="preserve">country </w:t>
      </w:r>
      <w:proofErr w:type="spellStart"/>
      <w:r w:rsidRPr="007B667D">
        <w:rPr>
          <w:rFonts w:cstheme="minorHAnsi"/>
          <w:i/>
          <w:iCs/>
        </w:rPr>
        <w:t>profile</w:t>
      </w:r>
      <w:proofErr w:type="spellEnd"/>
      <w:r w:rsidRPr="0051709F">
        <w:rPr>
          <w:rFonts w:cstheme="minorHAnsi"/>
        </w:rPr>
        <w:t xml:space="preserve"> del </w:t>
      </w:r>
      <w:r w:rsidRPr="0051709F">
        <w:rPr>
          <w:rFonts w:cstheme="minorHAnsi"/>
          <w:i/>
          <w:iCs/>
        </w:rPr>
        <w:t xml:space="preserve">Global </w:t>
      </w:r>
      <w:proofErr w:type="gramStart"/>
      <w:r w:rsidRPr="0051709F">
        <w:rPr>
          <w:rFonts w:cstheme="minorHAnsi"/>
          <w:i/>
          <w:iCs/>
        </w:rPr>
        <w:t>status</w:t>
      </w:r>
      <w:proofErr w:type="gramEnd"/>
      <w:r w:rsidRPr="0051709F">
        <w:rPr>
          <w:rFonts w:cstheme="minorHAnsi"/>
          <w:i/>
          <w:iCs/>
        </w:rPr>
        <w:t xml:space="preserve"> </w:t>
      </w:r>
      <w:proofErr w:type="spellStart"/>
      <w:r w:rsidRPr="0051709F">
        <w:rPr>
          <w:rFonts w:cstheme="minorHAnsi"/>
          <w:i/>
          <w:iCs/>
        </w:rPr>
        <w:t>report</w:t>
      </w:r>
      <w:proofErr w:type="spellEnd"/>
      <w:r w:rsidRPr="0051709F">
        <w:rPr>
          <w:rFonts w:cstheme="minorHAnsi"/>
          <w:i/>
          <w:iCs/>
        </w:rPr>
        <w:t xml:space="preserve"> </w:t>
      </w:r>
      <w:proofErr w:type="spellStart"/>
      <w:r w:rsidRPr="0051709F">
        <w:rPr>
          <w:rFonts w:cstheme="minorHAnsi"/>
          <w:i/>
          <w:iCs/>
        </w:rPr>
        <w:t>on</w:t>
      </w:r>
      <w:proofErr w:type="spellEnd"/>
      <w:r w:rsidRPr="0051709F">
        <w:rPr>
          <w:rFonts w:cstheme="minorHAnsi"/>
          <w:i/>
          <w:iCs/>
        </w:rPr>
        <w:t xml:space="preserve"> </w:t>
      </w:r>
      <w:proofErr w:type="spellStart"/>
      <w:r w:rsidRPr="0051709F">
        <w:rPr>
          <w:rFonts w:cstheme="minorHAnsi"/>
          <w:i/>
          <w:iCs/>
        </w:rPr>
        <w:t>physical</w:t>
      </w:r>
      <w:proofErr w:type="spellEnd"/>
      <w:r w:rsidRPr="0051709F">
        <w:rPr>
          <w:rFonts w:cstheme="minorHAnsi"/>
          <w:i/>
          <w:iCs/>
        </w:rPr>
        <w:t xml:space="preserve"> </w:t>
      </w:r>
      <w:proofErr w:type="spellStart"/>
      <w:r w:rsidRPr="0051709F">
        <w:rPr>
          <w:rFonts w:cstheme="minorHAnsi"/>
          <w:i/>
          <w:iCs/>
        </w:rPr>
        <w:t>activity</w:t>
      </w:r>
      <w:proofErr w:type="spellEnd"/>
      <w:r w:rsidRPr="0051709F">
        <w:rPr>
          <w:rFonts w:cstheme="minorHAnsi"/>
          <w:i/>
          <w:iCs/>
        </w:rPr>
        <w:t xml:space="preserve"> </w:t>
      </w:r>
      <w:r w:rsidRPr="0051709F">
        <w:rPr>
          <w:rFonts w:cstheme="minorHAnsi"/>
        </w:rPr>
        <w:t xml:space="preserve">de 2022 han demostrado </w:t>
      </w:r>
      <w:r w:rsidR="00F4657E" w:rsidRPr="0051709F">
        <w:rPr>
          <w:rFonts w:cstheme="minorHAnsi"/>
        </w:rPr>
        <w:t>que,</w:t>
      </w:r>
      <w:r w:rsidRPr="0051709F">
        <w:rPr>
          <w:rFonts w:cstheme="minorHAnsi"/>
        </w:rPr>
        <w:t xml:space="preserve"> aunque España cumple con sus obligaciones internacionales en este ámbito</w:t>
      </w:r>
      <w:r w:rsidR="00D1485B" w:rsidRPr="0051709F">
        <w:rPr>
          <w:rFonts w:cstheme="minorHAnsi"/>
        </w:rPr>
        <w:t xml:space="preserve">, </w:t>
      </w:r>
      <w:r w:rsidRPr="0051709F">
        <w:rPr>
          <w:rFonts w:cstheme="minorHAnsi"/>
        </w:rPr>
        <w:t xml:space="preserve">los niveles de inactividad física siguen con valores comparables a los de hace 20 años </w:t>
      </w:r>
      <w:r w:rsidR="00D1485B" w:rsidRPr="0051709F">
        <w:rPr>
          <w:rFonts w:cstheme="minorHAnsi"/>
        </w:rPr>
        <w:t>(Mayo et al., 2018).</w:t>
      </w:r>
      <w:r w:rsidRPr="0051709F">
        <w:rPr>
          <w:rFonts w:cstheme="minorHAnsi"/>
        </w:rPr>
        <w:t xml:space="preserve"> Por lo tanto, es importante que más allá de herramientas para auditar, se evalúe no s</w:t>
      </w:r>
      <w:r w:rsidR="00F4657E">
        <w:rPr>
          <w:rFonts w:cstheme="minorHAnsi"/>
        </w:rPr>
        <w:t>ó</w:t>
      </w:r>
      <w:r w:rsidRPr="0051709F">
        <w:rPr>
          <w:rFonts w:cstheme="minorHAnsi"/>
        </w:rPr>
        <w:t>lo el cumplimento en términos dicotómicos, si no el grado de cumplimiento y la evolución en el cumplimiento en esos objetivos y medidas normativas para avanzar hacia una reducción significativa en la prevalencia de inactividad física. Además, es necesario un análisis de proceso, y no solo de producto final, que permita evaluar el desarrollo de esas políticas públicas desde su concepción a su implementación en el mundo real.</w:t>
      </w:r>
    </w:p>
    <w:p w14:paraId="0626055B" w14:textId="77777777" w:rsidR="00512539" w:rsidRPr="0051709F" w:rsidRDefault="00512539" w:rsidP="00512539">
      <w:pPr>
        <w:jc w:val="both"/>
        <w:rPr>
          <w:rFonts w:cstheme="minorHAnsi"/>
        </w:rPr>
      </w:pPr>
    </w:p>
    <w:p w14:paraId="7BA82762" w14:textId="554D5BD5" w:rsidR="00512539" w:rsidRPr="0051709F" w:rsidRDefault="00512539" w:rsidP="00512539">
      <w:pPr>
        <w:jc w:val="both"/>
        <w:rPr>
          <w:rFonts w:cstheme="minorHAnsi"/>
        </w:rPr>
      </w:pPr>
      <w:r w:rsidRPr="0051709F">
        <w:rPr>
          <w:rFonts w:cstheme="minorHAnsi"/>
        </w:rPr>
        <w:t xml:space="preserve">Como paso previo al desarrollo del grado de cumplimiento y evaluación de los indicadores sobre políticas eficaces para la promoción de un comportamiento activo, en la Tabla 3 se pueden observar los 4 objetivos estratégicos y 20 medidas normativas de Plan de acción mundial sobre actividad física (GAPPA) 2018-2030, que cada país miembro tiene que intentar cumplir con el objeto de </w:t>
      </w:r>
      <w:r w:rsidR="00F4657E">
        <w:rPr>
          <w:rFonts w:cstheme="minorHAnsi"/>
        </w:rPr>
        <w:t>reducirla</w:t>
      </w:r>
      <w:r w:rsidRPr="0051709F">
        <w:rPr>
          <w:rFonts w:cstheme="minorHAnsi"/>
        </w:rPr>
        <w:t xml:space="preserve"> inactividad física acordada para 2030</w:t>
      </w:r>
      <w:r w:rsidR="00F4657E">
        <w:rPr>
          <w:rFonts w:cstheme="minorHAnsi"/>
        </w:rPr>
        <w:t>:</w:t>
      </w:r>
    </w:p>
    <w:p w14:paraId="7CFBC4B2" w14:textId="77777777" w:rsidR="00512539" w:rsidRPr="0051709F" w:rsidRDefault="00512539" w:rsidP="00512539">
      <w:pPr>
        <w:jc w:val="both"/>
        <w:rPr>
          <w:rFonts w:cstheme="minorHAnsi"/>
        </w:rPr>
      </w:pPr>
    </w:p>
    <w:p w14:paraId="61B5E8A8" w14:textId="77777777" w:rsidR="00512539" w:rsidRDefault="00512539" w:rsidP="00512539">
      <w:pPr>
        <w:jc w:val="both"/>
        <w:rPr>
          <w:rFonts w:cstheme="minorHAnsi"/>
        </w:rPr>
      </w:pPr>
    </w:p>
    <w:p w14:paraId="6E4EE4F1" w14:textId="77777777" w:rsidR="006F1E6B" w:rsidRDefault="006F1E6B" w:rsidP="00512539">
      <w:pPr>
        <w:jc w:val="both"/>
        <w:rPr>
          <w:rFonts w:cstheme="minorHAnsi"/>
        </w:rPr>
      </w:pPr>
    </w:p>
    <w:p w14:paraId="3C12FE8B" w14:textId="77777777" w:rsidR="006F1E6B" w:rsidRDefault="006F1E6B" w:rsidP="00512539">
      <w:pPr>
        <w:jc w:val="both"/>
        <w:rPr>
          <w:rFonts w:cstheme="minorHAnsi"/>
        </w:rPr>
      </w:pPr>
    </w:p>
    <w:p w14:paraId="265792E9" w14:textId="77777777" w:rsidR="006F1E6B" w:rsidRDefault="006F1E6B" w:rsidP="00512539">
      <w:pPr>
        <w:jc w:val="both"/>
        <w:rPr>
          <w:rFonts w:cstheme="minorHAnsi"/>
        </w:rPr>
      </w:pPr>
    </w:p>
    <w:p w14:paraId="09CDA131" w14:textId="77777777" w:rsidR="00055DBE" w:rsidRPr="0051709F" w:rsidRDefault="00055DBE" w:rsidP="00512539">
      <w:pPr>
        <w:jc w:val="both"/>
        <w:rPr>
          <w:rFonts w:cstheme="minorHAnsi"/>
        </w:rPr>
      </w:pPr>
    </w:p>
    <w:p w14:paraId="072F3EE1" w14:textId="13C8D100" w:rsidR="008A071C" w:rsidRPr="007B667D" w:rsidRDefault="00145599" w:rsidP="00145599">
      <w:pPr>
        <w:autoSpaceDE w:val="0"/>
        <w:autoSpaceDN w:val="0"/>
        <w:adjustRightInd w:val="0"/>
        <w:jc w:val="center"/>
        <w:rPr>
          <w:rFonts w:cstheme="minorHAnsi"/>
          <w:i/>
          <w:iCs/>
          <w:sz w:val="22"/>
          <w:szCs w:val="22"/>
        </w:rPr>
      </w:pPr>
      <w:r w:rsidRPr="007B667D">
        <w:rPr>
          <w:rFonts w:cstheme="minorHAnsi"/>
          <w:bCs/>
          <w:i/>
          <w:iCs/>
          <w:sz w:val="22"/>
          <w:szCs w:val="22"/>
        </w:rPr>
        <w:lastRenderedPageBreak/>
        <w:t xml:space="preserve">Tabla 3. 4 </w:t>
      </w:r>
      <w:r w:rsidR="00F4657E">
        <w:rPr>
          <w:rFonts w:cstheme="minorHAnsi"/>
          <w:bCs/>
          <w:i/>
          <w:iCs/>
          <w:sz w:val="22"/>
          <w:szCs w:val="22"/>
        </w:rPr>
        <w:t>o</w:t>
      </w:r>
      <w:r w:rsidRPr="007B667D">
        <w:rPr>
          <w:rFonts w:cstheme="minorHAnsi"/>
          <w:bCs/>
          <w:i/>
          <w:iCs/>
          <w:sz w:val="22"/>
          <w:szCs w:val="22"/>
        </w:rPr>
        <w:t>bjetivos estratégicos y 20 medidas normativas del Plan de acción mundial sobre actividad física 2018-2030</w:t>
      </w:r>
    </w:p>
    <w:p w14:paraId="23CEB262" w14:textId="77777777" w:rsidR="008A071C" w:rsidRPr="0051709F" w:rsidRDefault="008A071C" w:rsidP="00512539">
      <w:pPr>
        <w:jc w:val="both"/>
        <w:rPr>
          <w:rFonts w:cstheme="minorHAnsi"/>
        </w:rPr>
      </w:pPr>
    </w:p>
    <w:tbl>
      <w:tblPr>
        <w:tblStyle w:val="Tablaconcuadrcula"/>
        <w:tblW w:w="9351" w:type="dxa"/>
        <w:tblLook w:val="04A0" w:firstRow="1" w:lastRow="0" w:firstColumn="1" w:lastColumn="0" w:noHBand="0" w:noVBand="1"/>
      </w:tblPr>
      <w:tblGrid>
        <w:gridCol w:w="8784"/>
        <w:gridCol w:w="567"/>
      </w:tblGrid>
      <w:tr w:rsidR="00512539" w:rsidRPr="0051709F" w14:paraId="172387F1" w14:textId="77777777" w:rsidTr="00F16F30">
        <w:tc>
          <w:tcPr>
            <w:tcW w:w="8784" w:type="dxa"/>
          </w:tcPr>
          <w:p w14:paraId="0174B0E6" w14:textId="77777777" w:rsidR="00512539" w:rsidRPr="0051709F" w:rsidRDefault="00512539" w:rsidP="00F16F30">
            <w:pPr>
              <w:autoSpaceDE w:val="0"/>
              <w:autoSpaceDN w:val="0"/>
              <w:adjustRightInd w:val="0"/>
              <w:rPr>
                <w:rFonts w:cstheme="minorHAnsi"/>
                <w:color w:val="E12B18"/>
                <w:sz w:val="24"/>
                <w:szCs w:val="24"/>
              </w:rPr>
            </w:pPr>
            <w:r w:rsidRPr="0051709F">
              <w:rPr>
                <w:rFonts w:cstheme="minorHAnsi"/>
                <w:color w:val="E12B18"/>
                <w:sz w:val="24"/>
                <w:szCs w:val="24"/>
              </w:rPr>
              <w:t>ÁREA 1 DE POLÍTICAS DEL GAPPA:</w:t>
            </w:r>
            <w:r w:rsidRPr="0051709F">
              <w:rPr>
                <w:rFonts w:cstheme="minorHAnsi"/>
                <w:color w:val="E12B18"/>
                <w:sz w:val="24"/>
                <w:szCs w:val="24"/>
              </w:rPr>
              <w:br/>
              <w:t>MEJORA DE LOS CONOCIMIENTOS Y CAMBIO DE MENTALIDAD</w:t>
            </w:r>
          </w:p>
        </w:tc>
        <w:tc>
          <w:tcPr>
            <w:tcW w:w="567" w:type="dxa"/>
          </w:tcPr>
          <w:p w14:paraId="74B321C5" w14:textId="77777777" w:rsidR="00512539" w:rsidRPr="0051709F" w:rsidRDefault="00512539" w:rsidP="00F16F30">
            <w:pPr>
              <w:rPr>
                <w:rFonts w:cstheme="minorHAnsi"/>
                <w:sz w:val="24"/>
                <w:szCs w:val="24"/>
              </w:rPr>
            </w:pPr>
          </w:p>
        </w:tc>
      </w:tr>
      <w:tr w:rsidR="00512539" w:rsidRPr="0051709F" w14:paraId="4655029A" w14:textId="77777777" w:rsidTr="00F16F30">
        <w:tc>
          <w:tcPr>
            <w:tcW w:w="8784" w:type="dxa"/>
          </w:tcPr>
          <w:p w14:paraId="4922F3DA" w14:textId="77777777" w:rsidR="00512539" w:rsidRPr="0051709F" w:rsidRDefault="00512539" w:rsidP="00F16F30">
            <w:pPr>
              <w:rPr>
                <w:rFonts w:cstheme="minorHAnsi"/>
                <w:sz w:val="24"/>
                <w:szCs w:val="24"/>
              </w:rPr>
            </w:pPr>
            <w:r w:rsidRPr="0051709F">
              <w:rPr>
                <w:rFonts w:cstheme="minorHAnsi"/>
                <w:sz w:val="24"/>
                <w:szCs w:val="24"/>
              </w:rPr>
              <w:t>Campaña nacional de comunicación sobre la actividad física</w:t>
            </w:r>
          </w:p>
        </w:tc>
        <w:tc>
          <w:tcPr>
            <w:tcW w:w="567" w:type="dxa"/>
          </w:tcPr>
          <w:p w14:paraId="5CF1E116" w14:textId="77777777" w:rsidR="00512539" w:rsidRPr="0051709F" w:rsidRDefault="00512539" w:rsidP="00F16F30">
            <w:pPr>
              <w:rPr>
                <w:rFonts w:cstheme="minorHAnsi"/>
                <w:sz w:val="24"/>
                <w:szCs w:val="24"/>
              </w:rPr>
            </w:pPr>
          </w:p>
        </w:tc>
      </w:tr>
      <w:tr w:rsidR="00512539" w:rsidRPr="0051709F" w14:paraId="6EFFE7BB" w14:textId="77777777" w:rsidTr="00F16F30">
        <w:tc>
          <w:tcPr>
            <w:tcW w:w="8784" w:type="dxa"/>
          </w:tcPr>
          <w:p w14:paraId="4651A037" w14:textId="77777777" w:rsidR="00512539" w:rsidRPr="0051709F" w:rsidRDefault="00512539" w:rsidP="00F16F30">
            <w:pPr>
              <w:rPr>
                <w:rFonts w:cstheme="minorHAnsi"/>
                <w:sz w:val="24"/>
                <w:szCs w:val="24"/>
              </w:rPr>
            </w:pPr>
            <w:r w:rsidRPr="0051709F">
              <w:rPr>
                <w:rFonts w:cstheme="minorHAnsi"/>
                <w:sz w:val="24"/>
                <w:szCs w:val="24"/>
              </w:rPr>
              <w:t>Eventos nacionales con participación multitudinaria</w:t>
            </w:r>
          </w:p>
        </w:tc>
        <w:tc>
          <w:tcPr>
            <w:tcW w:w="567" w:type="dxa"/>
          </w:tcPr>
          <w:p w14:paraId="447C48C1" w14:textId="77777777" w:rsidR="00512539" w:rsidRPr="0051709F" w:rsidRDefault="00512539" w:rsidP="00F16F30">
            <w:pPr>
              <w:rPr>
                <w:rFonts w:cstheme="minorHAnsi"/>
                <w:sz w:val="24"/>
                <w:szCs w:val="24"/>
              </w:rPr>
            </w:pPr>
          </w:p>
        </w:tc>
      </w:tr>
      <w:tr w:rsidR="00512539" w:rsidRPr="0051709F" w14:paraId="71746067" w14:textId="77777777" w:rsidTr="00F16F30">
        <w:tc>
          <w:tcPr>
            <w:tcW w:w="8784" w:type="dxa"/>
          </w:tcPr>
          <w:p w14:paraId="6A69E60B" w14:textId="77777777" w:rsidR="00512539" w:rsidRPr="0051709F" w:rsidRDefault="00512539" w:rsidP="00F16F30">
            <w:pPr>
              <w:autoSpaceDE w:val="0"/>
              <w:autoSpaceDN w:val="0"/>
              <w:adjustRightInd w:val="0"/>
              <w:rPr>
                <w:rFonts w:cstheme="minorHAnsi"/>
                <w:color w:val="029439"/>
                <w:sz w:val="24"/>
                <w:szCs w:val="24"/>
              </w:rPr>
            </w:pPr>
            <w:r w:rsidRPr="0051709F">
              <w:rPr>
                <w:rFonts w:cstheme="minorHAnsi"/>
                <w:color w:val="029439"/>
                <w:sz w:val="24"/>
                <w:szCs w:val="24"/>
              </w:rPr>
              <w:t>ÁREA 2 DE POLÍTICAS DEL GAPPA:</w:t>
            </w:r>
            <w:r w:rsidRPr="0051709F">
              <w:rPr>
                <w:rFonts w:cstheme="minorHAnsi"/>
                <w:color w:val="029439"/>
                <w:sz w:val="24"/>
                <w:szCs w:val="24"/>
              </w:rPr>
              <w:br/>
              <w:t>ENTORNOS PROPICIOS</w:t>
            </w:r>
          </w:p>
        </w:tc>
        <w:tc>
          <w:tcPr>
            <w:tcW w:w="567" w:type="dxa"/>
          </w:tcPr>
          <w:p w14:paraId="7BAB3099" w14:textId="77777777" w:rsidR="00512539" w:rsidRPr="0051709F" w:rsidRDefault="00512539" w:rsidP="00F16F30">
            <w:pPr>
              <w:rPr>
                <w:rFonts w:cstheme="minorHAnsi"/>
                <w:sz w:val="24"/>
                <w:szCs w:val="24"/>
              </w:rPr>
            </w:pPr>
          </w:p>
        </w:tc>
      </w:tr>
      <w:tr w:rsidR="00512539" w:rsidRPr="0051709F" w14:paraId="7F61C345" w14:textId="77777777" w:rsidTr="00F16F30">
        <w:tc>
          <w:tcPr>
            <w:tcW w:w="8784" w:type="dxa"/>
          </w:tcPr>
          <w:p w14:paraId="18A3555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Política nacional sobre los desplazamientos a pie y en bicicleta</w:t>
            </w:r>
          </w:p>
        </w:tc>
        <w:tc>
          <w:tcPr>
            <w:tcW w:w="567" w:type="dxa"/>
          </w:tcPr>
          <w:p w14:paraId="4D0CCEAE" w14:textId="77777777" w:rsidR="00512539" w:rsidRPr="0051709F" w:rsidRDefault="00512539" w:rsidP="00F16F30">
            <w:pPr>
              <w:rPr>
                <w:rFonts w:cstheme="minorHAnsi"/>
                <w:sz w:val="24"/>
                <w:szCs w:val="24"/>
              </w:rPr>
            </w:pPr>
          </w:p>
        </w:tc>
      </w:tr>
      <w:tr w:rsidR="00512539" w:rsidRPr="0051709F" w14:paraId="1D170356" w14:textId="77777777" w:rsidTr="00F16F30">
        <w:tc>
          <w:tcPr>
            <w:tcW w:w="8784" w:type="dxa"/>
          </w:tcPr>
          <w:p w14:paraId="648D3B0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Política nacional sobre el transporte público</w:t>
            </w:r>
          </w:p>
        </w:tc>
        <w:tc>
          <w:tcPr>
            <w:tcW w:w="567" w:type="dxa"/>
          </w:tcPr>
          <w:p w14:paraId="191D88D5" w14:textId="77777777" w:rsidR="00512539" w:rsidRPr="0051709F" w:rsidRDefault="00512539" w:rsidP="00F16F30">
            <w:pPr>
              <w:rPr>
                <w:rFonts w:cstheme="minorHAnsi"/>
                <w:sz w:val="24"/>
                <w:szCs w:val="24"/>
              </w:rPr>
            </w:pPr>
          </w:p>
        </w:tc>
      </w:tr>
      <w:tr w:rsidR="00512539" w:rsidRPr="0051709F" w14:paraId="3479BC59" w14:textId="77777777" w:rsidTr="00F16F30">
        <w:tc>
          <w:tcPr>
            <w:tcW w:w="8784" w:type="dxa"/>
          </w:tcPr>
          <w:p w14:paraId="16E7B750"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Inclusión de infraestructuras separadas para peatones y ciclistas en las normas nacionales de diseño vial</w:t>
            </w:r>
          </w:p>
        </w:tc>
        <w:tc>
          <w:tcPr>
            <w:tcW w:w="567" w:type="dxa"/>
          </w:tcPr>
          <w:p w14:paraId="52702CF6" w14:textId="77777777" w:rsidR="00512539" w:rsidRPr="0051709F" w:rsidRDefault="00512539" w:rsidP="00F16F30">
            <w:pPr>
              <w:rPr>
                <w:rFonts w:cstheme="minorHAnsi"/>
                <w:sz w:val="24"/>
                <w:szCs w:val="24"/>
              </w:rPr>
            </w:pPr>
          </w:p>
        </w:tc>
      </w:tr>
      <w:tr w:rsidR="00512539" w:rsidRPr="0051709F" w14:paraId="339C5C60" w14:textId="77777777" w:rsidTr="00F16F30">
        <w:tc>
          <w:tcPr>
            <w:tcW w:w="8784" w:type="dxa"/>
          </w:tcPr>
          <w:p w14:paraId="3D3B7A26"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Inclusión de cruces seguros para peatones y ciclistas en las normas nacionales de diseño vial</w:t>
            </w:r>
          </w:p>
        </w:tc>
        <w:tc>
          <w:tcPr>
            <w:tcW w:w="567" w:type="dxa"/>
          </w:tcPr>
          <w:p w14:paraId="2DC9D926" w14:textId="77777777" w:rsidR="00512539" w:rsidRPr="0051709F" w:rsidRDefault="00512539" w:rsidP="00F16F30">
            <w:pPr>
              <w:rPr>
                <w:rFonts w:cstheme="minorHAnsi"/>
                <w:sz w:val="24"/>
                <w:szCs w:val="24"/>
              </w:rPr>
            </w:pPr>
          </w:p>
        </w:tc>
      </w:tr>
      <w:tr w:rsidR="00512539" w:rsidRPr="0051709F" w14:paraId="2BBD2B44" w14:textId="77777777" w:rsidTr="00F16F30">
        <w:tc>
          <w:tcPr>
            <w:tcW w:w="8784" w:type="dxa"/>
          </w:tcPr>
          <w:p w14:paraId="109092FD"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Normas nacionales de diseño vial sobre la regulación de la velocidad segura</w:t>
            </w:r>
          </w:p>
        </w:tc>
        <w:tc>
          <w:tcPr>
            <w:tcW w:w="567" w:type="dxa"/>
          </w:tcPr>
          <w:p w14:paraId="1563ABA9" w14:textId="77777777" w:rsidR="00512539" w:rsidRPr="0051709F" w:rsidRDefault="00512539" w:rsidP="00F16F30">
            <w:pPr>
              <w:rPr>
                <w:rFonts w:cstheme="minorHAnsi"/>
                <w:sz w:val="24"/>
                <w:szCs w:val="24"/>
              </w:rPr>
            </w:pPr>
          </w:p>
        </w:tc>
      </w:tr>
      <w:tr w:rsidR="00512539" w:rsidRPr="0051709F" w14:paraId="0EB8BF8F" w14:textId="77777777" w:rsidTr="00F16F30">
        <w:tc>
          <w:tcPr>
            <w:tcW w:w="8784" w:type="dxa"/>
          </w:tcPr>
          <w:p w14:paraId="1331A460"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Normas nacionales de diseño vial para los tres elementos de la seguridad vial</w:t>
            </w:r>
          </w:p>
        </w:tc>
        <w:tc>
          <w:tcPr>
            <w:tcW w:w="567" w:type="dxa"/>
          </w:tcPr>
          <w:p w14:paraId="727BB417" w14:textId="77777777" w:rsidR="00512539" w:rsidRPr="0051709F" w:rsidRDefault="00512539" w:rsidP="00F16F30">
            <w:pPr>
              <w:rPr>
                <w:rFonts w:cstheme="minorHAnsi"/>
                <w:sz w:val="24"/>
                <w:szCs w:val="24"/>
              </w:rPr>
            </w:pPr>
          </w:p>
        </w:tc>
      </w:tr>
      <w:tr w:rsidR="00512539" w:rsidRPr="0051709F" w14:paraId="1EC1F625" w14:textId="77777777" w:rsidTr="00F16F30">
        <w:tc>
          <w:tcPr>
            <w:tcW w:w="8784" w:type="dxa"/>
          </w:tcPr>
          <w:p w14:paraId="60998553"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Estrategia nacional de seguridad vial</w:t>
            </w:r>
          </w:p>
        </w:tc>
        <w:tc>
          <w:tcPr>
            <w:tcW w:w="567" w:type="dxa"/>
          </w:tcPr>
          <w:p w14:paraId="7C9C99B7" w14:textId="77777777" w:rsidR="00512539" w:rsidRPr="0051709F" w:rsidRDefault="00512539" w:rsidP="00F16F30">
            <w:pPr>
              <w:rPr>
                <w:rFonts w:cstheme="minorHAnsi"/>
                <w:sz w:val="24"/>
                <w:szCs w:val="24"/>
              </w:rPr>
            </w:pPr>
          </w:p>
        </w:tc>
      </w:tr>
      <w:tr w:rsidR="00512539" w:rsidRPr="0051709F" w14:paraId="0AE326B0" w14:textId="77777777" w:rsidTr="00F16F30">
        <w:tc>
          <w:tcPr>
            <w:tcW w:w="8784" w:type="dxa"/>
          </w:tcPr>
          <w:p w14:paraId="120CBC3E"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Financiación completa de la estrategia nacional de seguridad vial</w:t>
            </w:r>
          </w:p>
        </w:tc>
        <w:tc>
          <w:tcPr>
            <w:tcW w:w="567" w:type="dxa"/>
          </w:tcPr>
          <w:p w14:paraId="0D9E3EFD" w14:textId="77777777" w:rsidR="00512539" w:rsidRPr="0051709F" w:rsidRDefault="00512539" w:rsidP="00F16F30">
            <w:pPr>
              <w:rPr>
                <w:rFonts w:cstheme="minorHAnsi"/>
                <w:sz w:val="24"/>
                <w:szCs w:val="24"/>
              </w:rPr>
            </w:pPr>
          </w:p>
        </w:tc>
      </w:tr>
      <w:tr w:rsidR="00512539" w:rsidRPr="0051709F" w14:paraId="5FF90D74" w14:textId="77777777" w:rsidTr="00F16F30">
        <w:tc>
          <w:tcPr>
            <w:tcW w:w="8784" w:type="dxa"/>
          </w:tcPr>
          <w:p w14:paraId="474FD8F2"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Evaluación nacional de la seguridad vial de todas las vías nuevas</w:t>
            </w:r>
          </w:p>
        </w:tc>
        <w:tc>
          <w:tcPr>
            <w:tcW w:w="567" w:type="dxa"/>
          </w:tcPr>
          <w:p w14:paraId="5D429FCB" w14:textId="77777777" w:rsidR="00512539" w:rsidRPr="0051709F" w:rsidRDefault="00512539" w:rsidP="00F16F30">
            <w:pPr>
              <w:rPr>
                <w:rFonts w:cstheme="minorHAnsi"/>
                <w:sz w:val="24"/>
                <w:szCs w:val="24"/>
              </w:rPr>
            </w:pPr>
          </w:p>
        </w:tc>
      </w:tr>
      <w:tr w:rsidR="00512539" w:rsidRPr="0051709F" w14:paraId="36C1F3DC" w14:textId="77777777" w:rsidTr="00F16F30">
        <w:tc>
          <w:tcPr>
            <w:tcW w:w="8784" w:type="dxa"/>
          </w:tcPr>
          <w:p w14:paraId="70860BC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Evaluación nacional de la seguridad vial de las vías existentes para todos los usuarios</w:t>
            </w:r>
          </w:p>
        </w:tc>
        <w:tc>
          <w:tcPr>
            <w:tcW w:w="567" w:type="dxa"/>
          </w:tcPr>
          <w:p w14:paraId="617DEB8A" w14:textId="77777777" w:rsidR="00512539" w:rsidRPr="0051709F" w:rsidRDefault="00512539" w:rsidP="00F16F30">
            <w:pPr>
              <w:rPr>
                <w:rFonts w:cstheme="minorHAnsi"/>
                <w:sz w:val="24"/>
                <w:szCs w:val="24"/>
              </w:rPr>
            </w:pPr>
          </w:p>
        </w:tc>
      </w:tr>
      <w:tr w:rsidR="00512539" w:rsidRPr="0051709F" w14:paraId="26EA2957" w14:textId="77777777" w:rsidTr="00F16F30">
        <w:tc>
          <w:tcPr>
            <w:tcW w:w="8784" w:type="dxa"/>
          </w:tcPr>
          <w:p w14:paraId="49B519E2"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Legislación nacional sobre límites de velocidad conforme a las prácticas óptimas</w:t>
            </w:r>
          </w:p>
        </w:tc>
        <w:tc>
          <w:tcPr>
            <w:tcW w:w="567" w:type="dxa"/>
          </w:tcPr>
          <w:p w14:paraId="43AEE092" w14:textId="77777777" w:rsidR="00512539" w:rsidRPr="0051709F" w:rsidRDefault="00512539" w:rsidP="00F16F30">
            <w:pPr>
              <w:rPr>
                <w:rFonts w:cstheme="minorHAnsi"/>
                <w:sz w:val="24"/>
                <w:szCs w:val="24"/>
              </w:rPr>
            </w:pPr>
          </w:p>
        </w:tc>
      </w:tr>
      <w:tr w:rsidR="00512539" w:rsidRPr="0051709F" w14:paraId="2DBB0122" w14:textId="77777777" w:rsidTr="00F16F30">
        <w:tc>
          <w:tcPr>
            <w:tcW w:w="8784" w:type="dxa"/>
          </w:tcPr>
          <w:p w14:paraId="0040C274"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Legislación nacional sobre la conducción bajo los efectos del alcohol conforme a las prácticas óptimas</w:t>
            </w:r>
          </w:p>
        </w:tc>
        <w:tc>
          <w:tcPr>
            <w:tcW w:w="567" w:type="dxa"/>
          </w:tcPr>
          <w:p w14:paraId="4F70996E" w14:textId="77777777" w:rsidR="00512539" w:rsidRPr="0051709F" w:rsidRDefault="00512539" w:rsidP="00F16F30">
            <w:pPr>
              <w:rPr>
                <w:rFonts w:cstheme="minorHAnsi"/>
                <w:sz w:val="24"/>
                <w:szCs w:val="24"/>
              </w:rPr>
            </w:pPr>
          </w:p>
        </w:tc>
      </w:tr>
      <w:tr w:rsidR="00512539" w:rsidRPr="0051709F" w14:paraId="70DFC11C" w14:textId="77777777" w:rsidTr="00F16F30">
        <w:tc>
          <w:tcPr>
            <w:tcW w:w="8784" w:type="dxa"/>
          </w:tcPr>
          <w:p w14:paraId="7A2733FD"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Legislación nacional sobre el uso de teléfonos móviles (celulares) al volante</w:t>
            </w:r>
          </w:p>
        </w:tc>
        <w:tc>
          <w:tcPr>
            <w:tcW w:w="567" w:type="dxa"/>
          </w:tcPr>
          <w:p w14:paraId="4D026B6B" w14:textId="77777777" w:rsidR="00512539" w:rsidRPr="0051709F" w:rsidRDefault="00512539" w:rsidP="00F16F30">
            <w:pPr>
              <w:rPr>
                <w:rFonts w:cstheme="minorHAnsi"/>
                <w:sz w:val="24"/>
                <w:szCs w:val="24"/>
              </w:rPr>
            </w:pPr>
          </w:p>
        </w:tc>
      </w:tr>
      <w:tr w:rsidR="00512539" w:rsidRPr="0051709F" w14:paraId="70877245" w14:textId="77777777" w:rsidTr="00F16F30">
        <w:tc>
          <w:tcPr>
            <w:tcW w:w="8784" w:type="dxa"/>
          </w:tcPr>
          <w:p w14:paraId="530035D3"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Legislación nacional sobre la conducción bajo los efectos de drogas</w:t>
            </w:r>
          </w:p>
        </w:tc>
        <w:tc>
          <w:tcPr>
            <w:tcW w:w="567" w:type="dxa"/>
          </w:tcPr>
          <w:p w14:paraId="4A1DB3CC" w14:textId="77777777" w:rsidR="00512539" w:rsidRPr="0051709F" w:rsidRDefault="00512539" w:rsidP="00F16F30">
            <w:pPr>
              <w:rPr>
                <w:rFonts w:cstheme="minorHAnsi"/>
                <w:sz w:val="24"/>
                <w:szCs w:val="24"/>
              </w:rPr>
            </w:pPr>
          </w:p>
        </w:tc>
      </w:tr>
      <w:tr w:rsidR="00512539" w:rsidRPr="0051709F" w14:paraId="5F3D6064" w14:textId="77777777" w:rsidTr="00F16F30">
        <w:tc>
          <w:tcPr>
            <w:tcW w:w="8784" w:type="dxa"/>
          </w:tcPr>
          <w:p w14:paraId="1737C71E"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Política nacional sobre espacios públicos abiertos</w:t>
            </w:r>
          </w:p>
        </w:tc>
        <w:tc>
          <w:tcPr>
            <w:tcW w:w="567" w:type="dxa"/>
          </w:tcPr>
          <w:p w14:paraId="51DE7BBA" w14:textId="77777777" w:rsidR="00512539" w:rsidRPr="0051709F" w:rsidRDefault="00512539" w:rsidP="00F16F30">
            <w:pPr>
              <w:rPr>
                <w:rFonts w:cstheme="minorHAnsi"/>
                <w:sz w:val="24"/>
                <w:szCs w:val="24"/>
              </w:rPr>
            </w:pPr>
          </w:p>
        </w:tc>
      </w:tr>
      <w:tr w:rsidR="00512539" w:rsidRPr="0051709F" w14:paraId="4597C7F4" w14:textId="77777777" w:rsidTr="00F16F30">
        <w:tc>
          <w:tcPr>
            <w:tcW w:w="8784" w:type="dxa"/>
          </w:tcPr>
          <w:p w14:paraId="50A7C3A7" w14:textId="77777777" w:rsidR="00512539" w:rsidRPr="0051709F" w:rsidRDefault="00512539" w:rsidP="00F16F30">
            <w:pPr>
              <w:autoSpaceDE w:val="0"/>
              <w:autoSpaceDN w:val="0"/>
              <w:adjustRightInd w:val="0"/>
              <w:rPr>
                <w:rFonts w:cstheme="minorHAnsi"/>
                <w:color w:val="FAB50B"/>
                <w:sz w:val="24"/>
                <w:szCs w:val="24"/>
              </w:rPr>
            </w:pPr>
            <w:r w:rsidRPr="0051709F">
              <w:rPr>
                <w:rFonts w:cstheme="minorHAnsi"/>
                <w:color w:val="FAB50B"/>
                <w:sz w:val="24"/>
                <w:szCs w:val="24"/>
              </w:rPr>
              <w:t>ÁREA 3 DE POLÍTICAS DEL GAPPA:</w:t>
            </w:r>
            <w:r w:rsidRPr="0051709F">
              <w:rPr>
                <w:rFonts w:cstheme="minorHAnsi"/>
                <w:color w:val="FAB50B"/>
                <w:sz w:val="24"/>
                <w:szCs w:val="24"/>
              </w:rPr>
              <w:br/>
              <w:t>FOMENTO DEL ACCESO A OPORTUNIDADES Y PROGRAMAS SOBRE ACTIVIDAD FÍSICA</w:t>
            </w:r>
          </w:p>
        </w:tc>
        <w:tc>
          <w:tcPr>
            <w:tcW w:w="567" w:type="dxa"/>
          </w:tcPr>
          <w:p w14:paraId="4F09CA04" w14:textId="77777777" w:rsidR="00512539" w:rsidRPr="0051709F" w:rsidRDefault="00512539" w:rsidP="00F16F30">
            <w:pPr>
              <w:rPr>
                <w:rFonts w:cstheme="minorHAnsi"/>
                <w:sz w:val="24"/>
                <w:szCs w:val="24"/>
              </w:rPr>
            </w:pPr>
          </w:p>
        </w:tc>
      </w:tr>
      <w:tr w:rsidR="00512539" w:rsidRPr="0051709F" w14:paraId="56883A0C" w14:textId="77777777" w:rsidTr="00F16F30">
        <w:tc>
          <w:tcPr>
            <w:tcW w:w="8784" w:type="dxa"/>
          </w:tcPr>
          <w:p w14:paraId="6ADEC6F0"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Protocolos nacionales para revertir la falta de actividad física en la atención primaria de salud</w:t>
            </w:r>
          </w:p>
        </w:tc>
        <w:tc>
          <w:tcPr>
            <w:tcW w:w="567" w:type="dxa"/>
          </w:tcPr>
          <w:p w14:paraId="7F82C338" w14:textId="77777777" w:rsidR="00512539" w:rsidRPr="0051709F" w:rsidRDefault="00512539" w:rsidP="00F16F30">
            <w:pPr>
              <w:rPr>
                <w:rFonts w:cstheme="minorHAnsi"/>
                <w:sz w:val="24"/>
                <w:szCs w:val="24"/>
              </w:rPr>
            </w:pPr>
          </w:p>
        </w:tc>
      </w:tr>
      <w:tr w:rsidR="00512539" w:rsidRPr="0051709F" w14:paraId="460FEB2B" w14:textId="77777777" w:rsidTr="00F16F30">
        <w:tc>
          <w:tcPr>
            <w:tcW w:w="8784" w:type="dxa"/>
          </w:tcPr>
          <w:p w14:paraId="4327BE3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en las políticas de atención a la infancia</w:t>
            </w:r>
          </w:p>
        </w:tc>
        <w:tc>
          <w:tcPr>
            <w:tcW w:w="567" w:type="dxa"/>
          </w:tcPr>
          <w:p w14:paraId="66B843DA" w14:textId="77777777" w:rsidR="00512539" w:rsidRPr="0051709F" w:rsidRDefault="00512539" w:rsidP="00F16F30">
            <w:pPr>
              <w:rPr>
                <w:rFonts w:cstheme="minorHAnsi"/>
                <w:sz w:val="24"/>
                <w:szCs w:val="24"/>
              </w:rPr>
            </w:pPr>
          </w:p>
        </w:tc>
      </w:tr>
      <w:tr w:rsidR="00512539" w:rsidRPr="0051709F" w14:paraId="7A05D8CE" w14:textId="77777777" w:rsidTr="00F16F30">
        <w:tc>
          <w:tcPr>
            <w:tcW w:w="8784" w:type="dxa"/>
          </w:tcPr>
          <w:p w14:paraId="6BBDBCD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en las iniciativas adoptadas en el lugar de trabajo</w:t>
            </w:r>
          </w:p>
        </w:tc>
        <w:tc>
          <w:tcPr>
            <w:tcW w:w="567" w:type="dxa"/>
          </w:tcPr>
          <w:p w14:paraId="690182DA" w14:textId="77777777" w:rsidR="00512539" w:rsidRPr="0051709F" w:rsidRDefault="00512539" w:rsidP="00F16F30">
            <w:pPr>
              <w:rPr>
                <w:rFonts w:cstheme="minorHAnsi"/>
                <w:sz w:val="24"/>
                <w:szCs w:val="24"/>
              </w:rPr>
            </w:pPr>
          </w:p>
        </w:tc>
      </w:tr>
      <w:tr w:rsidR="00512539" w:rsidRPr="0051709F" w14:paraId="04858446" w14:textId="77777777" w:rsidTr="00F16F30">
        <w:tc>
          <w:tcPr>
            <w:tcW w:w="8784" w:type="dxa"/>
          </w:tcPr>
          <w:p w14:paraId="4D5B6174"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a través de iniciativas comunitarias y deportivas</w:t>
            </w:r>
          </w:p>
        </w:tc>
        <w:tc>
          <w:tcPr>
            <w:tcW w:w="567" w:type="dxa"/>
          </w:tcPr>
          <w:p w14:paraId="45B67A7A" w14:textId="77777777" w:rsidR="00512539" w:rsidRPr="0051709F" w:rsidRDefault="00512539" w:rsidP="00F16F30">
            <w:pPr>
              <w:rPr>
                <w:rFonts w:cstheme="minorHAnsi"/>
                <w:sz w:val="24"/>
                <w:szCs w:val="24"/>
              </w:rPr>
            </w:pPr>
          </w:p>
        </w:tc>
      </w:tr>
      <w:tr w:rsidR="00512539" w:rsidRPr="0051709F" w14:paraId="1E6AE400" w14:textId="77777777" w:rsidTr="00F16F30">
        <w:tc>
          <w:tcPr>
            <w:tcW w:w="8784" w:type="dxa"/>
          </w:tcPr>
          <w:p w14:paraId="11301EC4"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en los espacios públicos abiertos</w:t>
            </w:r>
          </w:p>
        </w:tc>
        <w:tc>
          <w:tcPr>
            <w:tcW w:w="567" w:type="dxa"/>
          </w:tcPr>
          <w:p w14:paraId="7E18F48E" w14:textId="77777777" w:rsidR="00512539" w:rsidRPr="0051709F" w:rsidRDefault="00512539" w:rsidP="00F16F30">
            <w:pPr>
              <w:rPr>
                <w:rFonts w:cstheme="minorHAnsi"/>
                <w:sz w:val="24"/>
                <w:szCs w:val="24"/>
              </w:rPr>
            </w:pPr>
          </w:p>
        </w:tc>
      </w:tr>
      <w:tr w:rsidR="00512539" w:rsidRPr="0051709F" w14:paraId="5D3D7B59" w14:textId="77777777" w:rsidTr="00F16F30">
        <w:tc>
          <w:tcPr>
            <w:tcW w:w="8784" w:type="dxa"/>
          </w:tcPr>
          <w:p w14:paraId="05B98395"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los desplazamientos a pie y en bicicleta</w:t>
            </w:r>
          </w:p>
        </w:tc>
        <w:tc>
          <w:tcPr>
            <w:tcW w:w="567" w:type="dxa"/>
          </w:tcPr>
          <w:p w14:paraId="38F9ABB8" w14:textId="77777777" w:rsidR="00512539" w:rsidRPr="0051709F" w:rsidRDefault="00512539" w:rsidP="00F16F30">
            <w:pPr>
              <w:rPr>
                <w:rFonts w:cstheme="minorHAnsi"/>
                <w:sz w:val="24"/>
                <w:szCs w:val="24"/>
              </w:rPr>
            </w:pPr>
          </w:p>
        </w:tc>
      </w:tr>
      <w:tr w:rsidR="00512539" w:rsidRPr="0051709F" w14:paraId="43C261D1" w14:textId="77777777" w:rsidTr="00F16F30">
        <w:tc>
          <w:tcPr>
            <w:tcW w:w="8784" w:type="dxa"/>
          </w:tcPr>
          <w:p w14:paraId="1AB1E67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como parte del envejecimiento activo</w:t>
            </w:r>
          </w:p>
        </w:tc>
        <w:tc>
          <w:tcPr>
            <w:tcW w:w="567" w:type="dxa"/>
          </w:tcPr>
          <w:p w14:paraId="35E2401D" w14:textId="77777777" w:rsidR="00512539" w:rsidRPr="0051709F" w:rsidRDefault="00512539" w:rsidP="00F16F30">
            <w:pPr>
              <w:rPr>
                <w:rFonts w:cstheme="minorHAnsi"/>
                <w:sz w:val="24"/>
                <w:szCs w:val="24"/>
              </w:rPr>
            </w:pPr>
          </w:p>
        </w:tc>
      </w:tr>
      <w:tr w:rsidR="00512539" w:rsidRPr="0051709F" w14:paraId="7E933AA9" w14:textId="77777777" w:rsidTr="00F16F30">
        <w:tc>
          <w:tcPr>
            <w:tcW w:w="8784" w:type="dxa"/>
          </w:tcPr>
          <w:p w14:paraId="132F5B22"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Iniciativas nacionales de salud móvil</w:t>
            </w:r>
          </w:p>
        </w:tc>
        <w:tc>
          <w:tcPr>
            <w:tcW w:w="567" w:type="dxa"/>
          </w:tcPr>
          <w:p w14:paraId="1AC7D06A" w14:textId="77777777" w:rsidR="00512539" w:rsidRPr="0051709F" w:rsidRDefault="00512539" w:rsidP="00F16F30">
            <w:pPr>
              <w:rPr>
                <w:rFonts w:cstheme="minorHAnsi"/>
                <w:sz w:val="24"/>
                <w:szCs w:val="24"/>
              </w:rPr>
            </w:pPr>
          </w:p>
        </w:tc>
      </w:tr>
      <w:tr w:rsidR="00512539" w:rsidRPr="0051709F" w14:paraId="71BA114D" w14:textId="77777777" w:rsidTr="00F16F30">
        <w:tc>
          <w:tcPr>
            <w:tcW w:w="8784" w:type="dxa"/>
          </w:tcPr>
          <w:p w14:paraId="713E6286"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Educación física de calidad en las escuelas</w:t>
            </w:r>
          </w:p>
        </w:tc>
        <w:tc>
          <w:tcPr>
            <w:tcW w:w="567" w:type="dxa"/>
          </w:tcPr>
          <w:p w14:paraId="015695B6" w14:textId="77777777" w:rsidR="00512539" w:rsidRPr="0051709F" w:rsidRDefault="00512539" w:rsidP="00F16F30">
            <w:pPr>
              <w:rPr>
                <w:rFonts w:cstheme="minorHAnsi"/>
                <w:sz w:val="24"/>
                <w:szCs w:val="24"/>
              </w:rPr>
            </w:pPr>
          </w:p>
        </w:tc>
      </w:tr>
      <w:tr w:rsidR="00512539" w:rsidRPr="0051709F" w14:paraId="67A25382" w14:textId="77777777" w:rsidTr="00F16F30">
        <w:tc>
          <w:tcPr>
            <w:tcW w:w="8784" w:type="dxa"/>
          </w:tcPr>
          <w:p w14:paraId="0A369AEF"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Fomento de la actividad física para las personas con discapacidades</w:t>
            </w:r>
          </w:p>
        </w:tc>
        <w:tc>
          <w:tcPr>
            <w:tcW w:w="567" w:type="dxa"/>
          </w:tcPr>
          <w:p w14:paraId="6BE26750" w14:textId="77777777" w:rsidR="00512539" w:rsidRPr="0051709F" w:rsidRDefault="00512539" w:rsidP="00F16F30">
            <w:pPr>
              <w:rPr>
                <w:rFonts w:cstheme="minorHAnsi"/>
                <w:sz w:val="24"/>
                <w:szCs w:val="24"/>
              </w:rPr>
            </w:pPr>
          </w:p>
        </w:tc>
      </w:tr>
      <w:tr w:rsidR="00512539" w:rsidRPr="0051709F" w14:paraId="28D4708C" w14:textId="77777777" w:rsidTr="00F16F30">
        <w:tc>
          <w:tcPr>
            <w:tcW w:w="8784" w:type="dxa"/>
          </w:tcPr>
          <w:p w14:paraId="596A8E59" w14:textId="77777777" w:rsidR="00512539" w:rsidRPr="0051709F" w:rsidRDefault="00512539" w:rsidP="00F16F30">
            <w:pPr>
              <w:autoSpaceDE w:val="0"/>
              <w:autoSpaceDN w:val="0"/>
              <w:adjustRightInd w:val="0"/>
              <w:rPr>
                <w:rFonts w:cstheme="minorHAnsi"/>
                <w:color w:val="004D88"/>
                <w:sz w:val="24"/>
                <w:szCs w:val="24"/>
              </w:rPr>
            </w:pPr>
            <w:r w:rsidRPr="0051709F">
              <w:rPr>
                <w:rFonts w:cstheme="minorHAnsi"/>
                <w:color w:val="004D88"/>
                <w:sz w:val="24"/>
                <w:szCs w:val="24"/>
              </w:rPr>
              <w:t xml:space="preserve">ÁREA 4 DE POLÍTICAS DEL GAPPA: </w:t>
            </w:r>
            <w:r w:rsidRPr="0051709F">
              <w:rPr>
                <w:rFonts w:cstheme="minorHAnsi"/>
                <w:color w:val="004D88"/>
                <w:sz w:val="24"/>
                <w:szCs w:val="24"/>
              </w:rPr>
              <w:br/>
              <w:t>GOBERNANZA Y MARCOS POLÍTICOS NACIONALES</w:t>
            </w:r>
          </w:p>
        </w:tc>
        <w:tc>
          <w:tcPr>
            <w:tcW w:w="567" w:type="dxa"/>
          </w:tcPr>
          <w:p w14:paraId="67E3CA4A" w14:textId="77777777" w:rsidR="00512539" w:rsidRPr="0051709F" w:rsidRDefault="00512539" w:rsidP="00F16F30">
            <w:pPr>
              <w:rPr>
                <w:rFonts w:cstheme="minorHAnsi"/>
                <w:sz w:val="24"/>
                <w:szCs w:val="24"/>
              </w:rPr>
            </w:pPr>
          </w:p>
        </w:tc>
      </w:tr>
      <w:tr w:rsidR="00512539" w:rsidRPr="0051709F" w14:paraId="7E1311FC" w14:textId="77777777" w:rsidTr="00F16F30">
        <w:tc>
          <w:tcPr>
            <w:tcW w:w="8784" w:type="dxa"/>
          </w:tcPr>
          <w:p w14:paraId="78EE6167"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Inclusión de la actividad física en una política nacional sobre las ENT</w:t>
            </w:r>
          </w:p>
        </w:tc>
        <w:tc>
          <w:tcPr>
            <w:tcW w:w="567" w:type="dxa"/>
          </w:tcPr>
          <w:p w14:paraId="6C1BB59C" w14:textId="77777777" w:rsidR="00512539" w:rsidRPr="0051709F" w:rsidRDefault="00512539" w:rsidP="00F16F30">
            <w:pPr>
              <w:rPr>
                <w:rFonts w:cstheme="minorHAnsi"/>
                <w:sz w:val="24"/>
                <w:szCs w:val="24"/>
              </w:rPr>
            </w:pPr>
          </w:p>
        </w:tc>
      </w:tr>
      <w:tr w:rsidR="00512539" w:rsidRPr="0051709F" w14:paraId="5DBAC3C0" w14:textId="77777777" w:rsidTr="00F16F30">
        <w:tc>
          <w:tcPr>
            <w:tcW w:w="8784" w:type="dxa"/>
          </w:tcPr>
          <w:p w14:paraId="3CA5FB8A"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Inclusión de la actividad física en una política nacional operativa sobre las ENT</w:t>
            </w:r>
          </w:p>
        </w:tc>
        <w:tc>
          <w:tcPr>
            <w:tcW w:w="567" w:type="dxa"/>
          </w:tcPr>
          <w:p w14:paraId="46AFB4E0" w14:textId="77777777" w:rsidR="00512539" w:rsidRPr="0051709F" w:rsidRDefault="00512539" w:rsidP="00F16F30">
            <w:pPr>
              <w:rPr>
                <w:rFonts w:cstheme="minorHAnsi"/>
                <w:sz w:val="24"/>
                <w:szCs w:val="24"/>
              </w:rPr>
            </w:pPr>
          </w:p>
        </w:tc>
      </w:tr>
      <w:tr w:rsidR="00512539" w:rsidRPr="0051709F" w14:paraId="026F50A8" w14:textId="77777777" w:rsidTr="00F16F30">
        <w:tc>
          <w:tcPr>
            <w:tcW w:w="8784" w:type="dxa"/>
          </w:tcPr>
          <w:p w14:paraId="60F47670"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Política nacional sobre actividad física</w:t>
            </w:r>
          </w:p>
        </w:tc>
        <w:tc>
          <w:tcPr>
            <w:tcW w:w="567" w:type="dxa"/>
          </w:tcPr>
          <w:p w14:paraId="1D7090CA" w14:textId="77777777" w:rsidR="00512539" w:rsidRPr="0051709F" w:rsidRDefault="00512539" w:rsidP="00F16F30">
            <w:pPr>
              <w:rPr>
                <w:rFonts w:cstheme="minorHAnsi"/>
                <w:sz w:val="24"/>
                <w:szCs w:val="24"/>
              </w:rPr>
            </w:pPr>
          </w:p>
        </w:tc>
      </w:tr>
      <w:tr w:rsidR="00512539" w:rsidRPr="0051709F" w14:paraId="079A33FB" w14:textId="77777777" w:rsidTr="00F16F30">
        <w:tc>
          <w:tcPr>
            <w:tcW w:w="8784" w:type="dxa"/>
          </w:tcPr>
          <w:p w14:paraId="0375E426"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Política nacional operativa sobre actividad física</w:t>
            </w:r>
          </w:p>
        </w:tc>
        <w:tc>
          <w:tcPr>
            <w:tcW w:w="567" w:type="dxa"/>
          </w:tcPr>
          <w:p w14:paraId="5CBE323D" w14:textId="77777777" w:rsidR="00512539" w:rsidRPr="0051709F" w:rsidRDefault="00512539" w:rsidP="00F16F30">
            <w:pPr>
              <w:rPr>
                <w:rFonts w:cstheme="minorHAnsi"/>
                <w:sz w:val="24"/>
                <w:szCs w:val="24"/>
              </w:rPr>
            </w:pPr>
          </w:p>
        </w:tc>
      </w:tr>
      <w:tr w:rsidR="00512539" w:rsidRPr="0051709F" w14:paraId="795E324E" w14:textId="77777777" w:rsidTr="00F16F30">
        <w:tc>
          <w:tcPr>
            <w:tcW w:w="8784" w:type="dxa"/>
          </w:tcPr>
          <w:p w14:paraId="41C8E8F8"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lastRenderedPageBreak/>
              <w:t>Inclusión de la actividad física en una política nacional operativa sobre las ENT o existencia de una política operativa independiente sobre la actividad física</w:t>
            </w:r>
          </w:p>
        </w:tc>
        <w:tc>
          <w:tcPr>
            <w:tcW w:w="567" w:type="dxa"/>
          </w:tcPr>
          <w:p w14:paraId="539E4231" w14:textId="77777777" w:rsidR="00512539" w:rsidRPr="0051709F" w:rsidRDefault="00512539" w:rsidP="00F16F30">
            <w:pPr>
              <w:rPr>
                <w:rFonts w:cstheme="minorHAnsi"/>
                <w:sz w:val="24"/>
                <w:szCs w:val="24"/>
              </w:rPr>
            </w:pPr>
          </w:p>
        </w:tc>
      </w:tr>
      <w:tr w:rsidR="00512539" w:rsidRPr="0051709F" w14:paraId="14D2F7B9" w14:textId="77777777" w:rsidTr="00F16F30">
        <w:tc>
          <w:tcPr>
            <w:tcW w:w="8784" w:type="dxa"/>
          </w:tcPr>
          <w:p w14:paraId="2DBCD8BE"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Mecanismo nacional de coordinación para las ENT</w:t>
            </w:r>
          </w:p>
        </w:tc>
        <w:tc>
          <w:tcPr>
            <w:tcW w:w="567" w:type="dxa"/>
          </w:tcPr>
          <w:p w14:paraId="40D3B4FC" w14:textId="77777777" w:rsidR="00512539" w:rsidRPr="0051709F" w:rsidRDefault="00512539" w:rsidP="00F16F30">
            <w:pPr>
              <w:rPr>
                <w:rFonts w:cstheme="minorHAnsi"/>
                <w:sz w:val="24"/>
                <w:szCs w:val="24"/>
              </w:rPr>
            </w:pPr>
          </w:p>
        </w:tc>
      </w:tr>
      <w:tr w:rsidR="00512539" w:rsidRPr="0051709F" w14:paraId="36863061" w14:textId="77777777" w:rsidTr="00F16F30">
        <w:tc>
          <w:tcPr>
            <w:tcW w:w="8784" w:type="dxa"/>
          </w:tcPr>
          <w:p w14:paraId="7C763551"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Directrices nacionales sobre actividad física para algún grupo etario</w:t>
            </w:r>
          </w:p>
        </w:tc>
        <w:tc>
          <w:tcPr>
            <w:tcW w:w="567" w:type="dxa"/>
          </w:tcPr>
          <w:p w14:paraId="5DE85EB5" w14:textId="77777777" w:rsidR="00512539" w:rsidRPr="0051709F" w:rsidRDefault="00512539" w:rsidP="00F16F30">
            <w:pPr>
              <w:rPr>
                <w:rFonts w:cstheme="minorHAnsi"/>
                <w:sz w:val="24"/>
                <w:szCs w:val="24"/>
              </w:rPr>
            </w:pPr>
          </w:p>
        </w:tc>
      </w:tr>
      <w:tr w:rsidR="00512539" w:rsidRPr="0051709F" w14:paraId="3C88C6FD" w14:textId="77777777" w:rsidTr="00F16F30">
        <w:tc>
          <w:tcPr>
            <w:tcW w:w="8784" w:type="dxa"/>
          </w:tcPr>
          <w:p w14:paraId="54FABEEC"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Directrices nacionales sobre actividad física para todos los grupos etarios</w:t>
            </w:r>
          </w:p>
        </w:tc>
        <w:tc>
          <w:tcPr>
            <w:tcW w:w="567" w:type="dxa"/>
          </w:tcPr>
          <w:p w14:paraId="327B3ABA" w14:textId="77777777" w:rsidR="00512539" w:rsidRPr="0051709F" w:rsidRDefault="00512539" w:rsidP="00F16F30">
            <w:pPr>
              <w:rPr>
                <w:rFonts w:cstheme="minorHAnsi"/>
                <w:sz w:val="24"/>
                <w:szCs w:val="24"/>
              </w:rPr>
            </w:pPr>
          </w:p>
        </w:tc>
      </w:tr>
      <w:tr w:rsidR="00512539" w:rsidRPr="0051709F" w14:paraId="34B7C0B0" w14:textId="77777777" w:rsidTr="00F16F30">
        <w:tc>
          <w:tcPr>
            <w:tcW w:w="8784" w:type="dxa"/>
          </w:tcPr>
          <w:p w14:paraId="6646B472"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Objetivos nacionales en materia de actividad física</w:t>
            </w:r>
          </w:p>
        </w:tc>
        <w:tc>
          <w:tcPr>
            <w:tcW w:w="567" w:type="dxa"/>
          </w:tcPr>
          <w:p w14:paraId="41855FC4" w14:textId="77777777" w:rsidR="00512539" w:rsidRPr="0051709F" w:rsidRDefault="00512539" w:rsidP="00F16F30">
            <w:pPr>
              <w:rPr>
                <w:rFonts w:cstheme="minorHAnsi"/>
                <w:sz w:val="24"/>
                <w:szCs w:val="24"/>
              </w:rPr>
            </w:pPr>
          </w:p>
        </w:tc>
      </w:tr>
      <w:tr w:rsidR="00512539" w:rsidRPr="0051709F" w14:paraId="3638EC63" w14:textId="77777777" w:rsidTr="00F16F30">
        <w:tc>
          <w:tcPr>
            <w:tcW w:w="8784" w:type="dxa"/>
          </w:tcPr>
          <w:p w14:paraId="0867FBA7"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Supervisión nacional de la actividad física en los adultos</w:t>
            </w:r>
          </w:p>
        </w:tc>
        <w:tc>
          <w:tcPr>
            <w:tcW w:w="567" w:type="dxa"/>
          </w:tcPr>
          <w:p w14:paraId="182DF5BC" w14:textId="77777777" w:rsidR="00512539" w:rsidRPr="0051709F" w:rsidRDefault="00512539" w:rsidP="00F16F30">
            <w:pPr>
              <w:rPr>
                <w:rFonts w:cstheme="minorHAnsi"/>
                <w:sz w:val="24"/>
                <w:szCs w:val="24"/>
              </w:rPr>
            </w:pPr>
          </w:p>
        </w:tc>
      </w:tr>
      <w:tr w:rsidR="00512539" w:rsidRPr="0051709F" w14:paraId="5F4ADEE5" w14:textId="77777777" w:rsidTr="00F16F30">
        <w:tc>
          <w:tcPr>
            <w:tcW w:w="8784" w:type="dxa"/>
          </w:tcPr>
          <w:p w14:paraId="40D1698E"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Supervisión nacional de la actividad física en los jóvenes</w:t>
            </w:r>
          </w:p>
        </w:tc>
        <w:tc>
          <w:tcPr>
            <w:tcW w:w="567" w:type="dxa"/>
          </w:tcPr>
          <w:p w14:paraId="3CCB5363" w14:textId="77777777" w:rsidR="00512539" w:rsidRPr="0051709F" w:rsidRDefault="00512539" w:rsidP="00F16F30">
            <w:pPr>
              <w:rPr>
                <w:rFonts w:cstheme="minorHAnsi"/>
                <w:sz w:val="24"/>
                <w:szCs w:val="24"/>
              </w:rPr>
            </w:pPr>
          </w:p>
        </w:tc>
      </w:tr>
      <w:tr w:rsidR="00512539" w:rsidRPr="0051709F" w14:paraId="42703386" w14:textId="77777777" w:rsidTr="00F16F30">
        <w:tc>
          <w:tcPr>
            <w:tcW w:w="8784" w:type="dxa"/>
          </w:tcPr>
          <w:p w14:paraId="5655E08A" w14:textId="77777777" w:rsidR="00512539" w:rsidRPr="0051709F" w:rsidRDefault="00512539" w:rsidP="00F16F30">
            <w:pPr>
              <w:autoSpaceDE w:val="0"/>
              <w:autoSpaceDN w:val="0"/>
              <w:adjustRightInd w:val="0"/>
              <w:rPr>
                <w:rFonts w:cstheme="minorHAnsi"/>
                <w:color w:val="000000"/>
                <w:sz w:val="24"/>
                <w:szCs w:val="24"/>
              </w:rPr>
            </w:pPr>
            <w:r w:rsidRPr="0051709F">
              <w:rPr>
                <w:rFonts w:cstheme="minorHAnsi"/>
                <w:color w:val="000000"/>
                <w:sz w:val="24"/>
                <w:szCs w:val="24"/>
              </w:rPr>
              <w:t>Supervisión nacional de la actividad física en los niños menores de 5 años</w:t>
            </w:r>
          </w:p>
        </w:tc>
        <w:tc>
          <w:tcPr>
            <w:tcW w:w="567" w:type="dxa"/>
          </w:tcPr>
          <w:p w14:paraId="3793F6CF" w14:textId="77777777" w:rsidR="00512539" w:rsidRPr="0051709F" w:rsidRDefault="00512539" w:rsidP="00F16F30">
            <w:pPr>
              <w:rPr>
                <w:rFonts w:cstheme="minorHAnsi"/>
                <w:sz w:val="24"/>
                <w:szCs w:val="24"/>
              </w:rPr>
            </w:pPr>
          </w:p>
        </w:tc>
      </w:tr>
    </w:tbl>
    <w:p w14:paraId="65756ABA" w14:textId="77777777" w:rsidR="00512539" w:rsidRPr="0051709F" w:rsidRDefault="00512539" w:rsidP="00512539">
      <w:pPr>
        <w:rPr>
          <w:rFonts w:cstheme="minorHAnsi"/>
        </w:rPr>
      </w:pPr>
    </w:p>
    <w:p w14:paraId="648C539C" w14:textId="20E25028" w:rsidR="00512539" w:rsidRPr="0051709F" w:rsidRDefault="00512539" w:rsidP="00512539">
      <w:pPr>
        <w:jc w:val="both"/>
        <w:rPr>
          <w:rFonts w:cstheme="minorHAnsi"/>
        </w:rPr>
      </w:pPr>
      <w:r w:rsidRPr="0051709F">
        <w:rPr>
          <w:rFonts w:cstheme="minorHAnsi"/>
        </w:rPr>
        <w:t xml:space="preserve">Esta incapacidad e insuficiencia de los modelos tradicionales de promoción de </w:t>
      </w:r>
      <w:r w:rsidR="00D7687A">
        <w:rPr>
          <w:rFonts w:cstheme="minorHAnsi"/>
        </w:rPr>
        <w:t xml:space="preserve">la </w:t>
      </w:r>
      <w:r w:rsidRPr="0051709F">
        <w:rPr>
          <w:rFonts w:cstheme="minorHAnsi"/>
        </w:rPr>
        <w:t xml:space="preserve">actividad física obliga a utilizar formas alternativas de desarrollo de políticas públicas sobre actividad física y deporte. Dentro de estas formas, disponer de mecanismos continuos de implementación y evaluación son fundamentales para el desarrollo de las políticas públicas </w:t>
      </w:r>
      <w:r w:rsidR="00D1485B" w:rsidRPr="0051709F">
        <w:rPr>
          <w:rFonts w:cstheme="minorHAnsi"/>
        </w:rPr>
        <w:t>(Mayo et al., 2018).</w:t>
      </w:r>
    </w:p>
    <w:p w14:paraId="7670730B" w14:textId="77777777" w:rsidR="00512539" w:rsidRPr="0051709F" w:rsidRDefault="00512539" w:rsidP="00512539">
      <w:pPr>
        <w:jc w:val="both"/>
        <w:rPr>
          <w:rFonts w:cstheme="minorHAnsi"/>
        </w:rPr>
      </w:pPr>
    </w:p>
    <w:p w14:paraId="68289E24" w14:textId="77777777" w:rsidR="00512539" w:rsidRPr="0051709F" w:rsidRDefault="00512539" w:rsidP="006F1E6B">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Implementación de mecanismos continuos de evaluación y monitorización en el desarrollo de indicadores y de su cumplimiento</w:t>
      </w:r>
    </w:p>
    <w:p w14:paraId="7947CA9A" w14:textId="77777777" w:rsidR="00512539" w:rsidRPr="0051709F" w:rsidRDefault="00512539" w:rsidP="00512539">
      <w:pPr>
        <w:jc w:val="both"/>
        <w:rPr>
          <w:rFonts w:cstheme="minorHAnsi"/>
        </w:rPr>
      </w:pPr>
    </w:p>
    <w:p w14:paraId="52347BFE" w14:textId="0B24BB8C" w:rsidR="00512539" w:rsidRPr="0051709F" w:rsidRDefault="00512539" w:rsidP="00512539">
      <w:pPr>
        <w:jc w:val="both"/>
        <w:rPr>
          <w:rFonts w:cstheme="minorHAnsi"/>
        </w:rPr>
      </w:pPr>
      <w:r w:rsidRPr="0051709F">
        <w:rPr>
          <w:rFonts w:cstheme="minorHAnsi"/>
        </w:rPr>
        <w:t xml:space="preserve">Así, para desarrollar un plan de promoción de actividad física robusto son necesarios 8 pasos continuos que permitan desarrollar la política o plan desde la concepción hasta </w:t>
      </w:r>
      <w:r w:rsidR="00D7687A">
        <w:rPr>
          <w:rFonts w:cstheme="minorHAnsi"/>
        </w:rPr>
        <w:t>su</w:t>
      </w:r>
      <w:r w:rsidRPr="0051709F">
        <w:rPr>
          <w:rFonts w:cstheme="minorHAnsi"/>
        </w:rPr>
        <w:t xml:space="preserve"> implementación </w:t>
      </w:r>
      <w:r w:rsidR="00D1485B" w:rsidRPr="0051709F">
        <w:rPr>
          <w:rFonts w:cstheme="minorHAnsi"/>
        </w:rPr>
        <w:t>(</w:t>
      </w:r>
      <w:proofErr w:type="spellStart"/>
      <w:r w:rsidR="00D1485B" w:rsidRPr="0051709F">
        <w:rPr>
          <w:rFonts w:cstheme="minorHAnsi"/>
        </w:rPr>
        <w:t>Volf</w:t>
      </w:r>
      <w:proofErr w:type="spellEnd"/>
      <w:r w:rsidR="00D1485B" w:rsidRPr="0051709F">
        <w:rPr>
          <w:rFonts w:cstheme="minorHAnsi"/>
        </w:rPr>
        <w:t xml:space="preserve"> et al., 2023).</w:t>
      </w:r>
      <w:r w:rsidRPr="0051709F">
        <w:rPr>
          <w:rFonts w:cstheme="minorHAnsi"/>
        </w:rPr>
        <w:t xml:space="preserve"> Estos pasos </w:t>
      </w:r>
      <w:r w:rsidR="0022064C" w:rsidRPr="0051709F">
        <w:rPr>
          <w:rFonts w:cstheme="minorHAnsi"/>
        </w:rPr>
        <w:t>se recogen</w:t>
      </w:r>
      <w:r w:rsidRPr="0051709F">
        <w:rPr>
          <w:rFonts w:cstheme="minorHAnsi"/>
        </w:rPr>
        <w:t xml:space="preserve"> en la Figura </w:t>
      </w:r>
      <w:r w:rsidR="0040157F" w:rsidRPr="0051709F">
        <w:rPr>
          <w:rFonts w:cstheme="minorHAnsi"/>
        </w:rPr>
        <w:t>9</w:t>
      </w:r>
      <w:r w:rsidR="00D7687A">
        <w:rPr>
          <w:rFonts w:cstheme="minorHAnsi"/>
        </w:rPr>
        <w:t>:</w:t>
      </w:r>
      <w:r w:rsidRPr="0051709F">
        <w:rPr>
          <w:rFonts w:cstheme="minorHAnsi"/>
        </w:rPr>
        <w:t xml:space="preserve"> </w:t>
      </w:r>
    </w:p>
    <w:p w14:paraId="42859777" w14:textId="77777777" w:rsidR="00512539" w:rsidRPr="0051709F" w:rsidRDefault="00512539" w:rsidP="00512539">
      <w:pPr>
        <w:jc w:val="both"/>
        <w:rPr>
          <w:rFonts w:cstheme="minorHAnsi"/>
        </w:rPr>
      </w:pPr>
    </w:p>
    <w:p w14:paraId="1A10820E" w14:textId="77777777"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Fonts w:asciiTheme="minorHAnsi" w:hAnsiTheme="minorHAnsi" w:cstheme="minorHAnsi"/>
          <w:sz w:val="24"/>
          <w:szCs w:val="24"/>
          <w:lang w:val="es-ES"/>
        </w:rPr>
        <w:t>El primer paso implica un análisis del contexto que obliga a decidir que i</w:t>
      </w:r>
      <w:r w:rsidRPr="0051709F">
        <w:rPr>
          <w:rStyle w:val="rynqvb"/>
          <w:rFonts w:asciiTheme="minorHAnsi" w:hAnsiTheme="minorHAnsi" w:cstheme="minorHAnsi"/>
          <w:sz w:val="24"/>
          <w:szCs w:val="24"/>
          <w:lang w:val="es-ES"/>
        </w:rPr>
        <w:t xml:space="preserve">ndicadores de prácticas ideales existen dentro de cada dominio. </w:t>
      </w:r>
    </w:p>
    <w:p w14:paraId="065A140D" w14:textId="590A0A21"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 xml:space="preserve">El segundo paso consiste en recopilar información relevante, con ejemplos de implementaciones para cada uno de los indicadores de actividad física en cada uno de los dominios en España, pero también indicadores de cualquier país del mundo donde los indicadores son robustos o está implementados. En este paso, el uso de la herramienta de auditoría de la </w:t>
      </w:r>
      <w:r w:rsidR="006D4843" w:rsidRPr="006D4843">
        <w:rPr>
          <w:rStyle w:val="rynqvb"/>
          <w:rFonts w:asciiTheme="minorHAnsi" w:hAnsiTheme="minorHAnsi" w:cstheme="minorHAnsi"/>
          <w:sz w:val="24"/>
          <w:szCs w:val="24"/>
          <w:lang w:val="es-ES"/>
        </w:rPr>
        <w:t xml:space="preserve">Organización Mundial de la Salud </w:t>
      </w:r>
      <w:r w:rsidRPr="0051709F">
        <w:rPr>
          <w:rStyle w:val="rynqvb"/>
          <w:rFonts w:asciiTheme="minorHAnsi" w:hAnsiTheme="minorHAnsi" w:cstheme="minorHAnsi"/>
          <w:noProof/>
          <w:sz w:val="24"/>
          <w:szCs w:val="24"/>
          <w:lang w:val="es-ES"/>
        </w:rPr>
        <w:t>(WHO Health Enhancing Physical Activity Policy Audit Tool)</w:t>
      </w:r>
      <w:r w:rsidRPr="0051709F">
        <w:rPr>
          <w:rStyle w:val="rynqvb"/>
          <w:rFonts w:asciiTheme="minorHAnsi" w:hAnsiTheme="minorHAnsi" w:cstheme="minorHAnsi"/>
          <w:sz w:val="24"/>
          <w:szCs w:val="24"/>
          <w:lang w:val="es-ES"/>
        </w:rPr>
        <w:t xml:space="preserve"> es fundamental para identificar información de documentos y organizaciones clave, pero es insuficiente para progresar. </w:t>
      </w:r>
    </w:p>
    <w:p w14:paraId="48BFFCB5" w14:textId="77777777"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 xml:space="preserve">El tercer paso es extraer y resumir la información clave obtenida en el segundo paso y prepararla para su validación. </w:t>
      </w:r>
    </w:p>
    <w:p w14:paraId="084E7842" w14:textId="77777777"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 xml:space="preserve">El cuarto paso consiste en validar la información obtenida y ordenada con funcionarios clave de diferentes ministerios y agencias para cerciorarse de que la información es correcta y poder cubrir falta de información clave que no se ha obtenido en los documentos de trabajo. </w:t>
      </w:r>
    </w:p>
    <w:p w14:paraId="456840E9" w14:textId="77777777"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 xml:space="preserve">El quinto paso es evaluar el grado de implementación de los indicadores diseñados. Se debe utilizar un proceso y estructura similar al del cuarto paso. </w:t>
      </w:r>
    </w:p>
    <w:p w14:paraId="4B8F08AE" w14:textId="1B3BA7FA"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 xml:space="preserve">El sexto paso consiste en ponderar, sumar y calcular puntuaciones de calificación de cada una de las políticas y acciones. Una valoración cualitativa es siempre mejor que una dicotómica sobre el cumplimiento o no de un indicador, ya que cumplirlo en una escala menor puede no tener impacto en los niveles de actividad física y no permite controlar la progresión en el cumplimiento de un indicador si </w:t>
      </w:r>
      <w:r w:rsidR="00D7687A">
        <w:rPr>
          <w:rStyle w:val="rynqvb"/>
          <w:rFonts w:asciiTheme="minorHAnsi" w:hAnsiTheme="minorHAnsi" w:cstheme="minorHAnsi"/>
          <w:sz w:val="24"/>
          <w:szCs w:val="24"/>
          <w:lang w:val="es-ES"/>
        </w:rPr>
        <w:t>é</w:t>
      </w:r>
      <w:r w:rsidRPr="0051709F">
        <w:rPr>
          <w:rStyle w:val="rynqvb"/>
          <w:rFonts w:asciiTheme="minorHAnsi" w:hAnsiTheme="minorHAnsi" w:cstheme="minorHAnsi"/>
          <w:sz w:val="24"/>
          <w:szCs w:val="24"/>
          <w:lang w:val="es-ES"/>
        </w:rPr>
        <w:t xml:space="preserve">ste mejora con el tiempo o con determinadas acciones políticas. </w:t>
      </w:r>
    </w:p>
    <w:p w14:paraId="494CD37A" w14:textId="77777777" w:rsidR="00512539" w:rsidRPr="0051709F" w:rsidRDefault="00512539" w:rsidP="00E6399B">
      <w:pPr>
        <w:pStyle w:val="Prrafodelista"/>
        <w:numPr>
          <w:ilvl w:val="0"/>
          <w:numId w:val="86"/>
        </w:numPr>
        <w:jc w:val="both"/>
        <w:rPr>
          <w:rStyle w:val="rynqvb"/>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lastRenderedPageBreak/>
        <w:t xml:space="preserve">El séptimo paso consiste en cualificar, comentar y recomendar mejoras basadas en criterios de importancia, factibilidad y equidad de los indicadores y políticas desarrolladas o a desarrollar. </w:t>
      </w:r>
    </w:p>
    <w:p w14:paraId="12B100B5" w14:textId="0E533361" w:rsidR="00512539" w:rsidRPr="00963270" w:rsidRDefault="00512539" w:rsidP="00E6399B">
      <w:pPr>
        <w:pStyle w:val="Prrafodelista"/>
        <w:numPr>
          <w:ilvl w:val="0"/>
          <w:numId w:val="86"/>
        </w:numPr>
        <w:jc w:val="both"/>
        <w:rPr>
          <w:rFonts w:asciiTheme="minorHAnsi" w:hAnsiTheme="minorHAnsi" w:cstheme="minorHAnsi"/>
          <w:sz w:val="24"/>
          <w:szCs w:val="24"/>
          <w:lang w:val="es-ES"/>
        </w:rPr>
      </w:pPr>
      <w:r w:rsidRPr="0051709F">
        <w:rPr>
          <w:rStyle w:val="rynqvb"/>
          <w:rFonts w:asciiTheme="minorHAnsi" w:hAnsiTheme="minorHAnsi" w:cstheme="minorHAnsi"/>
          <w:sz w:val="24"/>
          <w:szCs w:val="24"/>
          <w:lang w:val="es-ES"/>
        </w:rPr>
        <w:t>El octavo paso consiste en diseminar los resultados obtenidos con el gobierno y las partes interesadas, de manera que quede reflejado el proceso de implementación de las políticas de promoción de actividad física y la priorización de la acción política futura.</w:t>
      </w:r>
    </w:p>
    <w:p w14:paraId="3B0C394A" w14:textId="77777777" w:rsidR="00512539" w:rsidRPr="0051709F" w:rsidRDefault="00512539" w:rsidP="00512539">
      <w:pPr>
        <w:jc w:val="both"/>
        <w:rPr>
          <w:rFonts w:cstheme="minorHAnsi"/>
        </w:rPr>
      </w:pPr>
    </w:p>
    <w:p w14:paraId="5F641736" w14:textId="77777777" w:rsidR="000A58A8" w:rsidRPr="007B667D" w:rsidRDefault="00512539" w:rsidP="00512539">
      <w:pPr>
        <w:jc w:val="center"/>
        <w:rPr>
          <w:rFonts w:cstheme="minorHAnsi"/>
          <w:i/>
          <w:iCs/>
          <w:sz w:val="22"/>
          <w:szCs w:val="22"/>
        </w:rPr>
      </w:pPr>
      <w:r w:rsidRPr="0051709F">
        <w:rPr>
          <w:rFonts w:cstheme="minorHAnsi"/>
          <w:noProof/>
          <w:lang w:val="en-GB" w:eastAsia="en-GB"/>
        </w:rPr>
        <w:drawing>
          <wp:inline distT="0" distB="0" distL="0" distR="0" wp14:anchorId="392C432C" wp14:editId="7219CFA4">
            <wp:extent cx="5244326" cy="2315980"/>
            <wp:effectExtent l="0" t="0" r="1270" b="0"/>
            <wp:docPr id="1"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con confianza media"/>
                    <pic:cNvPicPr/>
                  </pic:nvPicPr>
                  <pic:blipFill>
                    <a:blip r:embed="rId34"/>
                    <a:stretch>
                      <a:fillRect/>
                    </a:stretch>
                  </pic:blipFill>
                  <pic:spPr>
                    <a:xfrm>
                      <a:off x="0" y="0"/>
                      <a:ext cx="5354246" cy="2364523"/>
                    </a:xfrm>
                    <a:prstGeom prst="rect">
                      <a:avLst/>
                    </a:prstGeom>
                  </pic:spPr>
                </pic:pic>
              </a:graphicData>
            </a:graphic>
          </wp:inline>
        </w:drawing>
      </w:r>
      <w:r w:rsidRPr="0051709F">
        <w:rPr>
          <w:rFonts w:cstheme="minorHAnsi"/>
        </w:rPr>
        <w:br/>
      </w:r>
      <w:r w:rsidR="0040157F" w:rsidRPr="007B667D">
        <w:rPr>
          <w:rFonts w:cstheme="minorHAnsi"/>
          <w:i/>
          <w:iCs/>
          <w:sz w:val="22"/>
          <w:szCs w:val="22"/>
        </w:rPr>
        <w:t>Figura 9</w:t>
      </w:r>
      <w:r w:rsidRPr="007B667D">
        <w:rPr>
          <w:rFonts w:cstheme="minorHAnsi"/>
          <w:i/>
          <w:iCs/>
          <w:sz w:val="22"/>
          <w:szCs w:val="22"/>
        </w:rPr>
        <w:t xml:space="preserve">. </w:t>
      </w:r>
      <w:proofErr w:type="gramStart"/>
      <w:r w:rsidRPr="007B667D">
        <w:rPr>
          <w:rFonts w:cstheme="minorHAnsi"/>
          <w:i/>
          <w:iCs/>
          <w:sz w:val="22"/>
          <w:szCs w:val="22"/>
        </w:rPr>
        <w:t>Pasos a seguir</w:t>
      </w:r>
      <w:proofErr w:type="gramEnd"/>
      <w:r w:rsidRPr="007B667D">
        <w:rPr>
          <w:rFonts w:cstheme="minorHAnsi"/>
          <w:i/>
          <w:iCs/>
          <w:sz w:val="22"/>
          <w:szCs w:val="22"/>
        </w:rPr>
        <w:t xml:space="preserve"> en el desarrollo de indicadores </w:t>
      </w:r>
    </w:p>
    <w:p w14:paraId="36B4CE90" w14:textId="77ADBE22" w:rsidR="00512539" w:rsidRPr="007B667D" w:rsidRDefault="00512539" w:rsidP="00512539">
      <w:pPr>
        <w:jc w:val="center"/>
        <w:rPr>
          <w:rFonts w:cstheme="minorHAnsi"/>
          <w:i/>
          <w:iCs/>
          <w:sz w:val="22"/>
          <w:szCs w:val="22"/>
        </w:rPr>
      </w:pPr>
      <w:r w:rsidRPr="007B667D">
        <w:rPr>
          <w:rFonts w:cstheme="minorHAnsi"/>
          <w:i/>
          <w:iCs/>
          <w:sz w:val="22"/>
          <w:szCs w:val="22"/>
        </w:rPr>
        <w:t>en la promoción de la actividad física.</w:t>
      </w:r>
    </w:p>
    <w:p w14:paraId="51654101" w14:textId="77777777" w:rsidR="00512539" w:rsidRPr="0051709F" w:rsidRDefault="00512539" w:rsidP="00512539">
      <w:pPr>
        <w:jc w:val="both"/>
        <w:rPr>
          <w:rFonts w:cstheme="minorHAnsi"/>
        </w:rPr>
      </w:pPr>
    </w:p>
    <w:p w14:paraId="347BA346" w14:textId="6B44D274" w:rsidR="00512539" w:rsidRPr="0051709F" w:rsidRDefault="00512539" w:rsidP="00512539">
      <w:pPr>
        <w:jc w:val="both"/>
        <w:rPr>
          <w:rFonts w:cstheme="minorHAnsi"/>
        </w:rPr>
      </w:pPr>
      <w:r w:rsidRPr="0051709F">
        <w:rPr>
          <w:rFonts w:cstheme="minorHAnsi"/>
        </w:rPr>
        <w:t>Desarrollado este proceso, es importante atender a la capacidad de cuantificación en relación con el cumplimiento o no de los diferentes indicadores. Así, el nivel de implementación se puede considerar teniendo en cuenta dos aspectos diferenciados</w:t>
      </w:r>
      <w:r w:rsidR="00D7687A">
        <w:rPr>
          <w:rFonts w:cstheme="minorHAnsi"/>
        </w:rPr>
        <w:t>:</w:t>
      </w:r>
      <w:r w:rsidRPr="0051709F">
        <w:rPr>
          <w:rFonts w:cstheme="minorHAnsi"/>
        </w:rPr>
        <w:t xml:space="preserve"> </w:t>
      </w:r>
      <w:r w:rsidR="00D7687A">
        <w:rPr>
          <w:rFonts w:cstheme="minorHAnsi"/>
        </w:rPr>
        <w:t>p</w:t>
      </w:r>
      <w:r w:rsidRPr="0051709F">
        <w:rPr>
          <w:rFonts w:cstheme="minorHAnsi"/>
        </w:rPr>
        <w:t>or un lado, aquellos que tienen que ver con el nivel de implementación de los indicadores en diferentes sectores (subdominios o esferas) donde ocurren (Tabla 4)</w:t>
      </w:r>
      <w:r w:rsidR="00D7687A">
        <w:rPr>
          <w:rFonts w:cstheme="minorHAnsi"/>
        </w:rPr>
        <w:t>; y de otro lado,</w:t>
      </w:r>
      <w:r w:rsidRPr="0051709F">
        <w:rPr>
          <w:rFonts w:cstheme="minorHAnsi"/>
        </w:rPr>
        <w:t xml:space="preserve"> indicadores de desarrollo que tienen que ver con la infraestructura orgánica o jurídica de las organizaciones (Tabl</w:t>
      </w:r>
      <w:r w:rsidR="00145599" w:rsidRPr="0051709F">
        <w:rPr>
          <w:rFonts w:cstheme="minorHAnsi"/>
        </w:rPr>
        <w:t>a</w:t>
      </w:r>
      <w:r w:rsidRPr="0051709F">
        <w:rPr>
          <w:rFonts w:cstheme="minorHAnsi"/>
        </w:rPr>
        <w:t xml:space="preserve"> 5).</w:t>
      </w:r>
    </w:p>
    <w:p w14:paraId="0AD3F738" w14:textId="77777777" w:rsidR="00145599" w:rsidRPr="0051709F" w:rsidRDefault="00145599" w:rsidP="00512539">
      <w:pPr>
        <w:jc w:val="both"/>
        <w:rPr>
          <w:rFonts w:cstheme="minorHAnsi"/>
        </w:rPr>
      </w:pPr>
    </w:p>
    <w:p w14:paraId="06337B17" w14:textId="4793A6C0" w:rsidR="00512539" w:rsidRPr="007B667D" w:rsidRDefault="00145599" w:rsidP="00145599">
      <w:pPr>
        <w:jc w:val="center"/>
        <w:rPr>
          <w:rFonts w:cstheme="minorHAnsi"/>
          <w:bCs/>
          <w:i/>
          <w:iCs/>
          <w:sz w:val="22"/>
          <w:szCs w:val="22"/>
        </w:rPr>
      </w:pPr>
      <w:r w:rsidRPr="007B667D">
        <w:rPr>
          <w:rFonts w:cstheme="minorHAnsi"/>
          <w:bCs/>
          <w:i/>
          <w:iCs/>
          <w:sz w:val="22"/>
          <w:szCs w:val="22"/>
        </w:rPr>
        <w:t>Tabla 4. Indicadores de política de promoción considerando los sectores</w:t>
      </w:r>
    </w:p>
    <w:p w14:paraId="00FFB6F5" w14:textId="77777777" w:rsidR="000A58A8" w:rsidRPr="0051709F" w:rsidRDefault="000A58A8" w:rsidP="00145599">
      <w:pPr>
        <w:jc w:val="center"/>
        <w:rPr>
          <w:rFonts w:cstheme="minorHAnsi"/>
        </w:rPr>
      </w:pPr>
    </w:p>
    <w:tbl>
      <w:tblPr>
        <w:tblStyle w:val="Tablaconcuadrcula"/>
        <w:tblW w:w="9351" w:type="dxa"/>
        <w:tblLook w:val="04A0" w:firstRow="1" w:lastRow="0" w:firstColumn="1" w:lastColumn="0" w:noHBand="0" w:noVBand="1"/>
      </w:tblPr>
      <w:tblGrid>
        <w:gridCol w:w="1738"/>
        <w:gridCol w:w="2403"/>
        <w:gridCol w:w="5210"/>
      </w:tblGrid>
      <w:tr w:rsidR="00512539" w:rsidRPr="0051709F" w14:paraId="389DE75C" w14:textId="77777777" w:rsidTr="00F16F30">
        <w:tc>
          <w:tcPr>
            <w:tcW w:w="1612" w:type="dxa"/>
          </w:tcPr>
          <w:p w14:paraId="30F1E781" w14:textId="77777777" w:rsidR="00512539" w:rsidRPr="0051709F" w:rsidRDefault="00512539" w:rsidP="00116986">
            <w:pPr>
              <w:rPr>
                <w:rFonts w:cstheme="minorHAnsi"/>
                <w:b/>
                <w:bCs/>
                <w:sz w:val="24"/>
                <w:szCs w:val="24"/>
              </w:rPr>
            </w:pPr>
            <w:r w:rsidRPr="0051709F">
              <w:rPr>
                <w:rFonts w:cstheme="minorHAnsi"/>
                <w:b/>
                <w:bCs/>
                <w:sz w:val="24"/>
                <w:szCs w:val="24"/>
              </w:rPr>
              <w:t>Sector</w:t>
            </w:r>
          </w:p>
        </w:tc>
        <w:tc>
          <w:tcPr>
            <w:tcW w:w="2221" w:type="dxa"/>
          </w:tcPr>
          <w:p w14:paraId="4B4B16DB" w14:textId="77777777" w:rsidR="00512539" w:rsidRPr="0051709F" w:rsidRDefault="00512539" w:rsidP="002976B7">
            <w:pPr>
              <w:rPr>
                <w:rFonts w:cstheme="minorHAnsi"/>
                <w:b/>
                <w:bCs/>
                <w:sz w:val="24"/>
                <w:szCs w:val="24"/>
              </w:rPr>
            </w:pPr>
            <w:r w:rsidRPr="0051709F">
              <w:rPr>
                <w:rFonts w:cstheme="minorHAnsi"/>
                <w:b/>
                <w:bCs/>
                <w:sz w:val="24"/>
                <w:szCs w:val="24"/>
              </w:rPr>
              <w:t xml:space="preserve">Buenas prácticas </w:t>
            </w:r>
          </w:p>
        </w:tc>
        <w:tc>
          <w:tcPr>
            <w:tcW w:w="5518" w:type="dxa"/>
          </w:tcPr>
          <w:p w14:paraId="1AB8A4FB" w14:textId="77777777" w:rsidR="00512539" w:rsidRPr="0051709F" w:rsidRDefault="00512539" w:rsidP="00F16F30">
            <w:pPr>
              <w:rPr>
                <w:rFonts w:cstheme="minorHAnsi"/>
                <w:b/>
                <w:bCs/>
                <w:sz w:val="24"/>
                <w:szCs w:val="24"/>
              </w:rPr>
            </w:pPr>
            <w:r w:rsidRPr="0051709F">
              <w:rPr>
                <w:rFonts w:cstheme="minorHAnsi"/>
                <w:b/>
                <w:bCs/>
                <w:sz w:val="24"/>
                <w:szCs w:val="24"/>
              </w:rPr>
              <w:t>Indicadores de evaluación</w:t>
            </w:r>
          </w:p>
        </w:tc>
      </w:tr>
      <w:tr w:rsidR="00512539" w:rsidRPr="0051709F" w14:paraId="2C286781" w14:textId="77777777" w:rsidTr="00F16F30">
        <w:tc>
          <w:tcPr>
            <w:tcW w:w="1612" w:type="dxa"/>
          </w:tcPr>
          <w:p w14:paraId="1CC1746A" w14:textId="77777777" w:rsidR="00512539" w:rsidRPr="0051709F" w:rsidRDefault="00512539" w:rsidP="00116986">
            <w:pPr>
              <w:rPr>
                <w:rFonts w:cstheme="minorHAnsi"/>
                <w:sz w:val="24"/>
                <w:szCs w:val="24"/>
              </w:rPr>
            </w:pPr>
            <w:r w:rsidRPr="0051709F">
              <w:rPr>
                <w:rFonts w:cstheme="minorHAnsi"/>
                <w:sz w:val="24"/>
                <w:szCs w:val="24"/>
              </w:rPr>
              <w:t xml:space="preserve">Educación </w:t>
            </w:r>
          </w:p>
        </w:tc>
        <w:tc>
          <w:tcPr>
            <w:tcW w:w="2221" w:type="dxa"/>
          </w:tcPr>
          <w:p w14:paraId="449BBEA1" w14:textId="77777777" w:rsidR="00512539" w:rsidRPr="0051709F" w:rsidRDefault="00512539" w:rsidP="002976B7">
            <w:pPr>
              <w:rPr>
                <w:rFonts w:cstheme="minorHAnsi"/>
                <w:sz w:val="24"/>
                <w:szCs w:val="24"/>
              </w:rPr>
            </w:pPr>
            <w:r w:rsidRPr="0051709F">
              <w:rPr>
                <w:rFonts w:cstheme="minorHAnsi"/>
                <w:sz w:val="24"/>
                <w:szCs w:val="24"/>
              </w:rPr>
              <w:t>Existen políticas públicas implementadas que tienen como objetivo incidir en entornos saludables de actividad física y promover y apoyar la actividad física en el ámbito escolar.</w:t>
            </w:r>
          </w:p>
        </w:tc>
        <w:tc>
          <w:tcPr>
            <w:tcW w:w="5518" w:type="dxa"/>
          </w:tcPr>
          <w:p w14:paraId="25ED0234" w14:textId="77777777" w:rsidR="00512539" w:rsidRPr="0051709F" w:rsidRDefault="00512539" w:rsidP="007B667D">
            <w:pPr>
              <w:jc w:val="both"/>
              <w:rPr>
                <w:rFonts w:cstheme="minorHAnsi"/>
                <w:sz w:val="24"/>
                <w:szCs w:val="24"/>
              </w:rPr>
            </w:pPr>
            <w:r w:rsidRPr="0051709F">
              <w:rPr>
                <w:rFonts w:cstheme="minorHAnsi"/>
                <w:sz w:val="24"/>
                <w:szCs w:val="24"/>
              </w:rPr>
              <w:t>E01—La educación física obligatoria de calidad, basada en evidencia, que promueve y apoya los ideales de equidad, diversidad e inclusión y se adhiere a los estándares definidos es parte del plan de estudios en todas las escuelas.</w:t>
            </w:r>
          </w:p>
          <w:p w14:paraId="107A44F5" w14:textId="2C3B8F4E" w:rsidR="00512539" w:rsidRPr="0051709F" w:rsidRDefault="00512539" w:rsidP="007B667D">
            <w:pPr>
              <w:jc w:val="both"/>
              <w:rPr>
                <w:rFonts w:cstheme="minorHAnsi"/>
                <w:sz w:val="24"/>
                <w:szCs w:val="24"/>
              </w:rPr>
            </w:pPr>
            <w:r w:rsidRPr="0051709F">
              <w:rPr>
                <w:rFonts w:cstheme="minorHAnsi"/>
                <w:sz w:val="24"/>
                <w:szCs w:val="24"/>
              </w:rPr>
              <w:t>E02—Existen iniciativas nacionales y/o subnacionales para promover y apoyar la actividad física relacionada con la escuela, tanto en la escuela como en otros entornos. Estas iniciativas deben emplear un enfoque intersectorial y alianzas colaborativas de múltiples agencias</w:t>
            </w:r>
            <w:r w:rsidR="002976B7">
              <w:rPr>
                <w:rFonts w:cstheme="minorHAnsi"/>
                <w:sz w:val="24"/>
                <w:szCs w:val="24"/>
              </w:rPr>
              <w:t>,</w:t>
            </w:r>
            <w:r w:rsidRPr="0051709F">
              <w:rPr>
                <w:rFonts w:cstheme="minorHAnsi"/>
                <w:sz w:val="24"/>
                <w:szCs w:val="24"/>
              </w:rPr>
              <w:t xml:space="preserve"> por ejemplo, con clubes deportivos extraescolares, descansos/recreos activos y clubes de caminata.</w:t>
            </w:r>
          </w:p>
          <w:p w14:paraId="3DB42A18" w14:textId="77777777" w:rsidR="00512539" w:rsidRPr="0051709F" w:rsidRDefault="00512539" w:rsidP="007B667D">
            <w:pPr>
              <w:jc w:val="both"/>
              <w:rPr>
                <w:rFonts w:cstheme="minorHAnsi"/>
                <w:sz w:val="24"/>
                <w:szCs w:val="24"/>
              </w:rPr>
            </w:pPr>
            <w:r w:rsidRPr="0051709F">
              <w:rPr>
                <w:rFonts w:cstheme="minorHAnsi"/>
                <w:sz w:val="24"/>
                <w:szCs w:val="24"/>
              </w:rPr>
              <w:lastRenderedPageBreak/>
              <w:t>E03— Existen acuerdos de uso compartido que utilizan espacios escolares. El acceso a la comunidad está respaldado por iniciativas para promover y apoyar oportunidades de actividad física para todas las personas fuera del horario escolar normal.</w:t>
            </w:r>
          </w:p>
          <w:p w14:paraId="43BFB24F" w14:textId="77777777" w:rsidR="00512539" w:rsidRPr="0051709F" w:rsidRDefault="00512539" w:rsidP="007B667D">
            <w:pPr>
              <w:jc w:val="both"/>
              <w:rPr>
                <w:rFonts w:cstheme="minorHAnsi"/>
                <w:sz w:val="24"/>
                <w:szCs w:val="24"/>
              </w:rPr>
            </w:pPr>
            <w:r w:rsidRPr="0051709F">
              <w:rPr>
                <w:rFonts w:cstheme="minorHAnsi"/>
                <w:sz w:val="24"/>
                <w:szCs w:val="24"/>
              </w:rPr>
              <w:t>E04—Existen políticas nacionales y/o subnacionales para promover y apoyar el viaje seguro y activo hacia y desde la escuela.</w:t>
            </w:r>
          </w:p>
        </w:tc>
      </w:tr>
      <w:tr w:rsidR="00512539" w:rsidRPr="0051709F" w14:paraId="740BDA71" w14:textId="77777777" w:rsidTr="00F16F30">
        <w:tc>
          <w:tcPr>
            <w:tcW w:w="1612" w:type="dxa"/>
          </w:tcPr>
          <w:p w14:paraId="25177B6F" w14:textId="77777777" w:rsidR="00512539" w:rsidRPr="0051709F" w:rsidRDefault="00512539" w:rsidP="00116986">
            <w:pPr>
              <w:rPr>
                <w:rFonts w:cstheme="minorHAnsi"/>
                <w:sz w:val="24"/>
                <w:szCs w:val="24"/>
              </w:rPr>
            </w:pPr>
            <w:r w:rsidRPr="0051709F">
              <w:rPr>
                <w:rFonts w:cstheme="minorHAnsi"/>
                <w:sz w:val="24"/>
                <w:szCs w:val="24"/>
              </w:rPr>
              <w:lastRenderedPageBreak/>
              <w:t>Transporte</w:t>
            </w:r>
          </w:p>
        </w:tc>
        <w:tc>
          <w:tcPr>
            <w:tcW w:w="2221" w:type="dxa"/>
          </w:tcPr>
          <w:p w14:paraId="10E71450" w14:textId="77777777" w:rsidR="00512539" w:rsidRPr="0051709F" w:rsidRDefault="00512539" w:rsidP="002976B7">
            <w:pPr>
              <w:rPr>
                <w:rFonts w:cstheme="minorHAnsi"/>
                <w:sz w:val="24"/>
                <w:szCs w:val="24"/>
              </w:rPr>
            </w:pPr>
            <w:r w:rsidRPr="0051709F">
              <w:rPr>
                <w:rFonts w:cstheme="minorHAnsi"/>
                <w:sz w:val="24"/>
                <w:szCs w:val="24"/>
              </w:rPr>
              <w:t>Existen políticas públicas que promueven y apoyan la movilidad activa de personas de todas las edades y capacidades.</w:t>
            </w:r>
          </w:p>
        </w:tc>
        <w:tc>
          <w:tcPr>
            <w:tcW w:w="5518" w:type="dxa"/>
          </w:tcPr>
          <w:p w14:paraId="0C030361" w14:textId="77777777" w:rsidR="00512539" w:rsidRPr="0051709F" w:rsidRDefault="00512539" w:rsidP="007B667D">
            <w:pPr>
              <w:jc w:val="both"/>
              <w:rPr>
                <w:rFonts w:cstheme="minorHAnsi"/>
                <w:sz w:val="24"/>
                <w:szCs w:val="24"/>
              </w:rPr>
            </w:pPr>
            <w:r w:rsidRPr="0051709F">
              <w:rPr>
                <w:rFonts w:cstheme="minorHAnsi"/>
                <w:sz w:val="24"/>
                <w:szCs w:val="24"/>
              </w:rPr>
              <w:t>T01—Existen regulaciones que proporcionan variedad de infraestructuras para apoyar el caminar y/o andar en bicicleta de manera segura, incluidas medidas para reducir la velocidad, reducir el tráfico de vehículos y mejorar la movilidad activa.</w:t>
            </w:r>
          </w:p>
          <w:p w14:paraId="6AA54A32" w14:textId="77777777" w:rsidR="00512539" w:rsidRPr="0051709F" w:rsidRDefault="00512539" w:rsidP="007B667D">
            <w:pPr>
              <w:jc w:val="both"/>
              <w:rPr>
                <w:rFonts w:cstheme="minorHAnsi"/>
                <w:sz w:val="24"/>
                <w:szCs w:val="24"/>
              </w:rPr>
            </w:pPr>
            <w:r w:rsidRPr="0051709F">
              <w:rPr>
                <w:rFonts w:cstheme="minorHAnsi"/>
                <w:sz w:val="24"/>
                <w:szCs w:val="24"/>
              </w:rPr>
              <w:t>T02— Existe un plan de implementación financiado, dirigido por los niveles de gobierno apropiados, para lograr mejoras en el transporte activo y un mayor uso del transporte público.</w:t>
            </w:r>
          </w:p>
          <w:p w14:paraId="621C5593" w14:textId="77777777" w:rsidR="00512539" w:rsidRPr="0051709F" w:rsidRDefault="00512539" w:rsidP="007B667D">
            <w:pPr>
              <w:jc w:val="both"/>
              <w:rPr>
                <w:rFonts w:cstheme="minorHAnsi"/>
                <w:sz w:val="24"/>
                <w:szCs w:val="24"/>
              </w:rPr>
            </w:pPr>
            <w:r w:rsidRPr="0051709F">
              <w:rPr>
                <w:rFonts w:cstheme="minorHAnsi"/>
                <w:sz w:val="24"/>
                <w:szCs w:val="24"/>
              </w:rPr>
              <w:t>T03—Se promueven y difunden guías y herramientas de apoyo a la infraestructura para la movilidad activa y/o planes y sistemas de transporte que fomenten la actividad física.</w:t>
            </w:r>
          </w:p>
        </w:tc>
      </w:tr>
      <w:tr w:rsidR="00512539" w:rsidRPr="0051709F" w14:paraId="32D3896E" w14:textId="77777777" w:rsidTr="00F16F30">
        <w:tc>
          <w:tcPr>
            <w:tcW w:w="1612" w:type="dxa"/>
          </w:tcPr>
          <w:p w14:paraId="05C80C6D" w14:textId="77777777" w:rsidR="00512539" w:rsidRPr="0051709F" w:rsidRDefault="00512539" w:rsidP="00116986">
            <w:pPr>
              <w:rPr>
                <w:rFonts w:cstheme="minorHAnsi"/>
                <w:sz w:val="24"/>
                <w:szCs w:val="24"/>
              </w:rPr>
            </w:pPr>
            <w:r w:rsidRPr="0051709F">
              <w:rPr>
                <w:rFonts w:cstheme="minorHAnsi"/>
                <w:sz w:val="24"/>
                <w:szCs w:val="24"/>
              </w:rPr>
              <w:t>Diseño urbano</w:t>
            </w:r>
          </w:p>
        </w:tc>
        <w:tc>
          <w:tcPr>
            <w:tcW w:w="2221" w:type="dxa"/>
          </w:tcPr>
          <w:p w14:paraId="66917050" w14:textId="77777777" w:rsidR="00512539" w:rsidRPr="0051709F" w:rsidRDefault="00512539" w:rsidP="002976B7">
            <w:pPr>
              <w:rPr>
                <w:rFonts w:cstheme="minorHAnsi"/>
                <w:sz w:val="24"/>
                <w:szCs w:val="24"/>
              </w:rPr>
            </w:pPr>
            <w:r w:rsidRPr="0051709F">
              <w:rPr>
                <w:rFonts w:cstheme="minorHAnsi"/>
                <w:sz w:val="24"/>
                <w:szCs w:val="24"/>
              </w:rPr>
              <w:t>Existen políticas públicas, promulgadas en los niveles apropiados de gobierno, para garantizar que se implementen principios de diseño urbano basados ​​en evidencia para promover y apoyar la actividad física y la movilidad activa para personas de todas las edades y capacidades.</w:t>
            </w:r>
          </w:p>
        </w:tc>
        <w:tc>
          <w:tcPr>
            <w:tcW w:w="5518" w:type="dxa"/>
          </w:tcPr>
          <w:p w14:paraId="748E882C" w14:textId="77777777" w:rsidR="00512539" w:rsidRPr="0051709F" w:rsidRDefault="00512539" w:rsidP="007B667D">
            <w:pPr>
              <w:jc w:val="both"/>
              <w:rPr>
                <w:rFonts w:cstheme="minorHAnsi"/>
                <w:sz w:val="24"/>
                <w:szCs w:val="24"/>
              </w:rPr>
            </w:pPr>
            <w:r w:rsidRPr="0051709F">
              <w:rPr>
                <w:rFonts w:cstheme="minorHAnsi"/>
                <w:sz w:val="24"/>
                <w:szCs w:val="24"/>
              </w:rPr>
              <w:t>UD01— Se adoptan políticas o regulaciones que adoptan un enfoque de "salud en todos" para reasignar espacio del transporte motorizado a viajes activos y/o fines recreativos.</w:t>
            </w:r>
          </w:p>
          <w:p w14:paraId="1B0AFB65" w14:textId="77777777" w:rsidR="00512539" w:rsidRPr="0051709F" w:rsidRDefault="00512539" w:rsidP="007B667D">
            <w:pPr>
              <w:jc w:val="both"/>
              <w:rPr>
                <w:rFonts w:cstheme="minorHAnsi"/>
                <w:sz w:val="24"/>
                <w:szCs w:val="24"/>
              </w:rPr>
            </w:pPr>
            <w:r w:rsidRPr="0051709F">
              <w:rPr>
                <w:rFonts w:cstheme="minorHAnsi"/>
                <w:sz w:val="24"/>
                <w:szCs w:val="24"/>
              </w:rPr>
              <w:t>UD02— Los gobiernos adoptan políticas de uso del suelo y procesos de planificación, consistentes con los principios de uso mixto del suelo, diseño urbano compacto y/o provisión de espacios verdes abiertos para apoyar la actividad física y reducir el transporte motorizado.</w:t>
            </w:r>
          </w:p>
          <w:p w14:paraId="0F5B0B77" w14:textId="77777777" w:rsidR="00512539" w:rsidRPr="0051709F" w:rsidRDefault="00512539" w:rsidP="007B667D">
            <w:pPr>
              <w:jc w:val="both"/>
              <w:rPr>
                <w:rFonts w:cstheme="minorHAnsi"/>
                <w:sz w:val="24"/>
                <w:szCs w:val="24"/>
              </w:rPr>
            </w:pPr>
            <w:r w:rsidRPr="0051709F">
              <w:rPr>
                <w:rFonts w:cstheme="minorHAnsi"/>
                <w:sz w:val="24"/>
                <w:szCs w:val="24"/>
              </w:rPr>
              <w:t>UD03— Existen guías y/o regulaciones que mejoran el acceso universal y equitativo a espacios e instalaciones seguros al aire libre y bajo techo donde las personas pueden realizar actividad física.</w:t>
            </w:r>
          </w:p>
        </w:tc>
      </w:tr>
      <w:tr w:rsidR="00512539" w:rsidRPr="0051709F" w14:paraId="760F866B" w14:textId="77777777" w:rsidTr="00F16F30">
        <w:tc>
          <w:tcPr>
            <w:tcW w:w="1612" w:type="dxa"/>
          </w:tcPr>
          <w:p w14:paraId="784C1973" w14:textId="77777777" w:rsidR="00512539" w:rsidRPr="0051709F" w:rsidRDefault="00512539" w:rsidP="00116986">
            <w:pPr>
              <w:rPr>
                <w:rFonts w:cstheme="minorHAnsi"/>
                <w:sz w:val="24"/>
                <w:szCs w:val="24"/>
              </w:rPr>
            </w:pPr>
            <w:r w:rsidRPr="0051709F">
              <w:rPr>
                <w:rFonts w:cstheme="minorHAnsi"/>
                <w:sz w:val="24"/>
                <w:szCs w:val="24"/>
              </w:rPr>
              <w:t>Sistema de salud</w:t>
            </w:r>
          </w:p>
        </w:tc>
        <w:tc>
          <w:tcPr>
            <w:tcW w:w="2221" w:type="dxa"/>
          </w:tcPr>
          <w:p w14:paraId="1A793E7A" w14:textId="77777777" w:rsidR="00512539" w:rsidRPr="0051709F" w:rsidRDefault="00512539" w:rsidP="002976B7">
            <w:pPr>
              <w:rPr>
                <w:rFonts w:cstheme="minorHAnsi"/>
                <w:sz w:val="24"/>
                <w:szCs w:val="24"/>
              </w:rPr>
            </w:pPr>
            <w:r w:rsidRPr="0051709F">
              <w:rPr>
                <w:rFonts w:cstheme="minorHAnsi"/>
                <w:sz w:val="24"/>
                <w:szCs w:val="24"/>
              </w:rPr>
              <w:t xml:space="preserve">Las políticas públicas implementadas dentro de los entornos de atención médica promueven y apoyan la actividad física, por ejemplo, proporcionando pautas y regulaciones, aplicando tecnologías </w:t>
            </w:r>
            <w:r w:rsidRPr="0051709F">
              <w:rPr>
                <w:rFonts w:cstheme="minorHAnsi"/>
                <w:sz w:val="24"/>
                <w:szCs w:val="24"/>
              </w:rPr>
              <w:lastRenderedPageBreak/>
              <w:t>de salud digital y enfocando a grupos en riesgo como adultos mayores.</w:t>
            </w:r>
          </w:p>
        </w:tc>
        <w:tc>
          <w:tcPr>
            <w:tcW w:w="5518" w:type="dxa"/>
          </w:tcPr>
          <w:p w14:paraId="385E7ECD" w14:textId="77777777" w:rsidR="00512539" w:rsidRPr="0051709F" w:rsidRDefault="00512539" w:rsidP="007B667D">
            <w:pPr>
              <w:jc w:val="both"/>
              <w:rPr>
                <w:rFonts w:cstheme="minorHAnsi"/>
                <w:sz w:val="24"/>
                <w:szCs w:val="24"/>
              </w:rPr>
            </w:pPr>
            <w:r w:rsidRPr="0051709F">
              <w:rPr>
                <w:rFonts w:cstheme="minorHAnsi"/>
                <w:sz w:val="24"/>
                <w:szCs w:val="24"/>
              </w:rPr>
              <w:lastRenderedPageBreak/>
              <w:t>S01— Las pautas y regulaciones en el cuidado de la salud incluyen exámenes rutinarios de detección de actividad física y, para todos los pacientes con actividad insuficiente, consejos breves y derivación a profesionales debidamente capacitados y/u oportunidades de actividad física.</w:t>
            </w:r>
          </w:p>
          <w:p w14:paraId="1C3345F5" w14:textId="7A8B27A1" w:rsidR="00512539" w:rsidRPr="0051709F" w:rsidRDefault="00512539" w:rsidP="007B667D">
            <w:pPr>
              <w:jc w:val="both"/>
              <w:rPr>
                <w:rFonts w:cstheme="minorHAnsi"/>
                <w:sz w:val="24"/>
                <w:szCs w:val="24"/>
              </w:rPr>
            </w:pPr>
            <w:r w:rsidRPr="0051709F">
              <w:rPr>
                <w:rFonts w:cstheme="minorHAnsi"/>
                <w:sz w:val="24"/>
                <w:szCs w:val="24"/>
              </w:rPr>
              <w:t xml:space="preserve">S02— Existen políticas consistentes para promover y apoyar la actividad física en entornos de atención médica primaria y secundaria entre grupos en riesgo, como personas con diabetes tipo 2 y adultos </w:t>
            </w:r>
            <w:r w:rsidRPr="0051709F">
              <w:rPr>
                <w:rFonts w:cstheme="minorHAnsi"/>
                <w:sz w:val="24"/>
                <w:szCs w:val="24"/>
              </w:rPr>
              <w:lastRenderedPageBreak/>
              <w:t>mayores</w:t>
            </w:r>
            <w:r w:rsidR="002976B7">
              <w:rPr>
                <w:rFonts w:cstheme="minorHAnsi"/>
                <w:sz w:val="24"/>
                <w:szCs w:val="24"/>
              </w:rPr>
              <w:t>,</w:t>
            </w:r>
            <w:r w:rsidRPr="0051709F">
              <w:rPr>
                <w:rFonts w:cstheme="minorHAnsi"/>
                <w:sz w:val="24"/>
                <w:szCs w:val="24"/>
              </w:rPr>
              <w:t xml:space="preserve"> por ejemplo, protocolos para la evaluación de la capacidad de actividad física; programas de actividad física accesibles, asequibles y personalizados; y capacitación para cuidadores para ofrecer programas de actividad física dentro del cuidado residencial para adultos mayores.</w:t>
            </w:r>
          </w:p>
        </w:tc>
      </w:tr>
      <w:tr w:rsidR="00512539" w:rsidRPr="0051709F" w14:paraId="7B4BC236" w14:textId="77777777" w:rsidTr="00F16F30">
        <w:tc>
          <w:tcPr>
            <w:tcW w:w="1612" w:type="dxa"/>
          </w:tcPr>
          <w:p w14:paraId="4CA49C79" w14:textId="77777777" w:rsidR="00512539" w:rsidRPr="0051709F" w:rsidRDefault="00512539" w:rsidP="00116986">
            <w:pPr>
              <w:rPr>
                <w:rFonts w:cstheme="minorHAnsi"/>
                <w:sz w:val="24"/>
                <w:szCs w:val="24"/>
              </w:rPr>
            </w:pPr>
            <w:r w:rsidRPr="0051709F">
              <w:rPr>
                <w:rFonts w:cstheme="minorHAnsi"/>
                <w:sz w:val="24"/>
                <w:szCs w:val="24"/>
              </w:rPr>
              <w:lastRenderedPageBreak/>
              <w:t>Educación para el público/medios de comunicación</w:t>
            </w:r>
          </w:p>
        </w:tc>
        <w:tc>
          <w:tcPr>
            <w:tcW w:w="2221" w:type="dxa"/>
          </w:tcPr>
          <w:p w14:paraId="6213B37C" w14:textId="77777777" w:rsidR="00512539" w:rsidRPr="0051709F" w:rsidRDefault="00512539" w:rsidP="002976B7">
            <w:pPr>
              <w:rPr>
                <w:rFonts w:cstheme="minorHAnsi"/>
                <w:sz w:val="24"/>
                <w:szCs w:val="24"/>
              </w:rPr>
            </w:pPr>
            <w:r w:rsidRPr="0051709F">
              <w:rPr>
                <w:rFonts w:cstheme="minorHAnsi"/>
                <w:sz w:val="24"/>
                <w:szCs w:val="24"/>
              </w:rPr>
              <w:t>Existen políticas públicas nacionales y/o subnacionales implementadas para garantizar la promulgación de campañas educativas/mediáticas que promuevan y apoyen activamente el aumento de los niveles de actividad física para todas las edades y capacidades.</w:t>
            </w:r>
          </w:p>
        </w:tc>
        <w:tc>
          <w:tcPr>
            <w:tcW w:w="5518" w:type="dxa"/>
          </w:tcPr>
          <w:p w14:paraId="28D97A9C" w14:textId="072B6E92" w:rsidR="00512539" w:rsidRPr="0051709F" w:rsidRDefault="00512539" w:rsidP="007B667D">
            <w:pPr>
              <w:jc w:val="both"/>
              <w:rPr>
                <w:rFonts w:cstheme="minorHAnsi"/>
                <w:sz w:val="24"/>
                <w:szCs w:val="24"/>
              </w:rPr>
            </w:pPr>
            <w:r w:rsidRPr="0051709F">
              <w:rPr>
                <w:rFonts w:cstheme="minorHAnsi"/>
                <w:sz w:val="24"/>
                <w:szCs w:val="24"/>
              </w:rPr>
              <w:t>MM01— Existen políticas públicas nacionales y/o subnacionales que aseguran que las campañas educativas y en los medios promueven y apoyan que la actividad física se mantenga y monitoree (p</w:t>
            </w:r>
            <w:r w:rsidR="002976B7">
              <w:rPr>
                <w:rFonts w:cstheme="minorHAnsi"/>
                <w:sz w:val="24"/>
                <w:szCs w:val="24"/>
              </w:rPr>
              <w:t>or</w:t>
            </w:r>
            <w:r w:rsidRPr="0051709F">
              <w:rPr>
                <w:rFonts w:cstheme="minorHAnsi"/>
                <w:sz w:val="24"/>
                <w:szCs w:val="24"/>
              </w:rPr>
              <w:t xml:space="preserve"> ej</w:t>
            </w:r>
            <w:r w:rsidR="002976B7">
              <w:rPr>
                <w:rFonts w:cstheme="minorHAnsi"/>
                <w:sz w:val="24"/>
                <w:szCs w:val="24"/>
              </w:rPr>
              <w:t>emplo</w:t>
            </w:r>
            <w:r w:rsidRPr="0051709F">
              <w:rPr>
                <w:rFonts w:cstheme="minorHAnsi"/>
                <w:sz w:val="24"/>
                <w:szCs w:val="24"/>
              </w:rPr>
              <w:t>, haciéndolas parte o alineándolas con un plan de acción nacional sobre actividad física y las pautas de actividad física).</w:t>
            </w:r>
          </w:p>
          <w:p w14:paraId="3A416EFD" w14:textId="14B90030" w:rsidR="00512539" w:rsidRPr="0051709F" w:rsidRDefault="00512539" w:rsidP="007B667D">
            <w:pPr>
              <w:jc w:val="both"/>
              <w:rPr>
                <w:rFonts w:cstheme="minorHAnsi"/>
                <w:sz w:val="24"/>
                <w:szCs w:val="24"/>
              </w:rPr>
            </w:pPr>
            <w:r w:rsidRPr="0051709F">
              <w:rPr>
                <w:rFonts w:cstheme="minorHAnsi"/>
                <w:sz w:val="24"/>
                <w:szCs w:val="24"/>
              </w:rPr>
              <w:t>MM02— Existen políticas claras y consistentes para garantizar que se utilicen múltiples modos/canales de medios (p</w:t>
            </w:r>
            <w:r w:rsidR="00116986">
              <w:rPr>
                <w:rFonts w:cstheme="minorHAnsi"/>
                <w:sz w:val="24"/>
                <w:szCs w:val="24"/>
              </w:rPr>
              <w:t>or</w:t>
            </w:r>
            <w:r w:rsidRPr="0051709F">
              <w:rPr>
                <w:rFonts w:cstheme="minorHAnsi"/>
                <w:sz w:val="24"/>
                <w:szCs w:val="24"/>
              </w:rPr>
              <w:t xml:space="preserve"> ej</w:t>
            </w:r>
            <w:r w:rsidR="00116986">
              <w:rPr>
                <w:rFonts w:cstheme="minorHAnsi"/>
                <w:sz w:val="24"/>
                <w:szCs w:val="24"/>
              </w:rPr>
              <w:t>emplo</w:t>
            </w:r>
            <w:r w:rsidRPr="0051709F">
              <w:rPr>
                <w:rFonts w:cstheme="minorHAnsi"/>
                <w:sz w:val="24"/>
                <w:szCs w:val="24"/>
              </w:rPr>
              <w:t>, a través de carteles, redes sociales, radio y televisión) combinad</w:t>
            </w:r>
            <w:r w:rsidR="00116986">
              <w:rPr>
                <w:rFonts w:cstheme="minorHAnsi"/>
                <w:sz w:val="24"/>
                <w:szCs w:val="24"/>
              </w:rPr>
              <w:t>a</w:t>
            </w:r>
            <w:r w:rsidRPr="0051709F">
              <w:rPr>
                <w:rFonts w:cstheme="minorHAnsi"/>
                <w:sz w:val="24"/>
                <w:szCs w:val="24"/>
              </w:rPr>
              <w:t xml:space="preserve">s con iniciativas comunitarias complementarias para promover los beneficios de la actividad física y difundir pautas alineadas con las recomendaciones de actividad física de la </w:t>
            </w:r>
            <w:r w:rsidR="006D4843" w:rsidRPr="006D4843">
              <w:rPr>
                <w:rStyle w:val="rynqvb"/>
                <w:rFonts w:cstheme="minorHAnsi"/>
                <w:sz w:val="24"/>
                <w:szCs w:val="24"/>
                <w:lang w:val="es-ES"/>
              </w:rPr>
              <w:t>Organización Mundial de la Salud</w:t>
            </w:r>
            <w:r w:rsidRPr="0051709F">
              <w:rPr>
                <w:rFonts w:cstheme="minorHAnsi"/>
                <w:sz w:val="24"/>
                <w:szCs w:val="24"/>
              </w:rPr>
              <w:t>.</w:t>
            </w:r>
          </w:p>
        </w:tc>
      </w:tr>
      <w:tr w:rsidR="00512539" w:rsidRPr="0051709F" w14:paraId="17CFC477" w14:textId="77777777" w:rsidTr="00F16F30">
        <w:tc>
          <w:tcPr>
            <w:tcW w:w="1612" w:type="dxa"/>
          </w:tcPr>
          <w:p w14:paraId="24669DCF" w14:textId="77777777" w:rsidR="00512539" w:rsidRPr="0051709F" w:rsidRDefault="00512539" w:rsidP="00116986">
            <w:pPr>
              <w:rPr>
                <w:rFonts w:cstheme="minorHAnsi"/>
                <w:sz w:val="24"/>
                <w:szCs w:val="24"/>
              </w:rPr>
            </w:pPr>
            <w:r w:rsidRPr="0051709F">
              <w:rPr>
                <w:rFonts w:cstheme="minorHAnsi"/>
                <w:sz w:val="24"/>
                <w:szCs w:val="24"/>
              </w:rPr>
              <w:t>Comunidad</w:t>
            </w:r>
          </w:p>
        </w:tc>
        <w:tc>
          <w:tcPr>
            <w:tcW w:w="2221" w:type="dxa"/>
          </w:tcPr>
          <w:p w14:paraId="0FC0E259" w14:textId="77777777" w:rsidR="00512539" w:rsidRPr="0051709F" w:rsidRDefault="00512539" w:rsidP="002976B7">
            <w:pPr>
              <w:rPr>
                <w:rFonts w:cstheme="minorHAnsi"/>
                <w:sz w:val="24"/>
                <w:szCs w:val="24"/>
              </w:rPr>
            </w:pPr>
            <w:r w:rsidRPr="0051709F">
              <w:rPr>
                <w:rFonts w:cstheme="minorHAnsi"/>
                <w:sz w:val="24"/>
                <w:szCs w:val="24"/>
              </w:rPr>
              <w:t>Existen políticas y programas que promueven y apoyan la actividad física para todas las edades y capacidades, en consonancia con las recomendaciones pertinentes, por ejemplo, apoyando la implementación de eventos y enfoques de toda la comunidad y promoviendo el uso compartido de espacios e instalaciones públicos.</w:t>
            </w:r>
          </w:p>
        </w:tc>
        <w:tc>
          <w:tcPr>
            <w:tcW w:w="5518" w:type="dxa"/>
          </w:tcPr>
          <w:p w14:paraId="75B82321" w14:textId="08E1ACB2" w:rsidR="00512539" w:rsidRPr="0051709F" w:rsidRDefault="00512539" w:rsidP="007B667D">
            <w:pPr>
              <w:jc w:val="both"/>
              <w:rPr>
                <w:rFonts w:cstheme="minorHAnsi"/>
                <w:sz w:val="24"/>
                <w:szCs w:val="24"/>
              </w:rPr>
            </w:pPr>
            <w:r w:rsidRPr="0051709F">
              <w:rPr>
                <w:rFonts w:cstheme="minorHAnsi"/>
                <w:sz w:val="24"/>
                <w:szCs w:val="24"/>
              </w:rPr>
              <w:t xml:space="preserve">C01— Existen políticas públicas para apoyar la implementación de enfoques de toda la comunidad para promover la actividad física y la creación de redes para fortalecer los recursos e intercambiar experiencias (por ejemplo, Ciudades Saludables de la </w:t>
            </w:r>
            <w:r w:rsidR="006D4843" w:rsidRPr="006D4843">
              <w:rPr>
                <w:rStyle w:val="rynqvb"/>
                <w:rFonts w:cstheme="minorHAnsi"/>
                <w:sz w:val="24"/>
                <w:szCs w:val="24"/>
                <w:lang w:val="es-ES"/>
              </w:rPr>
              <w:t>Organización Mundial de la Salud</w:t>
            </w:r>
            <w:r w:rsidRPr="0051709F">
              <w:rPr>
                <w:rFonts w:cstheme="minorHAnsi"/>
                <w:sz w:val="24"/>
                <w:szCs w:val="24"/>
              </w:rPr>
              <w:t>, Ciudades Activas, Alianzas para Ciudades Saludables).</w:t>
            </w:r>
          </w:p>
          <w:p w14:paraId="3428AF09" w14:textId="77777777" w:rsidR="00512539" w:rsidRPr="0051709F" w:rsidRDefault="00512539" w:rsidP="007B667D">
            <w:pPr>
              <w:jc w:val="both"/>
              <w:rPr>
                <w:rFonts w:cstheme="minorHAnsi"/>
                <w:sz w:val="24"/>
                <w:szCs w:val="24"/>
              </w:rPr>
            </w:pPr>
            <w:r w:rsidRPr="0051709F">
              <w:rPr>
                <w:rFonts w:cstheme="minorHAnsi"/>
                <w:sz w:val="24"/>
                <w:szCs w:val="24"/>
              </w:rPr>
              <w:t>C02— Existen políticas públicas para fomentar asociaciones para el uso compartido de espacios e instalaciones públicos para programas de actividad física basados ​​en la comunidad y dirigidos por la comunidad.</w:t>
            </w:r>
          </w:p>
        </w:tc>
      </w:tr>
      <w:tr w:rsidR="00512539" w:rsidRPr="0051709F" w14:paraId="78DA7D73" w14:textId="77777777" w:rsidTr="00F16F30">
        <w:tc>
          <w:tcPr>
            <w:tcW w:w="1612" w:type="dxa"/>
          </w:tcPr>
          <w:p w14:paraId="18B0B4B1" w14:textId="184900CA" w:rsidR="00512539" w:rsidRPr="0051709F" w:rsidRDefault="00512539" w:rsidP="00116986">
            <w:pPr>
              <w:rPr>
                <w:rFonts w:cstheme="minorHAnsi"/>
                <w:sz w:val="24"/>
                <w:szCs w:val="24"/>
              </w:rPr>
            </w:pPr>
            <w:r w:rsidRPr="0051709F">
              <w:rPr>
                <w:rFonts w:cstheme="minorHAnsi"/>
                <w:sz w:val="24"/>
                <w:szCs w:val="24"/>
              </w:rPr>
              <w:t xml:space="preserve">Deporte y </w:t>
            </w:r>
            <w:r w:rsidR="00116986">
              <w:rPr>
                <w:rFonts w:cstheme="minorHAnsi"/>
                <w:sz w:val="24"/>
                <w:szCs w:val="24"/>
              </w:rPr>
              <w:t>r</w:t>
            </w:r>
            <w:r w:rsidRPr="0051709F">
              <w:rPr>
                <w:rFonts w:cstheme="minorHAnsi"/>
                <w:sz w:val="24"/>
                <w:szCs w:val="24"/>
              </w:rPr>
              <w:t>ecreación para Todos</w:t>
            </w:r>
          </w:p>
        </w:tc>
        <w:tc>
          <w:tcPr>
            <w:tcW w:w="2221" w:type="dxa"/>
          </w:tcPr>
          <w:p w14:paraId="4E10AB43" w14:textId="77777777" w:rsidR="00512539" w:rsidRPr="0051709F" w:rsidRDefault="00512539" w:rsidP="002976B7">
            <w:pPr>
              <w:rPr>
                <w:rFonts w:cstheme="minorHAnsi"/>
                <w:sz w:val="24"/>
                <w:szCs w:val="24"/>
              </w:rPr>
            </w:pPr>
            <w:r w:rsidRPr="0051709F">
              <w:rPr>
                <w:rFonts w:cstheme="minorHAnsi"/>
                <w:sz w:val="24"/>
                <w:szCs w:val="24"/>
              </w:rPr>
              <w:t>Se implementan políticas públicas basadas en evidencia para promover y apoyar el deporte y la recreación para todos.</w:t>
            </w:r>
          </w:p>
        </w:tc>
        <w:tc>
          <w:tcPr>
            <w:tcW w:w="5518" w:type="dxa"/>
          </w:tcPr>
          <w:p w14:paraId="708715AF" w14:textId="77777777" w:rsidR="00512539" w:rsidRPr="0051709F" w:rsidRDefault="00512539" w:rsidP="007B667D">
            <w:pPr>
              <w:jc w:val="both"/>
              <w:rPr>
                <w:rFonts w:cstheme="minorHAnsi"/>
                <w:sz w:val="24"/>
                <w:szCs w:val="24"/>
              </w:rPr>
            </w:pPr>
            <w:r w:rsidRPr="0051709F">
              <w:rPr>
                <w:rFonts w:cstheme="minorHAnsi"/>
                <w:sz w:val="24"/>
                <w:szCs w:val="24"/>
              </w:rPr>
              <w:t>DR01—Existen políticas nacionales y/o subnacionales basadas en evidencia de “Deporte y Recreación para Todos” que priorizan la inversión en iniciativas dirigidas a los grupos menos activos, así como a los grupos desfavorecidos.</w:t>
            </w:r>
          </w:p>
          <w:p w14:paraId="0957CD71" w14:textId="77777777" w:rsidR="00512539" w:rsidRPr="0051709F" w:rsidRDefault="00512539" w:rsidP="007B667D">
            <w:pPr>
              <w:jc w:val="both"/>
              <w:rPr>
                <w:rFonts w:cstheme="minorHAnsi"/>
                <w:sz w:val="24"/>
                <w:szCs w:val="24"/>
              </w:rPr>
            </w:pPr>
            <w:r w:rsidRPr="0051709F">
              <w:rPr>
                <w:rFonts w:cstheme="minorHAnsi"/>
                <w:sz w:val="24"/>
                <w:szCs w:val="24"/>
              </w:rPr>
              <w:t xml:space="preserve">DR02—Existen políticas o planes de acción nacionales y/o subnacionales basados ​​en evidencia </w:t>
            </w:r>
            <w:r w:rsidRPr="0051709F">
              <w:rPr>
                <w:rFonts w:cstheme="minorHAnsi"/>
                <w:sz w:val="24"/>
                <w:szCs w:val="24"/>
              </w:rPr>
              <w:lastRenderedPageBreak/>
              <w:t>que garantizan el acceso equitativo a los espacios y lugares deportivos y recreativos para todos.</w:t>
            </w:r>
          </w:p>
          <w:p w14:paraId="08712D10" w14:textId="77777777" w:rsidR="00512539" w:rsidRPr="0051709F" w:rsidRDefault="00512539" w:rsidP="007B667D">
            <w:pPr>
              <w:jc w:val="both"/>
              <w:rPr>
                <w:rFonts w:cstheme="minorHAnsi"/>
                <w:sz w:val="24"/>
                <w:szCs w:val="24"/>
              </w:rPr>
            </w:pPr>
            <w:r w:rsidRPr="0051709F">
              <w:rPr>
                <w:rFonts w:cstheme="minorHAnsi"/>
                <w:sz w:val="24"/>
                <w:szCs w:val="24"/>
              </w:rPr>
              <w:t>DR03— Hay apoyo gubernamental para programas diseñados para alentar a los clubes deportivos a promover la actividad física que mejora la salud y otros comportamientos saludables (por ejemplo, "clubes deportivos para la salud" y "clubes deportivos que promueven la salud").</w:t>
            </w:r>
          </w:p>
        </w:tc>
      </w:tr>
      <w:tr w:rsidR="00512539" w:rsidRPr="0051709F" w14:paraId="38E9C6D1" w14:textId="77777777" w:rsidTr="00F16F30">
        <w:tc>
          <w:tcPr>
            <w:tcW w:w="1612" w:type="dxa"/>
          </w:tcPr>
          <w:p w14:paraId="710B9F48" w14:textId="77777777" w:rsidR="00512539" w:rsidRPr="0051709F" w:rsidRDefault="00512539" w:rsidP="00116986">
            <w:pPr>
              <w:rPr>
                <w:rFonts w:cstheme="minorHAnsi"/>
                <w:sz w:val="24"/>
                <w:szCs w:val="24"/>
              </w:rPr>
            </w:pPr>
            <w:r w:rsidRPr="0051709F">
              <w:rPr>
                <w:rFonts w:cstheme="minorHAnsi"/>
                <w:sz w:val="24"/>
                <w:szCs w:val="24"/>
              </w:rPr>
              <w:lastRenderedPageBreak/>
              <w:t>Espacio de trabajo</w:t>
            </w:r>
          </w:p>
        </w:tc>
        <w:tc>
          <w:tcPr>
            <w:tcW w:w="2221" w:type="dxa"/>
          </w:tcPr>
          <w:p w14:paraId="65EA8CC2" w14:textId="77777777" w:rsidR="00512539" w:rsidRPr="0051709F" w:rsidRDefault="00512539" w:rsidP="002976B7">
            <w:pPr>
              <w:rPr>
                <w:rFonts w:cstheme="minorHAnsi"/>
                <w:sz w:val="24"/>
                <w:szCs w:val="24"/>
              </w:rPr>
            </w:pPr>
            <w:r w:rsidRPr="0051709F">
              <w:rPr>
                <w:rFonts w:cstheme="minorHAnsi"/>
                <w:sz w:val="24"/>
                <w:szCs w:val="24"/>
              </w:rPr>
              <w:t>Existen políticas nacionales y/o subnacionales implementadas relacionadas con el lugar de trabajo que promueven y apoyan el aumento de la actividad física (por ejemplo, iniciativas de ir en bicicleta al trabajo, lugares de trabajo físicamente activos) y promueven una cultura de salud para todos los empleados.</w:t>
            </w:r>
          </w:p>
        </w:tc>
        <w:tc>
          <w:tcPr>
            <w:tcW w:w="5518" w:type="dxa"/>
          </w:tcPr>
          <w:p w14:paraId="7226D533" w14:textId="12345441" w:rsidR="00512539" w:rsidRPr="0051709F" w:rsidRDefault="00512539" w:rsidP="007B667D">
            <w:pPr>
              <w:jc w:val="both"/>
              <w:rPr>
                <w:rFonts w:cstheme="minorHAnsi"/>
                <w:sz w:val="24"/>
                <w:szCs w:val="24"/>
              </w:rPr>
            </w:pPr>
            <w:r w:rsidRPr="0051709F">
              <w:rPr>
                <w:rFonts w:cstheme="minorHAnsi"/>
                <w:sz w:val="24"/>
                <w:szCs w:val="24"/>
              </w:rPr>
              <w:t>ET01— Existen iniciativas de políticas nacionales y/o subnacionales y programas de desarrollo de infraestructura para promover y apoyar los viajes activos</w:t>
            </w:r>
            <w:r w:rsidR="00B20563">
              <w:rPr>
                <w:rFonts w:cstheme="minorHAnsi"/>
                <w:sz w:val="24"/>
                <w:szCs w:val="24"/>
              </w:rPr>
              <w:t xml:space="preserve"> y</w:t>
            </w:r>
            <w:r w:rsidRPr="0051709F">
              <w:rPr>
                <w:rFonts w:cstheme="minorHAnsi"/>
                <w:sz w:val="24"/>
                <w:szCs w:val="24"/>
              </w:rPr>
              <w:t xml:space="preserve"> seguros hacia y desde el lugar de trabajo.</w:t>
            </w:r>
          </w:p>
          <w:p w14:paraId="56CE06DA" w14:textId="77777777" w:rsidR="00512539" w:rsidRPr="0051709F" w:rsidRDefault="00512539" w:rsidP="007B667D">
            <w:pPr>
              <w:jc w:val="both"/>
              <w:rPr>
                <w:rFonts w:cstheme="minorHAnsi"/>
                <w:sz w:val="24"/>
                <w:szCs w:val="24"/>
              </w:rPr>
            </w:pPr>
            <w:r w:rsidRPr="0051709F">
              <w:rPr>
                <w:rFonts w:cstheme="minorHAnsi"/>
                <w:sz w:val="24"/>
                <w:szCs w:val="24"/>
              </w:rPr>
              <w:t>ET02— Existen conceptos y reglamentos para edificios, terrenos y el medio ambiente que promueven y apoyan a los empleadores para crear entornos de trabajo físicamente activos a través del diseño de edificios y la provisión de instalaciones adecuadas (tanto interiores como exteriores).</w:t>
            </w:r>
          </w:p>
        </w:tc>
      </w:tr>
    </w:tbl>
    <w:p w14:paraId="7B7D0FCC" w14:textId="77777777" w:rsidR="00512539" w:rsidRPr="0051709F" w:rsidRDefault="00512539" w:rsidP="00512539">
      <w:pPr>
        <w:rPr>
          <w:rFonts w:cstheme="minorHAnsi"/>
        </w:rPr>
      </w:pPr>
    </w:p>
    <w:p w14:paraId="05C1B7CF" w14:textId="77777777" w:rsidR="00A80437" w:rsidRPr="0051709F" w:rsidRDefault="00A80437" w:rsidP="00512539">
      <w:pPr>
        <w:rPr>
          <w:rFonts w:cstheme="minorHAnsi"/>
        </w:rPr>
      </w:pPr>
    </w:p>
    <w:p w14:paraId="143DB9BD" w14:textId="7FE9A581" w:rsidR="00A80437" w:rsidRPr="007B667D" w:rsidRDefault="00145599" w:rsidP="00145599">
      <w:pPr>
        <w:jc w:val="center"/>
        <w:rPr>
          <w:rFonts w:cstheme="minorHAnsi"/>
          <w:bCs/>
          <w:i/>
          <w:iCs/>
          <w:sz w:val="22"/>
          <w:szCs w:val="22"/>
        </w:rPr>
      </w:pPr>
      <w:r w:rsidRPr="007B667D">
        <w:rPr>
          <w:rFonts w:cstheme="minorHAnsi"/>
          <w:bCs/>
          <w:i/>
          <w:iCs/>
          <w:sz w:val="22"/>
          <w:szCs w:val="22"/>
        </w:rPr>
        <w:t>Tabla 5. Indicadores de política de promoción considerando la infraestructura</w:t>
      </w:r>
    </w:p>
    <w:p w14:paraId="2BD640AC" w14:textId="77777777" w:rsidR="000A58A8" w:rsidRPr="0051709F" w:rsidRDefault="000A58A8" w:rsidP="00145599">
      <w:pPr>
        <w:jc w:val="center"/>
        <w:rPr>
          <w:rFonts w:cstheme="minorHAnsi"/>
        </w:rPr>
      </w:pPr>
    </w:p>
    <w:tbl>
      <w:tblPr>
        <w:tblStyle w:val="Tablaconcuadrcula"/>
        <w:tblW w:w="9351" w:type="dxa"/>
        <w:tblLook w:val="04A0" w:firstRow="1" w:lastRow="0" w:firstColumn="1" w:lastColumn="0" w:noHBand="0" w:noVBand="1"/>
      </w:tblPr>
      <w:tblGrid>
        <w:gridCol w:w="2263"/>
        <w:gridCol w:w="6663"/>
        <w:gridCol w:w="425"/>
      </w:tblGrid>
      <w:tr w:rsidR="00512539" w:rsidRPr="0051709F" w14:paraId="2568329F" w14:textId="77777777" w:rsidTr="00F16F30">
        <w:tc>
          <w:tcPr>
            <w:tcW w:w="2263" w:type="dxa"/>
            <w:vMerge w:val="restart"/>
          </w:tcPr>
          <w:p w14:paraId="3E0AB987" w14:textId="77777777" w:rsidR="00512539" w:rsidRPr="0051709F" w:rsidRDefault="00512539" w:rsidP="00F16F30">
            <w:pPr>
              <w:rPr>
                <w:rFonts w:cstheme="minorHAnsi"/>
                <w:sz w:val="24"/>
                <w:szCs w:val="24"/>
              </w:rPr>
            </w:pPr>
            <w:r w:rsidRPr="0051709F">
              <w:rPr>
                <w:rFonts w:cstheme="minorHAnsi"/>
                <w:sz w:val="24"/>
                <w:szCs w:val="24"/>
              </w:rPr>
              <w:t>Liderazgo</w:t>
            </w:r>
          </w:p>
        </w:tc>
        <w:tc>
          <w:tcPr>
            <w:tcW w:w="6663" w:type="dxa"/>
          </w:tcPr>
          <w:p w14:paraId="3C7C4D1B" w14:textId="77777777" w:rsidR="00512539" w:rsidRPr="0051709F" w:rsidRDefault="00512539" w:rsidP="007B667D">
            <w:pPr>
              <w:jc w:val="both"/>
              <w:rPr>
                <w:rFonts w:cstheme="minorHAnsi"/>
                <w:sz w:val="24"/>
                <w:szCs w:val="24"/>
              </w:rPr>
            </w:pPr>
            <w:r w:rsidRPr="0051709F">
              <w:rPr>
                <w:rFonts w:cstheme="minorHAnsi"/>
                <w:sz w:val="24"/>
                <w:szCs w:val="24"/>
              </w:rPr>
              <w:t>L01 Apoyo político para crear ecosistemas que permitan promocionar la salud</w:t>
            </w:r>
          </w:p>
        </w:tc>
        <w:tc>
          <w:tcPr>
            <w:tcW w:w="425" w:type="dxa"/>
          </w:tcPr>
          <w:p w14:paraId="07A6CF37" w14:textId="77777777" w:rsidR="00512539" w:rsidRPr="0051709F" w:rsidRDefault="00512539" w:rsidP="00F16F30">
            <w:pPr>
              <w:rPr>
                <w:rFonts w:cstheme="minorHAnsi"/>
                <w:sz w:val="24"/>
                <w:szCs w:val="24"/>
              </w:rPr>
            </w:pPr>
          </w:p>
        </w:tc>
      </w:tr>
      <w:tr w:rsidR="00512539" w:rsidRPr="0051709F" w14:paraId="36E42609" w14:textId="77777777" w:rsidTr="00F16F30">
        <w:tc>
          <w:tcPr>
            <w:tcW w:w="2263" w:type="dxa"/>
            <w:vMerge/>
          </w:tcPr>
          <w:p w14:paraId="296AB5BC" w14:textId="77777777" w:rsidR="00512539" w:rsidRPr="0051709F" w:rsidRDefault="00512539" w:rsidP="00F16F30">
            <w:pPr>
              <w:rPr>
                <w:rFonts w:cstheme="minorHAnsi"/>
                <w:sz w:val="24"/>
                <w:szCs w:val="24"/>
              </w:rPr>
            </w:pPr>
          </w:p>
        </w:tc>
        <w:tc>
          <w:tcPr>
            <w:tcW w:w="6663" w:type="dxa"/>
          </w:tcPr>
          <w:p w14:paraId="7DCABB12" w14:textId="77777777" w:rsidR="00512539" w:rsidRPr="0051709F" w:rsidRDefault="00512539" w:rsidP="007B667D">
            <w:pPr>
              <w:jc w:val="both"/>
              <w:rPr>
                <w:rFonts w:cstheme="minorHAnsi"/>
                <w:sz w:val="24"/>
                <w:szCs w:val="24"/>
              </w:rPr>
            </w:pPr>
            <w:r w:rsidRPr="0051709F">
              <w:rPr>
                <w:rFonts w:cstheme="minorHAnsi"/>
                <w:sz w:val="24"/>
                <w:szCs w:val="24"/>
              </w:rPr>
              <w:t>L02 Plan asociado a las necesidades nacionales para aumentar la actividad física</w:t>
            </w:r>
          </w:p>
        </w:tc>
        <w:tc>
          <w:tcPr>
            <w:tcW w:w="425" w:type="dxa"/>
          </w:tcPr>
          <w:p w14:paraId="65779035" w14:textId="77777777" w:rsidR="00512539" w:rsidRPr="0051709F" w:rsidRDefault="00512539" w:rsidP="00F16F30">
            <w:pPr>
              <w:rPr>
                <w:rFonts w:cstheme="minorHAnsi"/>
                <w:sz w:val="24"/>
                <w:szCs w:val="24"/>
              </w:rPr>
            </w:pPr>
          </w:p>
        </w:tc>
      </w:tr>
      <w:tr w:rsidR="00512539" w:rsidRPr="0051709F" w14:paraId="2E2FE92B" w14:textId="77777777" w:rsidTr="00F16F30">
        <w:tc>
          <w:tcPr>
            <w:tcW w:w="2263" w:type="dxa"/>
            <w:vMerge/>
          </w:tcPr>
          <w:p w14:paraId="6993E682" w14:textId="77777777" w:rsidR="00512539" w:rsidRPr="0051709F" w:rsidRDefault="00512539" w:rsidP="00F16F30">
            <w:pPr>
              <w:rPr>
                <w:rFonts w:cstheme="minorHAnsi"/>
                <w:sz w:val="24"/>
                <w:szCs w:val="24"/>
              </w:rPr>
            </w:pPr>
          </w:p>
        </w:tc>
        <w:tc>
          <w:tcPr>
            <w:tcW w:w="6663" w:type="dxa"/>
          </w:tcPr>
          <w:p w14:paraId="69FEEEC1" w14:textId="77777777" w:rsidR="00512539" w:rsidRPr="0051709F" w:rsidRDefault="00512539" w:rsidP="007B667D">
            <w:pPr>
              <w:jc w:val="both"/>
              <w:rPr>
                <w:rFonts w:cstheme="minorHAnsi"/>
                <w:sz w:val="24"/>
                <w:szCs w:val="24"/>
              </w:rPr>
            </w:pPr>
            <w:r w:rsidRPr="0051709F">
              <w:rPr>
                <w:rFonts w:cstheme="minorHAnsi"/>
                <w:sz w:val="24"/>
                <w:szCs w:val="24"/>
              </w:rPr>
              <w:t>L03 Prioridades para reducir las desigualdades en el plan</w:t>
            </w:r>
          </w:p>
        </w:tc>
        <w:tc>
          <w:tcPr>
            <w:tcW w:w="425" w:type="dxa"/>
          </w:tcPr>
          <w:p w14:paraId="741A40AC" w14:textId="77777777" w:rsidR="00512539" w:rsidRPr="0051709F" w:rsidRDefault="00512539" w:rsidP="00F16F30">
            <w:pPr>
              <w:rPr>
                <w:rFonts w:cstheme="minorHAnsi"/>
                <w:sz w:val="24"/>
                <w:szCs w:val="24"/>
              </w:rPr>
            </w:pPr>
          </w:p>
        </w:tc>
      </w:tr>
      <w:tr w:rsidR="00512539" w:rsidRPr="0051709F" w14:paraId="25FB6D35" w14:textId="77777777" w:rsidTr="00F16F30">
        <w:tc>
          <w:tcPr>
            <w:tcW w:w="2263" w:type="dxa"/>
            <w:vMerge/>
          </w:tcPr>
          <w:p w14:paraId="7F10D2A3" w14:textId="77777777" w:rsidR="00512539" w:rsidRPr="0051709F" w:rsidRDefault="00512539" w:rsidP="00F16F30">
            <w:pPr>
              <w:rPr>
                <w:rFonts w:cstheme="minorHAnsi"/>
                <w:sz w:val="24"/>
                <w:szCs w:val="24"/>
              </w:rPr>
            </w:pPr>
          </w:p>
        </w:tc>
        <w:tc>
          <w:tcPr>
            <w:tcW w:w="6663" w:type="dxa"/>
          </w:tcPr>
          <w:p w14:paraId="436DA403" w14:textId="43B00692" w:rsidR="00512539" w:rsidRPr="0051709F" w:rsidRDefault="00512539" w:rsidP="007B667D">
            <w:pPr>
              <w:jc w:val="both"/>
              <w:rPr>
                <w:rFonts w:cstheme="minorHAnsi"/>
                <w:sz w:val="24"/>
                <w:szCs w:val="24"/>
              </w:rPr>
            </w:pPr>
            <w:r w:rsidRPr="0051709F">
              <w:rPr>
                <w:rFonts w:cstheme="minorHAnsi"/>
                <w:sz w:val="24"/>
                <w:szCs w:val="24"/>
              </w:rPr>
              <w:t>L04 Guías de actividad física para todos los grupos de edad</w:t>
            </w:r>
          </w:p>
        </w:tc>
        <w:tc>
          <w:tcPr>
            <w:tcW w:w="425" w:type="dxa"/>
          </w:tcPr>
          <w:p w14:paraId="6039D709" w14:textId="77777777" w:rsidR="00512539" w:rsidRPr="0051709F" w:rsidRDefault="00512539" w:rsidP="00F16F30">
            <w:pPr>
              <w:rPr>
                <w:rFonts w:cstheme="minorHAnsi"/>
                <w:sz w:val="24"/>
                <w:szCs w:val="24"/>
              </w:rPr>
            </w:pPr>
          </w:p>
        </w:tc>
      </w:tr>
      <w:tr w:rsidR="00512539" w:rsidRPr="0051709F" w14:paraId="6F2979B0" w14:textId="77777777" w:rsidTr="00F16F30">
        <w:tc>
          <w:tcPr>
            <w:tcW w:w="2263" w:type="dxa"/>
            <w:vMerge w:val="restart"/>
          </w:tcPr>
          <w:p w14:paraId="3999442D" w14:textId="77777777" w:rsidR="00512539" w:rsidRPr="0051709F" w:rsidRDefault="00512539" w:rsidP="00F16F30">
            <w:pPr>
              <w:rPr>
                <w:rFonts w:cstheme="minorHAnsi"/>
                <w:sz w:val="24"/>
                <w:szCs w:val="24"/>
              </w:rPr>
            </w:pPr>
            <w:r w:rsidRPr="0051709F">
              <w:rPr>
                <w:rFonts w:cstheme="minorHAnsi"/>
                <w:sz w:val="24"/>
                <w:szCs w:val="24"/>
              </w:rPr>
              <w:t>Gobernanza</w:t>
            </w:r>
          </w:p>
        </w:tc>
        <w:tc>
          <w:tcPr>
            <w:tcW w:w="6663" w:type="dxa"/>
          </w:tcPr>
          <w:p w14:paraId="47D9357C" w14:textId="77777777" w:rsidR="00512539" w:rsidRPr="0051709F" w:rsidRDefault="00512539" w:rsidP="007B667D">
            <w:pPr>
              <w:jc w:val="both"/>
              <w:rPr>
                <w:rFonts w:cstheme="minorHAnsi"/>
                <w:sz w:val="24"/>
                <w:szCs w:val="24"/>
              </w:rPr>
            </w:pPr>
            <w:r w:rsidRPr="0051709F">
              <w:rPr>
                <w:rFonts w:cstheme="minorHAnsi"/>
                <w:sz w:val="24"/>
                <w:szCs w:val="24"/>
              </w:rPr>
              <w:t>G01 Reducir la influencia comercial en el desarrollo de la política</w:t>
            </w:r>
          </w:p>
        </w:tc>
        <w:tc>
          <w:tcPr>
            <w:tcW w:w="425" w:type="dxa"/>
          </w:tcPr>
          <w:p w14:paraId="72E5A64B" w14:textId="77777777" w:rsidR="00512539" w:rsidRPr="0051709F" w:rsidRDefault="00512539" w:rsidP="00F16F30">
            <w:pPr>
              <w:rPr>
                <w:rFonts w:cstheme="minorHAnsi"/>
                <w:sz w:val="24"/>
                <w:szCs w:val="24"/>
              </w:rPr>
            </w:pPr>
          </w:p>
        </w:tc>
      </w:tr>
      <w:tr w:rsidR="00512539" w:rsidRPr="0051709F" w14:paraId="5A321494" w14:textId="77777777" w:rsidTr="00F16F30">
        <w:tc>
          <w:tcPr>
            <w:tcW w:w="2263" w:type="dxa"/>
            <w:vMerge/>
          </w:tcPr>
          <w:p w14:paraId="252E4B40" w14:textId="77777777" w:rsidR="00512539" w:rsidRPr="0051709F" w:rsidRDefault="00512539" w:rsidP="00F16F30">
            <w:pPr>
              <w:rPr>
                <w:rFonts w:cstheme="minorHAnsi"/>
                <w:sz w:val="24"/>
                <w:szCs w:val="24"/>
              </w:rPr>
            </w:pPr>
          </w:p>
        </w:tc>
        <w:tc>
          <w:tcPr>
            <w:tcW w:w="6663" w:type="dxa"/>
          </w:tcPr>
          <w:p w14:paraId="7C09A8E4" w14:textId="77777777" w:rsidR="00512539" w:rsidRPr="0051709F" w:rsidRDefault="00512539" w:rsidP="007B667D">
            <w:pPr>
              <w:jc w:val="both"/>
              <w:rPr>
                <w:rFonts w:cstheme="minorHAnsi"/>
                <w:sz w:val="24"/>
                <w:szCs w:val="24"/>
              </w:rPr>
            </w:pPr>
            <w:r w:rsidRPr="0051709F">
              <w:rPr>
                <w:rFonts w:cstheme="minorHAnsi"/>
                <w:sz w:val="24"/>
                <w:szCs w:val="24"/>
              </w:rPr>
              <w:t>G02 Evidencia en las políticas de actividad física</w:t>
            </w:r>
          </w:p>
        </w:tc>
        <w:tc>
          <w:tcPr>
            <w:tcW w:w="425" w:type="dxa"/>
          </w:tcPr>
          <w:p w14:paraId="19A14072" w14:textId="77777777" w:rsidR="00512539" w:rsidRPr="0051709F" w:rsidRDefault="00512539" w:rsidP="00F16F30">
            <w:pPr>
              <w:rPr>
                <w:rFonts w:cstheme="minorHAnsi"/>
                <w:sz w:val="24"/>
                <w:szCs w:val="24"/>
              </w:rPr>
            </w:pPr>
          </w:p>
        </w:tc>
      </w:tr>
      <w:tr w:rsidR="00512539" w:rsidRPr="0051709F" w14:paraId="5D448A66" w14:textId="77777777" w:rsidTr="00F16F30">
        <w:tc>
          <w:tcPr>
            <w:tcW w:w="2263" w:type="dxa"/>
            <w:vMerge/>
          </w:tcPr>
          <w:p w14:paraId="4E4C5053" w14:textId="77777777" w:rsidR="00512539" w:rsidRPr="0051709F" w:rsidRDefault="00512539" w:rsidP="00F16F30">
            <w:pPr>
              <w:rPr>
                <w:rFonts w:cstheme="minorHAnsi"/>
                <w:sz w:val="24"/>
                <w:szCs w:val="24"/>
              </w:rPr>
            </w:pPr>
          </w:p>
        </w:tc>
        <w:tc>
          <w:tcPr>
            <w:tcW w:w="6663" w:type="dxa"/>
          </w:tcPr>
          <w:p w14:paraId="60B262D5" w14:textId="77777777" w:rsidR="00512539" w:rsidRPr="0051709F" w:rsidRDefault="00512539" w:rsidP="007B667D">
            <w:pPr>
              <w:jc w:val="both"/>
              <w:rPr>
                <w:rFonts w:cstheme="minorHAnsi"/>
                <w:sz w:val="24"/>
                <w:szCs w:val="24"/>
              </w:rPr>
            </w:pPr>
            <w:r w:rsidRPr="0051709F">
              <w:rPr>
                <w:rFonts w:cstheme="minorHAnsi"/>
                <w:sz w:val="24"/>
                <w:szCs w:val="24"/>
              </w:rPr>
              <w:t>G03 El gobierno garantiza la diseminación de las guías de actividad física a los ciudadanos</w:t>
            </w:r>
          </w:p>
        </w:tc>
        <w:tc>
          <w:tcPr>
            <w:tcW w:w="425" w:type="dxa"/>
          </w:tcPr>
          <w:p w14:paraId="368667B0" w14:textId="77777777" w:rsidR="00512539" w:rsidRPr="0051709F" w:rsidRDefault="00512539" w:rsidP="00F16F30">
            <w:pPr>
              <w:rPr>
                <w:rFonts w:cstheme="minorHAnsi"/>
                <w:sz w:val="24"/>
                <w:szCs w:val="24"/>
              </w:rPr>
            </w:pPr>
          </w:p>
        </w:tc>
      </w:tr>
      <w:tr w:rsidR="00512539" w:rsidRPr="0051709F" w14:paraId="6AE2C446" w14:textId="77777777" w:rsidTr="00F16F30">
        <w:tc>
          <w:tcPr>
            <w:tcW w:w="2263" w:type="dxa"/>
            <w:vMerge/>
          </w:tcPr>
          <w:p w14:paraId="297E657D" w14:textId="77777777" w:rsidR="00512539" w:rsidRPr="0051709F" w:rsidRDefault="00512539" w:rsidP="00F16F30">
            <w:pPr>
              <w:rPr>
                <w:rFonts w:cstheme="minorHAnsi"/>
                <w:sz w:val="24"/>
                <w:szCs w:val="24"/>
              </w:rPr>
            </w:pPr>
          </w:p>
        </w:tc>
        <w:tc>
          <w:tcPr>
            <w:tcW w:w="6663" w:type="dxa"/>
          </w:tcPr>
          <w:p w14:paraId="71083E9B" w14:textId="77777777" w:rsidR="00512539" w:rsidRPr="0051709F" w:rsidRDefault="00512539" w:rsidP="007B667D">
            <w:pPr>
              <w:jc w:val="both"/>
              <w:rPr>
                <w:rFonts w:cstheme="minorHAnsi"/>
                <w:sz w:val="24"/>
                <w:szCs w:val="24"/>
              </w:rPr>
            </w:pPr>
            <w:r w:rsidRPr="0051709F">
              <w:rPr>
                <w:rFonts w:cstheme="minorHAnsi"/>
                <w:sz w:val="24"/>
                <w:szCs w:val="24"/>
              </w:rPr>
              <w:t>G04 El gobierno apoya la cooperación de todos los sectores en el aumento de la actividad física</w:t>
            </w:r>
          </w:p>
        </w:tc>
        <w:tc>
          <w:tcPr>
            <w:tcW w:w="425" w:type="dxa"/>
          </w:tcPr>
          <w:p w14:paraId="6456A41C" w14:textId="77777777" w:rsidR="00512539" w:rsidRPr="0051709F" w:rsidRDefault="00512539" w:rsidP="00F16F30">
            <w:pPr>
              <w:rPr>
                <w:rFonts w:cstheme="minorHAnsi"/>
                <w:sz w:val="24"/>
                <w:szCs w:val="24"/>
              </w:rPr>
            </w:pPr>
          </w:p>
        </w:tc>
      </w:tr>
      <w:tr w:rsidR="00512539" w:rsidRPr="0051709F" w14:paraId="403E2886" w14:textId="77777777" w:rsidTr="00F16F30">
        <w:tc>
          <w:tcPr>
            <w:tcW w:w="2263" w:type="dxa"/>
            <w:vMerge w:val="restart"/>
          </w:tcPr>
          <w:p w14:paraId="1890A62C" w14:textId="77777777" w:rsidR="00512539" w:rsidRPr="0051709F" w:rsidRDefault="00512539" w:rsidP="00F16F30">
            <w:pPr>
              <w:rPr>
                <w:rFonts w:cstheme="minorHAnsi"/>
                <w:sz w:val="24"/>
                <w:szCs w:val="24"/>
              </w:rPr>
            </w:pPr>
            <w:r w:rsidRPr="0051709F">
              <w:rPr>
                <w:rFonts w:cstheme="minorHAnsi"/>
                <w:sz w:val="24"/>
                <w:szCs w:val="24"/>
              </w:rPr>
              <w:t>Monitorización</w:t>
            </w:r>
          </w:p>
        </w:tc>
        <w:tc>
          <w:tcPr>
            <w:tcW w:w="6663" w:type="dxa"/>
          </w:tcPr>
          <w:p w14:paraId="00439977" w14:textId="77777777" w:rsidR="00512539" w:rsidRPr="0051709F" w:rsidRDefault="00512539" w:rsidP="007B667D">
            <w:pPr>
              <w:jc w:val="both"/>
              <w:rPr>
                <w:rFonts w:cstheme="minorHAnsi"/>
                <w:sz w:val="24"/>
                <w:szCs w:val="24"/>
              </w:rPr>
            </w:pPr>
            <w:r w:rsidRPr="0051709F">
              <w:rPr>
                <w:rFonts w:cstheme="minorHAnsi"/>
                <w:sz w:val="24"/>
                <w:szCs w:val="24"/>
              </w:rPr>
              <w:t>MO01 Monitorización regular de los niveles de actividad física a lo largo de toda la vida</w:t>
            </w:r>
          </w:p>
        </w:tc>
        <w:tc>
          <w:tcPr>
            <w:tcW w:w="425" w:type="dxa"/>
          </w:tcPr>
          <w:p w14:paraId="3C63158A" w14:textId="77777777" w:rsidR="00512539" w:rsidRPr="0051709F" w:rsidRDefault="00512539" w:rsidP="00F16F30">
            <w:pPr>
              <w:rPr>
                <w:rFonts w:cstheme="minorHAnsi"/>
                <w:sz w:val="24"/>
                <w:szCs w:val="24"/>
              </w:rPr>
            </w:pPr>
          </w:p>
        </w:tc>
      </w:tr>
      <w:tr w:rsidR="00512539" w:rsidRPr="0051709F" w14:paraId="5AA70BB3" w14:textId="77777777" w:rsidTr="00F16F30">
        <w:tc>
          <w:tcPr>
            <w:tcW w:w="2263" w:type="dxa"/>
            <w:vMerge/>
          </w:tcPr>
          <w:p w14:paraId="2BA5794B" w14:textId="77777777" w:rsidR="00512539" w:rsidRPr="0051709F" w:rsidRDefault="00512539" w:rsidP="00F16F30">
            <w:pPr>
              <w:rPr>
                <w:rFonts w:cstheme="minorHAnsi"/>
                <w:sz w:val="24"/>
                <w:szCs w:val="24"/>
              </w:rPr>
            </w:pPr>
          </w:p>
        </w:tc>
        <w:tc>
          <w:tcPr>
            <w:tcW w:w="6663" w:type="dxa"/>
          </w:tcPr>
          <w:p w14:paraId="062AF935" w14:textId="77777777" w:rsidR="00512539" w:rsidRPr="0051709F" w:rsidRDefault="00512539" w:rsidP="007B667D">
            <w:pPr>
              <w:jc w:val="both"/>
              <w:rPr>
                <w:rFonts w:cstheme="minorHAnsi"/>
                <w:sz w:val="24"/>
                <w:szCs w:val="24"/>
              </w:rPr>
            </w:pPr>
            <w:r w:rsidRPr="0051709F">
              <w:rPr>
                <w:rFonts w:cstheme="minorHAnsi"/>
                <w:sz w:val="24"/>
                <w:szCs w:val="24"/>
              </w:rPr>
              <w:t>MO02 Monitorización regular de la actividad física en los 8 dominios</w:t>
            </w:r>
          </w:p>
        </w:tc>
        <w:tc>
          <w:tcPr>
            <w:tcW w:w="425" w:type="dxa"/>
          </w:tcPr>
          <w:p w14:paraId="39A71A41" w14:textId="77777777" w:rsidR="00512539" w:rsidRPr="0051709F" w:rsidRDefault="00512539" w:rsidP="00F16F30">
            <w:pPr>
              <w:rPr>
                <w:rFonts w:cstheme="minorHAnsi"/>
                <w:sz w:val="24"/>
                <w:szCs w:val="24"/>
              </w:rPr>
            </w:pPr>
          </w:p>
        </w:tc>
      </w:tr>
      <w:tr w:rsidR="00512539" w:rsidRPr="0051709F" w14:paraId="66D9EF78" w14:textId="77777777" w:rsidTr="00F16F30">
        <w:tc>
          <w:tcPr>
            <w:tcW w:w="2263" w:type="dxa"/>
            <w:vMerge/>
          </w:tcPr>
          <w:p w14:paraId="5578B4EF" w14:textId="77777777" w:rsidR="00512539" w:rsidRPr="0051709F" w:rsidRDefault="00512539" w:rsidP="00F16F30">
            <w:pPr>
              <w:rPr>
                <w:rFonts w:cstheme="minorHAnsi"/>
                <w:sz w:val="24"/>
                <w:szCs w:val="24"/>
              </w:rPr>
            </w:pPr>
          </w:p>
        </w:tc>
        <w:tc>
          <w:tcPr>
            <w:tcW w:w="6663" w:type="dxa"/>
          </w:tcPr>
          <w:p w14:paraId="12C205AD" w14:textId="52F8E9ED" w:rsidR="00512539" w:rsidRPr="0051709F" w:rsidRDefault="00512539" w:rsidP="007B667D">
            <w:pPr>
              <w:jc w:val="both"/>
              <w:rPr>
                <w:rFonts w:cstheme="minorHAnsi"/>
                <w:sz w:val="24"/>
                <w:szCs w:val="24"/>
              </w:rPr>
            </w:pPr>
            <w:r w:rsidRPr="0051709F">
              <w:rPr>
                <w:rFonts w:cstheme="minorHAnsi"/>
                <w:sz w:val="24"/>
                <w:szCs w:val="24"/>
              </w:rPr>
              <w:t>MO03 Monitorización asociada al resto de enfermedades no transmisibles</w:t>
            </w:r>
          </w:p>
        </w:tc>
        <w:tc>
          <w:tcPr>
            <w:tcW w:w="425" w:type="dxa"/>
          </w:tcPr>
          <w:p w14:paraId="386070F3" w14:textId="77777777" w:rsidR="00512539" w:rsidRPr="0051709F" w:rsidRDefault="00512539" w:rsidP="00F16F30">
            <w:pPr>
              <w:rPr>
                <w:rFonts w:cstheme="minorHAnsi"/>
                <w:sz w:val="24"/>
                <w:szCs w:val="24"/>
              </w:rPr>
            </w:pPr>
          </w:p>
        </w:tc>
      </w:tr>
      <w:tr w:rsidR="00512539" w:rsidRPr="0051709F" w14:paraId="11488451" w14:textId="77777777" w:rsidTr="00F16F30">
        <w:tc>
          <w:tcPr>
            <w:tcW w:w="2263" w:type="dxa"/>
            <w:vMerge/>
          </w:tcPr>
          <w:p w14:paraId="51C4BC96" w14:textId="77777777" w:rsidR="00512539" w:rsidRPr="0051709F" w:rsidRDefault="00512539" w:rsidP="00F16F30">
            <w:pPr>
              <w:rPr>
                <w:rFonts w:cstheme="minorHAnsi"/>
                <w:sz w:val="24"/>
                <w:szCs w:val="24"/>
              </w:rPr>
            </w:pPr>
          </w:p>
        </w:tc>
        <w:tc>
          <w:tcPr>
            <w:tcW w:w="6663" w:type="dxa"/>
          </w:tcPr>
          <w:p w14:paraId="0383B936" w14:textId="77777777" w:rsidR="00512539" w:rsidRPr="0051709F" w:rsidRDefault="00512539" w:rsidP="007B667D">
            <w:pPr>
              <w:jc w:val="both"/>
              <w:rPr>
                <w:rFonts w:cstheme="minorHAnsi"/>
                <w:sz w:val="24"/>
                <w:szCs w:val="24"/>
              </w:rPr>
            </w:pPr>
            <w:r w:rsidRPr="0051709F">
              <w:rPr>
                <w:rFonts w:cstheme="minorHAnsi"/>
                <w:sz w:val="24"/>
                <w:szCs w:val="24"/>
              </w:rPr>
              <w:t>MO04 Evaluación de programas y políticas</w:t>
            </w:r>
          </w:p>
        </w:tc>
        <w:tc>
          <w:tcPr>
            <w:tcW w:w="425" w:type="dxa"/>
          </w:tcPr>
          <w:p w14:paraId="6F65039D" w14:textId="77777777" w:rsidR="00512539" w:rsidRPr="0051709F" w:rsidRDefault="00512539" w:rsidP="00F16F30">
            <w:pPr>
              <w:rPr>
                <w:rFonts w:cstheme="minorHAnsi"/>
                <w:sz w:val="24"/>
                <w:szCs w:val="24"/>
              </w:rPr>
            </w:pPr>
          </w:p>
        </w:tc>
      </w:tr>
      <w:tr w:rsidR="00512539" w:rsidRPr="0051709F" w14:paraId="20514408" w14:textId="77777777" w:rsidTr="00F16F30">
        <w:tc>
          <w:tcPr>
            <w:tcW w:w="2263" w:type="dxa"/>
            <w:vMerge/>
          </w:tcPr>
          <w:p w14:paraId="2608C8A8" w14:textId="77777777" w:rsidR="00512539" w:rsidRPr="0051709F" w:rsidRDefault="00512539" w:rsidP="00F16F30">
            <w:pPr>
              <w:rPr>
                <w:rFonts w:cstheme="minorHAnsi"/>
                <w:sz w:val="24"/>
                <w:szCs w:val="24"/>
              </w:rPr>
            </w:pPr>
          </w:p>
        </w:tc>
        <w:tc>
          <w:tcPr>
            <w:tcW w:w="6663" w:type="dxa"/>
          </w:tcPr>
          <w:p w14:paraId="3A069578" w14:textId="77777777" w:rsidR="00512539" w:rsidRPr="0051709F" w:rsidRDefault="00512539" w:rsidP="007B667D">
            <w:pPr>
              <w:jc w:val="both"/>
              <w:rPr>
                <w:rFonts w:cstheme="minorHAnsi"/>
                <w:sz w:val="24"/>
                <w:szCs w:val="24"/>
              </w:rPr>
            </w:pPr>
            <w:r w:rsidRPr="0051709F">
              <w:rPr>
                <w:rFonts w:cstheme="minorHAnsi"/>
                <w:sz w:val="24"/>
                <w:szCs w:val="24"/>
              </w:rPr>
              <w:t>MO05 Progreso de la monitorización para reducir las desigualdades en salud</w:t>
            </w:r>
          </w:p>
        </w:tc>
        <w:tc>
          <w:tcPr>
            <w:tcW w:w="425" w:type="dxa"/>
          </w:tcPr>
          <w:p w14:paraId="29A0FE87" w14:textId="77777777" w:rsidR="00512539" w:rsidRPr="0051709F" w:rsidRDefault="00512539" w:rsidP="00F16F30">
            <w:pPr>
              <w:rPr>
                <w:rFonts w:cstheme="minorHAnsi"/>
                <w:sz w:val="24"/>
                <w:szCs w:val="24"/>
              </w:rPr>
            </w:pPr>
          </w:p>
        </w:tc>
      </w:tr>
      <w:tr w:rsidR="00512539" w:rsidRPr="0051709F" w14:paraId="55EFD7A9" w14:textId="77777777" w:rsidTr="00F16F30">
        <w:tc>
          <w:tcPr>
            <w:tcW w:w="2263" w:type="dxa"/>
            <w:vMerge w:val="restart"/>
          </w:tcPr>
          <w:p w14:paraId="68ABA937" w14:textId="77777777" w:rsidR="00512539" w:rsidRPr="0051709F" w:rsidRDefault="00512539" w:rsidP="00F16F30">
            <w:pPr>
              <w:rPr>
                <w:rFonts w:cstheme="minorHAnsi"/>
                <w:sz w:val="24"/>
                <w:szCs w:val="24"/>
              </w:rPr>
            </w:pPr>
            <w:r w:rsidRPr="0051709F">
              <w:rPr>
                <w:rFonts w:cstheme="minorHAnsi"/>
                <w:sz w:val="24"/>
                <w:szCs w:val="24"/>
              </w:rPr>
              <w:t>Financiación y recursos disponibles</w:t>
            </w:r>
          </w:p>
        </w:tc>
        <w:tc>
          <w:tcPr>
            <w:tcW w:w="6663" w:type="dxa"/>
          </w:tcPr>
          <w:p w14:paraId="1C8799AB" w14:textId="77777777" w:rsidR="00512539" w:rsidRPr="0051709F" w:rsidRDefault="00512539" w:rsidP="007B667D">
            <w:pPr>
              <w:jc w:val="both"/>
              <w:rPr>
                <w:rFonts w:cstheme="minorHAnsi"/>
                <w:sz w:val="24"/>
                <w:szCs w:val="24"/>
              </w:rPr>
            </w:pPr>
            <w:r w:rsidRPr="0051709F">
              <w:rPr>
                <w:rFonts w:cstheme="minorHAnsi"/>
                <w:sz w:val="24"/>
                <w:szCs w:val="24"/>
              </w:rPr>
              <w:t>FRD01 La cartera de gasto en la promoción de actividad física está claramente identificada</w:t>
            </w:r>
          </w:p>
        </w:tc>
        <w:tc>
          <w:tcPr>
            <w:tcW w:w="425" w:type="dxa"/>
          </w:tcPr>
          <w:p w14:paraId="191F042C" w14:textId="77777777" w:rsidR="00512539" w:rsidRPr="0051709F" w:rsidRDefault="00512539" w:rsidP="00F16F30">
            <w:pPr>
              <w:rPr>
                <w:rFonts w:cstheme="minorHAnsi"/>
                <w:sz w:val="24"/>
                <w:szCs w:val="24"/>
              </w:rPr>
            </w:pPr>
          </w:p>
        </w:tc>
      </w:tr>
      <w:tr w:rsidR="00512539" w:rsidRPr="0051709F" w14:paraId="55C7D438" w14:textId="77777777" w:rsidTr="00F16F30">
        <w:tc>
          <w:tcPr>
            <w:tcW w:w="2263" w:type="dxa"/>
            <w:vMerge/>
          </w:tcPr>
          <w:p w14:paraId="6D3159C4" w14:textId="77777777" w:rsidR="00512539" w:rsidRPr="0051709F" w:rsidRDefault="00512539" w:rsidP="00F16F30">
            <w:pPr>
              <w:rPr>
                <w:rFonts w:cstheme="minorHAnsi"/>
                <w:sz w:val="24"/>
                <w:szCs w:val="24"/>
              </w:rPr>
            </w:pPr>
          </w:p>
        </w:tc>
        <w:tc>
          <w:tcPr>
            <w:tcW w:w="6663" w:type="dxa"/>
          </w:tcPr>
          <w:p w14:paraId="194D9936" w14:textId="32330F9A" w:rsidR="00512539" w:rsidRPr="0051709F" w:rsidRDefault="00512539" w:rsidP="007B667D">
            <w:pPr>
              <w:jc w:val="both"/>
              <w:rPr>
                <w:rFonts w:cstheme="minorHAnsi"/>
                <w:sz w:val="24"/>
                <w:szCs w:val="24"/>
              </w:rPr>
            </w:pPr>
            <w:r w:rsidRPr="0051709F">
              <w:rPr>
                <w:rFonts w:cstheme="minorHAnsi"/>
                <w:sz w:val="24"/>
                <w:szCs w:val="24"/>
              </w:rPr>
              <w:t>FRD02 La suficiente pro</w:t>
            </w:r>
            <w:r w:rsidR="00B20563">
              <w:rPr>
                <w:rFonts w:cstheme="minorHAnsi"/>
                <w:sz w:val="24"/>
                <w:szCs w:val="24"/>
              </w:rPr>
              <w:t>por</w:t>
            </w:r>
            <w:r w:rsidRPr="0051709F">
              <w:rPr>
                <w:rFonts w:cstheme="minorHAnsi"/>
                <w:sz w:val="24"/>
                <w:szCs w:val="24"/>
              </w:rPr>
              <w:t>ción de todo el gasto en salud está asignado a la actividad física</w:t>
            </w:r>
          </w:p>
        </w:tc>
        <w:tc>
          <w:tcPr>
            <w:tcW w:w="425" w:type="dxa"/>
          </w:tcPr>
          <w:p w14:paraId="50FB5A66" w14:textId="77777777" w:rsidR="00512539" w:rsidRPr="0051709F" w:rsidRDefault="00512539" w:rsidP="00F16F30">
            <w:pPr>
              <w:rPr>
                <w:rFonts w:cstheme="minorHAnsi"/>
                <w:sz w:val="24"/>
                <w:szCs w:val="24"/>
              </w:rPr>
            </w:pPr>
          </w:p>
        </w:tc>
      </w:tr>
      <w:tr w:rsidR="00512539" w:rsidRPr="0051709F" w14:paraId="5A99AE55" w14:textId="77777777" w:rsidTr="00F16F30">
        <w:tc>
          <w:tcPr>
            <w:tcW w:w="2263" w:type="dxa"/>
            <w:vMerge/>
          </w:tcPr>
          <w:p w14:paraId="6E254806" w14:textId="77777777" w:rsidR="00512539" w:rsidRPr="0051709F" w:rsidRDefault="00512539" w:rsidP="00F16F30">
            <w:pPr>
              <w:rPr>
                <w:rFonts w:cstheme="minorHAnsi"/>
                <w:sz w:val="24"/>
                <w:szCs w:val="24"/>
              </w:rPr>
            </w:pPr>
          </w:p>
        </w:tc>
        <w:tc>
          <w:tcPr>
            <w:tcW w:w="6663" w:type="dxa"/>
          </w:tcPr>
          <w:p w14:paraId="27490CA9" w14:textId="77777777" w:rsidR="00512539" w:rsidRPr="0051709F" w:rsidRDefault="00512539" w:rsidP="007B667D">
            <w:pPr>
              <w:jc w:val="both"/>
              <w:rPr>
                <w:rFonts w:cstheme="minorHAnsi"/>
                <w:sz w:val="24"/>
                <w:szCs w:val="24"/>
              </w:rPr>
            </w:pPr>
            <w:r w:rsidRPr="0051709F">
              <w:rPr>
                <w:rFonts w:cstheme="minorHAnsi"/>
                <w:sz w:val="24"/>
                <w:szCs w:val="24"/>
              </w:rPr>
              <w:t>FRD03 La suficiente proporción del gasto en investigación está asignado a la actividad física</w:t>
            </w:r>
          </w:p>
        </w:tc>
        <w:tc>
          <w:tcPr>
            <w:tcW w:w="425" w:type="dxa"/>
          </w:tcPr>
          <w:p w14:paraId="38777A40" w14:textId="77777777" w:rsidR="00512539" w:rsidRPr="0051709F" w:rsidRDefault="00512539" w:rsidP="00F16F30">
            <w:pPr>
              <w:rPr>
                <w:rFonts w:cstheme="minorHAnsi"/>
                <w:sz w:val="24"/>
                <w:szCs w:val="24"/>
              </w:rPr>
            </w:pPr>
          </w:p>
        </w:tc>
      </w:tr>
      <w:tr w:rsidR="00512539" w:rsidRPr="0051709F" w14:paraId="5FB1CC43" w14:textId="77777777" w:rsidTr="00F16F30">
        <w:tc>
          <w:tcPr>
            <w:tcW w:w="2263" w:type="dxa"/>
            <w:vMerge/>
          </w:tcPr>
          <w:p w14:paraId="54C1DEDA" w14:textId="77777777" w:rsidR="00512539" w:rsidRPr="0051709F" w:rsidRDefault="00512539" w:rsidP="00F16F30">
            <w:pPr>
              <w:rPr>
                <w:rFonts w:cstheme="minorHAnsi"/>
                <w:sz w:val="24"/>
                <w:szCs w:val="24"/>
              </w:rPr>
            </w:pPr>
          </w:p>
        </w:tc>
        <w:tc>
          <w:tcPr>
            <w:tcW w:w="6663" w:type="dxa"/>
          </w:tcPr>
          <w:p w14:paraId="2C8F2138" w14:textId="64DDBD3A" w:rsidR="00512539" w:rsidRPr="0051709F" w:rsidRDefault="00512539" w:rsidP="007B667D">
            <w:pPr>
              <w:jc w:val="both"/>
              <w:rPr>
                <w:rFonts w:cstheme="minorHAnsi"/>
                <w:sz w:val="24"/>
                <w:szCs w:val="24"/>
              </w:rPr>
            </w:pPr>
            <w:r w:rsidRPr="0051709F">
              <w:rPr>
                <w:rFonts w:cstheme="minorHAnsi"/>
                <w:sz w:val="24"/>
                <w:szCs w:val="24"/>
              </w:rPr>
              <w:t>FRD04 Existe un o</w:t>
            </w:r>
            <w:r w:rsidRPr="0051709F">
              <w:rPr>
                <w:rStyle w:val="rynqvb"/>
                <w:rFonts w:cstheme="minorHAnsi"/>
                <w:sz w:val="24"/>
                <w:szCs w:val="24"/>
              </w:rPr>
              <w:t>rganismo oficial de promoción de la salud</w:t>
            </w:r>
          </w:p>
        </w:tc>
        <w:tc>
          <w:tcPr>
            <w:tcW w:w="425" w:type="dxa"/>
          </w:tcPr>
          <w:p w14:paraId="09FA3AE3" w14:textId="77777777" w:rsidR="00512539" w:rsidRPr="0051709F" w:rsidRDefault="00512539" w:rsidP="00F16F30">
            <w:pPr>
              <w:rPr>
                <w:rFonts w:cstheme="minorHAnsi"/>
                <w:sz w:val="24"/>
                <w:szCs w:val="24"/>
              </w:rPr>
            </w:pPr>
          </w:p>
        </w:tc>
      </w:tr>
      <w:tr w:rsidR="00512539" w:rsidRPr="0051709F" w14:paraId="64D437F7" w14:textId="77777777" w:rsidTr="00F16F30">
        <w:tc>
          <w:tcPr>
            <w:tcW w:w="2263" w:type="dxa"/>
            <w:vMerge w:val="restart"/>
          </w:tcPr>
          <w:p w14:paraId="42F61037" w14:textId="77777777" w:rsidR="00512539" w:rsidRPr="0051709F" w:rsidRDefault="00512539" w:rsidP="00F16F30">
            <w:pPr>
              <w:rPr>
                <w:rFonts w:cstheme="minorHAnsi"/>
                <w:sz w:val="24"/>
                <w:szCs w:val="24"/>
              </w:rPr>
            </w:pPr>
            <w:r w:rsidRPr="0051709F">
              <w:rPr>
                <w:rFonts w:cstheme="minorHAnsi"/>
                <w:sz w:val="24"/>
                <w:szCs w:val="24"/>
              </w:rPr>
              <w:t>Plataformas para interactuar</w:t>
            </w:r>
          </w:p>
        </w:tc>
        <w:tc>
          <w:tcPr>
            <w:tcW w:w="6663" w:type="dxa"/>
          </w:tcPr>
          <w:p w14:paraId="74D8DAB4" w14:textId="77777777" w:rsidR="00512539" w:rsidRPr="0051709F" w:rsidRDefault="00512539" w:rsidP="007B667D">
            <w:pPr>
              <w:jc w:val="both"/>
              <w:rPr>
                <w:rFonts w:cstheme="minorHAnsi"/>
                <w:sz w:val="24"/>
                <w:szCs w:val="24"/>
              </w:rPr>
            </w:pPr>
            <w:r w:rsidRPr="0051709F">
              <w:rPr>
                <w:rFonts w:cstheme="minorHAnsi"/>
                <w:sz w:val="24"/>
                <w:szCs w:val="24"/>
              </w:rPr>
              <w:t xml:space="preserve">PI01 Existe una coordinación política robusta para integrar las políticas de actividad física </w:t>
            </w:r>
          </w:p>
        </w:tc>
        <w:tc>
          <w:tcPr>
            <w:tcW w:w="425" w:type="dxa"/>
          </w:tcPr>
          <w:p w14:paraId="3E4B2B98" w14:textId="77777777" w:rsidR="00512539" w:rsidRPr="0051709F" w:rsidRDefault="00512539" w:rsidP="00F16F30">
            <w:pPr>
              <w:rPr>
                <w:rFonts w:cstheme="minorHAnsi"/>
                <w:sz w:val="24"/>
                <w:szCs w:val="24"/>
              </w:rPr>
            </w:pPr>
          </w:p>
        </w:tc>
      </w:tr>
      <w:tr w:rsidR="00512539" w:rsidRPr="0051709F" w14:paraId="7CE7C817" w14:textId="77777777" w:rsidTr="00F16F30">
        <w:tc>
          <w:tcPr>
            <w:tcW w:w="2263" w:type="dxa"/>
            <w:vMerge/>
          </w:tcPr>
          <w:p w14:paraId="3C73DF17" w14:textId="77777777" w:rsidR="00512539" w:rsidRPr="0051709F" w:rsidRDefault="00512539" w:rsidP="00F16F30">
            <w:pPr>
              <w:rPr>
                <w:rFonts w:cstheme="minorHAnsi"/>
                <w:sz w:val="24"/>
                <w:szCs w:val="24"/>
              </w:rPr>
            </w:pPr>
          </w:p>
        </w:tc>
        <w:tc>
          <w:tcPr>
            <w:tcW w:w="6663" w:type="dxa"/>
          </w:tcPr>
          <w:p w14:paraId="44423F76" w14:textId="77777777" w:rsidR="00512539" w:rsidRPr="0051709F" w:rsidRDefault="00512539" w:rsidP="007B667D">
            <w:pPr>
              <w:jc w:val="both"/>
              <w:rPr>
                <w:rFonts w:cstheme="minorHAnsi"/>
                <w:sz w:val="24"/>
                <w:szCs w:val="24"/>
              </w:rPr>
            </w:pPr>
            <w:r w:rsidRPr="0051709F">
              <w:rPr>
                <w:rFonts w:cstheme="minorHAnsi"/>
                <w:sz w:val="24"/>
                <w:szCs w:val="24"/>
              </w:rPr>
              <w:t>PI02 Existe una interacción inclusiva y regular entre el gobierno y la sociedad civil</w:t>
            </w:r>
          </w:p>
        </w:tc>
        <w:tc>
          <w:tcPr>
            <w:tcW w:w="425" w:type="dxa"/>
          </w:tcPr>
          <w:p w14:paraId="3C895DFF" w14:textId="77777777" w:rsidR="00512539" w:rsidRPr="0051709F" w:rsidRDefault="00512539" w:rsidP="00F16F30">
            <w:pPr>
              <w:rPr>
                <w:rFonts w:cstheme="minorHAnsi"/>
                <w:sz w:val="24"/>
                <w:szCs w:val="24"/>
              </w:rPr>
            </w:pPr>
          </w:p>
        </w:tc>
      </w:tr>
      <w:tr w:rsidR="00512539" w:rsidRPr="0051709F" w14:paraId="1926977A" w14:textId="77777777" w:rsidTr="00F16F30">
        <w:tc>
          <w:tcPr>
            <w:tcW w:w="2263" w:type="dxa"/>
            <w:vMerge w:val="restart"/>
          </w:tcPr>
          <w:p w14:paraId="62F40CFE" w14:textId="77777777" w:rsidR="00512539" w:rsidRPr="0051709F" w:rsidRDefault="00512539" w:rsidP="00F16F30">
            <w:pPr>
              <w:rPr>
                <w:rFonts w:cstheme="minorHAnsi"/>
                <w:sz w:val="24"/>
                <w:szCs w:val="24"/>
              </w:rPr>
            </w:pPr>
            <w:r w:rsidRPr="0051709F">
              <w:rPr>
                <w:rFonts w:cstheme="minorHAnsi"/>
                <w:sz w:val="24"/>
                <w:szCs w:val="24"/>
              </w:rPr>
              <w:t>Desarrollo de los servidores públicos</w:t>
            </w:r>
          </w:p>
        </w:tc>
        <w:tc>
          <w:tcPr>
            <w:tcW w:w="6663" w:type="dxa"/>
          </w:tcPr>
          <w:p w14:paraId="47A3692E" w14:textId="77777777" w:rsidR="00512539" w:rsidRPr="0051709F" w:rsidRDefault="00512539" w:rsidP="007B667D">
            <w:pPr>
              <w:jc w:val="both"/>
              <w:rPr>
                <w:rFonts w:cstheme="minorHAnsi"/>
                <w:sz w:val="24"/>
                <w:szCs w:val="24"/>
              </w:rPr>
            </w:pPr>
            <w:r w:rsidRPr="0051709F">
              <w:rPr>
                <w:rFonts w:cstheme="minorHAnsi"/>
                <w:sz w:val="24"/>
                <w:szCs w:val="24"/>
              </w:rPr>
              <w:t>DSP01 Existen suficientes recursos y habilidades entre los trabajadores</w:t>
            </w:r>
          </w:p>
        </w:tc>
        <w:tc>
          <w:tcPr>
            <w:tcW w:w="425" w:type="dxa"/>
          </w:tcPr>
          <w:p w14:paraId="6306DBAE" w14:textId="77777777" w:rsidR="00512539" w:rsidRPr="0051709F" w:rsidRDefault="00512539" w:rsidP="00F16F30">
            <w:pPr>
              <w:rPr>
                <w:rFonts w:cstheme="minorHAnsi"/>
                <w:sz w:val="24"/>
                <w:szCs w:val="24"/>
              </w:rPr>
            </w:pPr>
          </w:p>
        </w:tc>
      </w:tr>
      <w:tr w:rsidR="00512539" w:rsidRPr="0051709F" w14:paraId="5EBF994F" w14:textId="77777777" w:rsidTr="00F16F30">
        <w:tc>
          <w:tcPr>
            <w:tcW w:w="2263" w:type="dxa"/>
            <w:vMerge/>
          </w:tcPr>
          <w:p w14:paraId="788DE10F" w14:textId="77777777" w:rsidR="00512539" w:rsidRPr="0051709F" w:rsidRDefault="00512539" w:rsidP="00F16F30">
            <w:pPr>
              <w:rPr>
                <w:rFonts w:cstheme="minorHAnsi"/>
                <w:sz w:val="24"/>
                <w:szCs w:val="24"/>
              </w:rPr>
            </w:pPr>
          </w:p>
        </w:tc>
        <w:tc>
          <w:tcPr>
            <w:tcW w:w="6663" w:type="dxa"/>
          </w:tcPr>
          <w:p w14:paraId="75FFF010" w14:textId="77777777" w:rsidR="00512539" w:rsidRPr="0051709F" w:rsidRDefault="00512539" w:rsidP="007B667D">
            <w:pPr>
              <w:jc w:val="both"/>
              <w:rPr>
                <w:rFonts w:cstheme="minorHAnsi"/>
                <w:sz w:val="24"/>
                <w:szCs w:val="24"/>
              </w:rPr>
            </w:pPr>
            <w:r w:rsidRPr="0051709F">
              <w:rPr>
                <w:rFonts w:cstheme="minorHAnsi"/>
                <w:sz w:val="24"/>
                <w:szCs w:val="24"/>
              </w:rPr>
              <w:t>DSP02 Existe un desarrollo profesional y formativo profesional en los trabajadores</w:t>
            </w:r>
          </w:p>
        </w:tc>
        <w:tc>
          <w:tcPr>
            <w:tcW w:w="425" w:type="dxa"/>
          </w:tcPr>
          <w:p w14:paraId="76A97A23" w14:textId="77777777" w:rsidR="00512539" w:rsidRPr="0051709F" w:rsidRDefault="00512539" w:rsidP="00F16F30">
            <w:pPr>
              <w:rPr>
                <w:rFonts w:cstheme="minorHAnsi"/>
                <w:sz w:val="24"/>
                <w:szCs w:val="24"/>
              </w:rPr>
            </w:pPr>
          </w:p>
        </w:tc>
      </w:tr>
      <w:tr w:rsidR="00512539" w:rsidRPr="0051709F" w14:paraId="129874D4" w14:textId="77777777" w:rsidTr="00F16F30">
        <w:tc>
          <w:tcPr>
            <w:tcW w:w="2263" w:type="dxa"/>
            <w:vMerge/>
          </w:tcPr>
          <w:p w14:paraId="77694AA1" w14:textId="77777777" w:rsidR="00512539" w:rsidRPr="0051709F" w:rsidRDefault="00512539" w:rsidP="00F16F30">
            <w:pPr>
              <w:rPr>
                <w:rFonts w:cstheme="minorHAnsi"/>
                <w:sz w:val="24"/>
                <w:szCs w:val="24"/>
              </w:rPr>
            </w:pPr>
          </w:p>
        </w:tc>
        <w:tc>
          <w:tcPr>
            <w:tcW w:w="6663" w:type="dxa"/>
          </w:tcPr>
          <w:p w14:paraId="1D610803" w14:textId="77777777" w:rsidR="00512539" w:rsidRPr="0051709F" w:rsidRDefault="00512539" w:rsidP="007B667D">
            <w:pPr>
              <w:jc w:val="both"/>
              <w:rPr>
                <w:rFonts w:cstheme="minorHAnsi"/>
                <w:sz w:val="24"/>
                <w:szCs w:val="24"/>
              </w:rPr>
            </w:pPr>
            <w:r w:rsidRPr="0051709F">
              <w:rPr>
                <w:rFonts w:cstheme="minorHAnsi"/>
                <w:sz w:val="24"/>
                <w:szCs w:val="24"/>
              </w:rPr>
              <w:t xml:space="preserve">DSP03 Existen </w:t>
            </w:r>
            <w:r w:rsidRPr="0051709F">
              <w:rPr>
                <w:rStyle w:val="rynqvb"/>
                <w:rFonts w:cstheme="minorHAnsi"/>
                <w:sz w:val="24"/>
                <w:szCs w:val="24"/>
              </w:rPr>
              <w:t>entidades responsables de la formación profesional inicial y continua</w:t>
            </w:r>
          </w:p>
        </w:tc>
        <w:tc>
          <w:tcPr>
            <w:tcW w:w="425" w:type="dxa"/>
          </w:tcPr>
          <w:p w14:paraId="2E7D28F1" w14:textId="77777777" w:rsidR="00512539" w:rsidRPr="0051709F" w:rsidRDefault="00512539" w:rsidP="00F16F30">
            <w:pPr>
              <w:rPr>
                <w:rFonts w:cstheme="minorHAnsi"/>
                <w:sz w:val="24"/>
                <w:szCs w:val="24"/>
              </w:rPr>
            </w:pPr>
          </w:p>
        </w:tc>
      </w:tr>
      <w:tr w:rsidR="00512539" w:rsidRPr="0051709F" w14:paraId="01FEEC50" w14:textId="77777777" w:rsidTr="00F16F30">
        <w:tc>
          <w:tcPr>
            <w:tcW w:w="2263" w:type="dxa"/>
            <w:vMerge w:val="restart"/>
          </w:tcPr>
          <w:p w14:paraId="7DC6A33B" w14:textId="77777777" w:rsidR="00512539" w:rsidRPr="0051709F" w:rsidRDefault="00512539" w:rsidP="00F16F30">
            <w:pPr>
              <w:rPr>
                <w:rFonts w:cstheme="minorHAnsi"/>
                <w:sz w:val="24"/>
                <w:szCs w:val="24"/>
              </w:rPr>
            </w:pPr>
            <w:r w:rsidRPr="0051709F">
              <w:rPr>
                <w:rFonts w:cstheme="minorHAnsi"/>
                <w:sz w:val="24"/>
                <w:szCs w:val="24"/>
              </w:rPr>
              <w:t>Salud en todas las políticas</w:t>
            </w:r>
          </w:p>
        </w:tc>
        <w:tc>
          <w:tcPr>
            <w:tcW w:w="6663" w:type="dxa"/>
          </w:tcPr>
          <w:p w14:paraId="487113CE" w14:textId="77777777" w:rsidR="00512539" w:rsidRPr="0051709F" w:rsidRDefault="00512539" w:rsidP="007B667D">
            <w:pPr>
              <w:jc w:val="both"/>
              <w:rPr>
                <w:rFonts w:cstheme="minorHAnsi"/>
                <w:sz w:val="24"/>
                <w:szCs w:val="24"/>
              </w:rPr>
            </w:pPr>
            <w:r w:rsidRPr="0051709F">
              <w:rPr>
                <w:rFonts w:cstheme="minorHAnsi"/>
                <w:sz w:val="24"/>
                <w:szCs w:val="24"/>
              </w:rPr>
              <w:t>STP 01 La actividad física se considera y prioriza en el desarrollo de todas las políticas</w:t>
            </w:r>
          </w:p>
        </w:tc>
        <w:tc>
          <w:tcPr>
            <w:tcW w:w="425" w:type="dxa"/>
          </w:tcPr>
          <w:p w14:paraId="3511ABF7" w14:textId="77777777" w:rsidR="00512539" w:rsidRPr="0051709F" w:rsidRDefault="00512539" w:rsidP="00F16F30">
            <w:pPr>
              <w:rPr>
                <w:rFonts w:cstheme="minorHAnsi"/>
                <w:sz w:val="24"/>
                <w:szCs w:val="24"/>
              </w:rPr>
            </w:pPr>
          </w:p>
        </w:tc>
      </w:tr>
      <w:tr w:rsidR="00512539" w:rsidRPr="0051709F" w14:paraId="497B2945" w14:textId="77777777" w:rsidTr="00F16F30">
        <w:tc>
          <w:tcPr>
            <w:tcW w:w="2263" w:type="dxa"/>
            <w:vMerge/>
          </w:tcPr>
          <w:p w14:paraId="2BBC7AC7" w14:textId="77777777" w:rsidR="00512539" w:rsidRPr="0051709F" w:rsidRDefault="00512539" w:rsidP="00F16F30">
            <w:pPr>
              <w:rPr>
                <w:rFonts w:cstheme="minorHAnsi"/>
                <w:sz w:val="24"/>
                <w:szCs w:val="24"/>
              </w:rPr>
            </w:pPr>
          </w:p>
        </w:tc>
        <w:tc>
          <w:tcPr>
            <w:tcW w:w="6663" w:type="dxa"/>
          </w:tcPr>
          <w:p w14:paraId="78BEE33B" w14:textId="77777777" w:rsidR="00512539" w:rsidRPr="0051709F" w:rsidRDefault="00512539" w:rsidP="007B667D">
            <w:pPr>
              <w:jc w:val="both"/>
              <w:rPr>
                <w:rFonts w:cstheme="minorHAnsi"/>
                <w:sz w:val="24"/>
                <w:szCs w:val="24"/>
              </w:rPr>
            </w:pPr>
            <w:r w:rsidRPr="0051709F">
              <w:rPr>
                <w:rFonts w:cstheme="minorHAnsi"/>
                <w:sz w:val="24"/>
                <w:szCs w:val="24"/>
              </w:rPr>
              <w:t>STP 02 Se considera el impacto indirecto en la salud de las políticas relacionadas con la actividad física</w:t>
            </w:r>
          </w:p>
        </w:tc>
        <w:tc>
          <w:tcPr>
            <w:tcW w:w="425" w:type="dxa"/>
          </w:tcPr>
          <w:p w14:paraId="4E205574" w14:textId="77777777" w:rsidR="00512539" w:rsidRPr="0051709F" w:rsidRDefault="00512539" w:rsidP="00F16F30">
            <w:pPr>
              <w:rPr>
                <w:rFonts w:cstheme="minorHAnsi"/>
                <w:sz w:val="24"/>
                <w:szCs w:val="24"/>
              </w:rPr>
            </w:pPr>
          </w:p>
        </w:tc>
      </w:tr>
    </w:tbl>
    <w:p w14:paraId="14EB05A6" w14:textId="77777777" w:rsidR="00512539" w:rsidRPr="0051709F" w:rsidRDefault="00512539" w:rsidP="00512539">
      <w:pPr>
        <w:rPr>
          <w:rFonts w:cstheme="minorHAnsi"/>
        </w:rPr>
      </w:pPr>
    </w:p>
    <w:p w14:paraId="3E32BD63" w14:textId="77777777" w:rsidR="008A071C" w:rsidRPr="0051709F" w:rsidRDefault="008A071C" w:rsidP="008A071C">
      <w:pPr>
        <w:rPr>
          <w:rFonts w:cstheme="minorHAnsi"/>
        </w:rPr>
      </w:pPr>
    </w:p>
    <w:p w14:paraId="17447305" w14:textId="307ECC48" w:rsidR="00512539" w:rsidRPr="0051709F" w:rsidRDefault="00512539" w:rsidP="000A58A8">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Comparación del cumplimiento de los indicadores desarrollados que permiten evaluar y monitorizar las estrategias de promoción de actividad física y deporte</w:t>
      </w:r>
    </w:p>
    <w:p w14:paraId="37FD45C2" w14:textId="77777777" w:rsidR="00512539" w:rsidRPr="0051709F" w:rsidRDefault="00512539" w:rsidP="00512539">
      <w:pPr>
        <w:rPr>
          <w:rFonts w:cstheme="minorHAnsi"/>
        </w:rPr>
      </w:pPr>
    </w:p>
    <w:p w14:paraId="0A69ED22" w14:textId="4D1888D1" w:rsidR="00512539" w:rsidRPr="0051709F" w:rsidRDefault="00512539" w:rsidP="00512539">
      <w:pPr>
        <w:jc w:val="both"/>
        <w:rPr>
          <w:rFonts w:cstheme="minorHAnsi"/>
          <w:bCs/>
          <w:i/>
          <w:iCs/>
          <w:color w:val="000000" w:themeColor="text1"/>
        </w:rPr>
      </w:pPr>
      <w:r w:rsidRPr="0051709F">
        <w:rPr>
          <w:rStyle w:val="rynqvb"/>
          <w:rFonts w:cstheme="minorHAnsi"/>
        </w:rPr>
        <w:t>Como la acción de un gobierno puede ser insuficiente, e</w:t>
      </w:r>
      <w:r w:rsidR="0022064C" w:rsidRPr="0051709F">
        <w:rPr>
          <w:rStyle w:val="rynqvb"/>
          <w:rFonts w:cstheme="minorHAnsi"/>
        </w:rPr>
        <w:t>s</w:t>
      </w:r>
      <w:r w:rsidRPr="0051709F">
        <w:rPr>
          <w:rStyle w:val="rynqvb"/>
          <w:rFonts w:cstheme="minorHAnsi"/>
        </w:rPr>
        <w:t xml:space="preserve"> importante desarrollar comparativas en los indicadores que permitan a los gobiernos desarrollar objetivos aspiracionales y estándares superiores en lugar de compararse con una práctica actual. Es el caso del </w:t>
      </w:r>
      <w:r w:rsidRPr="0051709F">
        <w:rPr>
          <w:rStyle w:val="rynqvb"/>
          <w:rFonts w:cstheme="minorHAnsi"/>
          <w:i/>
          <w:iCs/>
        </w:rPr>
        <w:t xml:space="preserve">MOVING </w:t>
      </w:r>
      <w:proofErr w:type="spellStart"/>
      <w:r w:rsidRPr="0051709F">
        <w:rPr>
          <w:rStyle w:val="rynqvb"/>
          <w:rFonts w:cstheme="minorHAnsi"/>
          <w:i/>
          <w:iCs/>
        </w:rPr>
        <w:t>Policy</w:t>
      </w:r>
      <w:proofErr w:type="spellEnd"/>
      <w:r w:rsidRPr="0051709F">
        <w:rPr>
          <w:rStyle w:val="rynqvb"/>
          <w:rFonts w:cstheme="minorHAnsi"/>
          <w:i/>
          <w:iCs/>
        </w:rPr>
        <w:t xml:space="preserve"> </w:t>
      </w:r>
      <w:proofErr w:type="spellStart"/>
      <w:r w:rsidRPr="0051709F">
        <w:rPr>
          <w:rStyle w:val="rynqvb"/>
          <w:rFonts w:cstheme="minorHAnsi"/>
          <w:i/>
          <w:iCs/>
        </w:rPr>
        <w:t>Index</w:t>
      </w:r>
      <w:proofErr w:type="spellEnd"/>
      <w:r w:rsidRPr="0051709F">
        <w:rPr>
          <w:rStyle w:val="rynqvb"/>
          <w:rFonts w:cstheme="minorHAnsi"/>
        </w:rPr>
        <w:t xml:space="preserve">, </w:t>
      </w:r>
      <w:r w:rsidRPr="0051709F">
        <w:rPr>
          <w:rFonts w:cstheme="minorHAnsi"/>
          <w:bCs/>
          <w:color w:val="000000" w:themeColor="text1"/>
        </w:rPr>
        <w:t>un proyecto con financiación de la Comisión Europea desarrollado por el Fondo Mundial para la Investigación del Cáncer</w:t>
      </w:r>
      <w:r w:rsidRPr="0051709F">
        <w:rPr>
          <w:rFonts w:cstheme="minorHAnsi"/>
          <w:bCs/>
          <w:i/>
          <w:iCs/>
          <w:color w:val="000000" w:themeColor="text1"/>
        </w:rPr>
        <w:t xml:space="preserve"> (</w:t>
      </w:r>
      <w:proofErr w:type="spellStart"/>
      <w:r w:rsidRPr="0051709F">
        <w:rPr>
          <w:rFonts w:cstheme="minorHAnsi"/>
          <w:bCs/>
          <w:i/>
          <w:iCs/>
          <w:color w:val="000000" w:themeColor="text1"/>
        </w:rPr>
        <w:t>World</w:t>
      </w:r>
      <w:proofErr w:type="spellEnd"/>
      <w:r w:rsidRPr="0051709F">
        <w:rPr>
          <w:rFonts w:cstheme="minorHAnsi"/>
          <w:bCs/>
          <w:i/>
          <w:iCs/>
          <w:color w:val="000000" w:themeColor="text1"/>
        </w:rPr>
        <w:t xml:space="preserve"> </w:t>
      </w:r>
      <w:proofErr w:type="spellStart"/>
      <w:r w:rsidRPr="0051709F">
        <w:rPr>
          <w:rFonts w:cstheme="minorHAnsi"/>
          <w:bCs/>
          <w:i/>
          <w:iCs/>
          <w:color w:val="000000" w:themeColor="text1"/>
        </w:rPr>
        <w:t>Cancer</w:t>
      </w:r>
      <w:proofErr w:type="spellEnd"/>
      <w:r w:rsidRPr="0051709F">
        <w:rPr>
          <w:rFonts w:cstheme="minorHAnsi"/>
          <w:bCs/>
          <w:i/>
          <w:iCs/>
          <w:color w:val="000000" w:themeColor="text1"/>
        </w:rPr>
        <w:t xml:space="preserve"> </w:t>
      </w:r>
      <w:proofErr w:type="spellStart"/>
      <w:r w:rsidRPr="0051709F">
        <w:rPr>
          <w:rFonts w:cstheme="minorHAnsi"/>
          <w:bCs/>
          <w:i/>
          <w:iCs/>
          <w:color w:val="000000" w:themeColor="text1"/>
        </w:rPr>
        <w:t>Research</w:t>
      </w:r>
      <w:proofErr w:type="spellEnd"/>
      <w:r w:rsidRPr="0051709F">
        <w:rPr>
          <w:rFonts w:cstheme="minorHAnsi"/>
          <w:bCs/>
          <w:i/>
          <w:iCs/>
          <w:color w:val="000000" w:themeColor="text1"/>
        </w:rPr>
        <w:t xml:space="preserve"> </w:t>
      </w:r>
      <w:proofErr w:type="spellStart"/>
      <w:r w:rsidRPr="0051709F">
        <w:rPr>
          <w:rFonts w:cstheme="minorHAnsi"/>
          <w:bCs/>
          <w:i/>
          <w:iCs/>
          <w:color w:val="000000" w:themeColor="text1"/>
        </w:rPr>
        <w:t>Fund</w:t>
      </w:r>
      <w:proofErr w:type="spellEnd"/>
      <w:r w:rsidRPr="0051709F">
        <w:rPr>
          <w:rFonts w:cstheme="minorHAnsi"/>
          <w:bCs/>
          <w:i/>
          <w:iCs/>
          <w:color w:val="000000" w:themeColor="text1"/>
        </w:rPr>
        <w:t xml:space="preserve"> International).</w:t>
      </w:r>
    </w:p>
    <w:p w14:paraId="1CBAFA09" w14:textId="77777777" w:rsidR="00512539" w:rsidRPr="0051709F" w:rsidRDefault="00512539" w:rsidP="00512539">
      <w:pPr>
        <w:jc w:val="both"/>
        <w:rPr>
          <w:rFonts w:cstheme="minorHAnsi"/>
          <w:bCs/>
          <w:i/>
          <w:iCs/>
          <w:color w:val="000000" w:themeColor="text1"/>
        </w:rPr>
      </w:pPr>
    </w:p>
    <w:p w14:paraId="4C16E616" w14:textId="1698F2D6"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Así, al clásico análisis de la existencia o no de una acción política</w:t>
      </w:r>
      <w:r w:rsidR="005B6008" w:rsidRPr="0051709F">
        <w:rPr>
          <w:rFonts w:eastAsia="Montserrat" w:cstheme="minorHAnsi"/>
          <w:bCs/>
          <w:color w:val="000000" w:themeColor="text1"/>
        </w:rPr>
        <w:t>, como se puede observar en la T</w:t>
      </w:r>
      <w:r w:rsidRPr="0051709F">
        <w:rPr>
          <w:rFonts w:eastAsia="Montserrat" w:cstheme="minorHAnsi"/>
          <w:bCs/>
          <w:color w:val="000000" w:themeColor="text1"/>
        </w:rPr>
        <w:t xml:space="preserve">abla 6, la herramienta permite analizar una serie de atributos de esa política que </w:t>
      </w:r>
      <w:r w:rsidR="00B20563">
        <w:rPr>
          <w:rFonts w:eastAsia="Montserrat" w:cstheme="minorHAnsi"/>
          <w:bCs/>
          <w:color w:val="000000" w:themeColor="text1"/>
        </w:rPr>
        <w:t xml:space="preserve">favorecen la evaluación de </w:t>
      </w:r>
      <w:r w:rsidRPr="0051709F">
        <w:rPr>
          <w:rFonts w:eastAsia="Montserrat" w:cstheme="minorHAnsi"/>
          <w:bCs/>
          <w:color w:val="000000" w:themeColor="text1"/>
        </w:rPr>
        <w:t>la calidad del diseño de las acciones políticas, de manera individual en la política o el indicador, o en el área de análisis.</w:t>
      </w:r>
    </w:p>
    <w:p w14:paraId="5F5C1B77" w14:textId="77777777" w:rsidR="00145599" w:rsidRDefault="00145599" w:rsidP="00512539">
      <w:pPr>
        <w:rPr>
          <w:rFonts w:eastAsia="Montserrat" w:cstheme="minorHAnsi"/>
          <w:bCs/>
          <w:color w:val="000000" w:themeColor="text1"/>
        </w:rPr>
      </w:pPr>
    </w:p>
    <w:p w14:paraId="25768953" w14:textId="77777777" w:rsidR="0088331D" w:rsidRDefault="0088331D" w:rsidP="00512539">
      <w:pPr>
        <w:rPr>
          <w:rFonts w:eastAsia="Montserrat" w:cstheme="minorHAnsi"/>
          <w:bCs/>
          <w:color w:val="000000" w:themeColor="text1"/>
        </w:rPr>
      </w:pPr>
    </w:p>
    <w:p w14:paraId="551C1E3A" w14:textId="77777777" w:rsidR="0088331D" w:rsidRDefault="0088331D" w:rsidP="00512539">
      <w:pPr>
        <w:rPr>
          <w:rFonts w:eastAsia="Montserrat" w:cstheme="minorHAnsi"/>
          <w:bCs/>
          <w:color w:val="000000" w:themeColor="text1"/>
        </w:rPr>
      </w:pPr>
    </w:p>
    <w:p w14:paraId="1A7C3A8B" w14:textId="77777777" w:rsidR="0088331D" w:rsidRDefault="0088331D" w:rsidP="00512539">
      <w:pPr>
        <w:rPr>
          <w:rFonts w:eastAsia="Montserrat" w:cstheme="minorHAnsi"/>
          <w:bCs/>
          <w:color w:val="000000" w:themeColor="text1"/>
        </w:rPr>
      </w:pPr>
    </w:p>
    <w:p w14:paraId="3D6601D9" w14:textId="77777777" w:rsidR="0088331D" w:rsidRDefault="0088331D" w:rsidP="00512539">
      <w:pPr>
        <w:rPr>
          <w:rFonts w:eastAsia="Montserrat" w:cstheme="minorHAnsi"/>
          <w:bCs/>
          <w:color w:val="000000" w:themeColor="text1"/>
        </w:rPr>
      </w:pPr>
    </w:p>
    <w:p w14:paraId="77DCD900" w14:textId="77777777" w:rsidR="0088331D" w:rsidRDefault="0088331D" w:rsidP="00512539">
      <w:pPr>
        <w:rPr>
          <w:rFonts w:eastAsia="Montserrat" w:cstheme="minorHAnsi"/>
          <w:bCs/>
          <w:color w:val="000000" w:themeColor="text1"/>
        </w:rPr>
      </w:pPr>
    </w:p>
    <w:p w14:paraId="6B550A0D" w14:textId="77777777" w:rsidR="0088331D" w:rsidRPr="0051709F" w:rsidRDefault="0088331D" w:rsidP="00512539">
      <w:pPr>
        <w:rPr>
          <w:rFonts w:eastAsia="Montserrat" w:cstheme="minorHAnsi"/>
          <w:bCs/>
          <w:color w:val="000000" w:themeColor="text1"/>
        </w:rPr>
      </w:pPr>
    </w:p>
    <w:p w14:paraId="18B1FD20" w14:textId="417F3150" w:rsidR="00512539" w:rsidRPr="007B667D" w:rsidRDefault="00145599" w:rsidP="00145599">
      <w:pPr>
        <w:jc w:val="center"/>
        <w:rPr>
          <w:rFonts w:eastAsia="Montserrat" w:cstheme="minorHAnsi"/>
          <w:bCs/>
          <w:i/>
          <w:iCs/>
          <w:color w:val="000000" w:themeColor="text1"/>
          <w:sz w:val="22"/>
          <w:szCs w:val="22"/>
        </w:rPr>
      </w:pPr>
      <w:r w:rsidRPr="007B667D">
        <w:rPr>
          <w:rFonts w:eastAsia="Montserrat" w:cstheme="minorHAnsi"/>
          <w:bCs/>
          <w:i/>
          <w:iCs/>
          <w:color w:val="000000" w:themeColor="text1"/>
          <w:sz w:val="22"/>
          <w:szCs w:val="22"/>
        </w:rPr>
        <w:lastRenderedPageBreak/>
        <w:t>Tabla 6. Cuantificación de la política o del área, de 0 a 100 puntos</w:t>
      </w:r>
    </w:p>
    <w:p w14:paraId="0962C3F8" w14:textId="77777777" w:rsidR="000A58A8" w:rsidRPr="0051709F" w:rsidRDefault="000A58A8" w:rsidP="00145599">
      <w:pPr>
        <w:jc w:val="center"/>
        <w:rPr>
          <w:rFonts w:eastAsia="Montserrat" w:cstheme="minorHAnsi"/>
          <w:bCs/>
          <w:color w:val="000000" w:themeColor="text1"/>
        </w:rPr>
      </w:pPr>
    </w:p>
    <w:tbl>
      <w:tblPr>
        <w:tblStyle w:val="Tablaconcuadrcula"/>
        <w:tblW w:w="0" w:type="auto"/>
        <w:tblLook w:val="04A0" w:firstRow="1" w:lastRow="0" w:firstColumn="1" w:lastColumn="0" w:noHBand="0" w:noVBand="1"/>
      </w:tblPr>
      <w:tblGrid>
        <w:gridCol w:w="8488"/>
      </w:tblGrid>
      <w:tr w:rsidR="00512539" w:rsidRPr="0051709F" w14:paraId="7CA14AEF" w14:textId="77777777" w:rsidTr="00145599">
        <w:tc>
          <w:tcPr>
            <w:tcW w:w="8488" w:type="dxa"/>
          </w:tcPr>
          <w:p w14:paraId="4754006E" w14:textId="77777777" w:rsidR="00512539" w:rsidRPr="0051709F" w:rsidRDefault="00512539" w:rsidP="00F16F30">
            <w:pPr>
              <w:jc w:val="center"/>
              <w:rPr>
                <w:rFonts w:eastAsia="Montserrat" w:cstheme="minorHAnsi"/>
                <w:bCs/>
                <w:color w:val="000000" w:themeColor="text1"/>
                <w:sz w:val="24"/>
                <w:szCs w:val="24"/>
              </w:rPr>
            </w:pPr>
            <w:r w:rsidRPr="0051709F">
              <w:rPr>
                <w:rFonts w:cstheme="minorHAnsi"/>
                <w:noProof/>
                <w:lang w:val="en-GB" w:eastAsia="en-GB"/>
              </w:rPr>
              <w:drawing>
                <wp:inline distT="0" distB="0" distL="0" distR="0" wp14:anchorId="633FAC8E" wp14:editId="1CCBA5AB">
                  <wp:extent cx="2654419" cy="2120265"/>
                  <wp:effectExtent l="0" t="0" r="0" b="0"/>
                  <wp:docPr id="189738765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87655" name="Imagen 1" descr="Tabla&#10;&#10;Descripción generada automáticamente"/>
                          <pic:cNvPicPr/>
                        </pic:nvPicPr>
                        <pic:blipFill>
                          <a:blip r:embed="rId35"/>
                          <a:stretch>
                            <a:fillRect/>
                          </a:stretch>
                        </pic:blipFill>
                        <pic:spPr>
                          <a:xfrm>
                            <a:off x="0" y="0"/>
                            <a:ext cx="2659429" cy="2124267"/>
                          </a:xfrm>
                          <a:prstGeom prst="rect">
                            <a:avLst/>
                          </a:prstGeom>
                        </pic:spPr>
                      </pic:pic>
                    </a:graphicData>
                  </a:graphic>
                </wp:inline>
              </w:drawing>
            </w:r>
          </w:p>
        </w:tc>
      </w:tr>
    </w:tbl>
    <w:p w14:paraId="52C49DE5" w14:textId="77777777" w:rsidR="00512539" w:rsidRPr="0051709F" w:rsidRDefault="00512539" w:rsidP="00512539">
      <w:pPr>
        <w:rPr>
          <w:rFonts w:eastAsia="Montserrat" w:cstheme="minorHAnsi"/>
          <w:bCs/>
          <w:color w:val="000000" w:themeColor="text1"/>
        </w:rPr>
      </w:pPr>
    </w:p>
    <w:p w14:paraId="5BEA49C2" w14:textId="77777777" w:rsidR="00512539" w:rsidRPr="0051709F" w:rsidRDefault="00512539" w:rsidP="00512539">
      <w:pPr>
        <w:rPr>
          <w:rFonts w:eastAsia="Montserrat" w:cstheme="minorHAnsi"/>
          <w:bCs/>
          <w:color w:val="000000" w:themeColor="text1"/>
        </w:rPr>
      </w:pPr>
    </w:p>
    <w:p w14:paraId="461C8313" w14:textId="0057B727" w:rsidR="00512539" w:rsidRPr="0051709F" w:rsidRDefault="00512539" w:rsidP="00A80437">
      <w:pPr>
        <w:jc w:val="both"/>
        <w:rPr>
          <w:rFonts w:eastAsia="Montserrat" w:cstheme="minorHAnsi"/>
          <w:bCs/>
          <w:color w:val="000000" w:themeColor="text1"/>
        </w:rPr>
      </w:pPr>
      <w:r w:rsidRPr="0051709F">
        <w:rPr>
          <w:rFonts w:eastAsia="Montserrat" w:cstheme="minorHAnsi"/>
          <w:bCs/>
          <w:color w:val="000000" w:themeColor="text1"/>
        </w:rPr>
        <w:t xml:space="preserve">Este análisis se estructura en </w:t>
      </w:r>
      <w:r w:rsidR="0022064C" w:rsidRPr="0051709F">
        <w:rPr>
          <w:rFonts w:eastAsia="Montserrat" w:cstheme="minorHAnsi"/>
          <w:bCs/>
          <w:color w:val="000000" w:themeColor="text1"/>
        </w:rPr>
        <w:t>6</w:t>
      </w:r>
      <w:r w:rsidRPr="0051709F">
        <w:rPr>
          <w:rFonts w:eastAsia="Montserrat" w:cstheme="minorHAnsi"/>
          <w:bCs/>
          <w:color w:val="000000" w:themeColor="text1"/>
        </w:rPr>
        <w:t xml:space="preserve"> áreas políticas clave dentro de </w:t>
      </w:r>
      <w:r w:rsidR="0022064C" w:rsidRPr="0051709F">
        <w:rPr>
          <w:rFonts w:eastAsia="Montserrat" w:cstheme="minorHAnsi"/>
          <w:bCs/>
          <w:color w:val="000000" w:themeColor="text1"/>
        </w:rPr>
        <w:t>3</w:t>
      </w:r>
      <w:r w:rsidRPr="0051709F">
        <w:rPr>
          <w:rFonts w:eastAsia="Montserrat" w:cstheme="minorHAnsi"/>
          <w:bCs/>
          <w:color w:val="000000" w:themeColor="text1"/>
        </w:rPr>
        <w:t xml:space="preserve"> dominios, que siguiendo la estructura del último plan global permite organizar el análisis en </w:t>
      </w:r>
      <w:r w:rsidRPr="007B667D">
        <w:rPr>
          <w:rFonts w:eastAsia="Montserrat" w:cstheme="minorHAnsi"/>
          <w:bCs/>
          <w:color w:val="000000" w:themeColor="text1"/>
          <w:u w:val="single"/>
        </w:rPr>
        <w:t xml:space="preserve">sociedades activas, </w:t>
      </w:r>
      <w:proofErr w:type="gramStart"/>
      <w:r w:rsidRPr="007B667D">
        <w:rPr>
          <w:rFonts w:eastAsia="Montserrat" w:cstheme="minorHAnsi"/>
          <w:bCs/>
          <w:color w:val="000000" w:themeColor="text1"/>
          <w:u w:val="single"/>
        </w:rPr>
        <w:t>ambientes activos y personas activas</w:t>
      </w:r>
      <w:proofErr w:type="gramEnd"/>
      <w:r w:rsidRPr="0051709F">
        <w:rPr>
          <w:rFonts w:eastAsia="Montserrat" w:cstheme="minorHAnsi"/>
          <w:bCs/>
          <w:color w:val="000000" w:themeColor="text1"/>
        </w:rPr>
        <w:t>.</w:t>
      </w:r>
    </w:p>
    <w:p w14:paraId="4EDD4372" w14:textId="77777777" w:rsidR="00512539" w:rsidRPr="0051709F" w:rsidRDefault="00512539" w:rsidP="00A80437">
      <w:pPr>
        <w:jc w:val="both"/>
        <w:rPr>
          <w:rFonts w:eastAsia="Montserrat" w:cstheme="minorHAnsi"/>
          <w:bCs/>
          <w:color w:val="000000" w:themeColor="text1"/>
        </w:rPr>
      </w:pPr>
    </w:p>
    <w:p w14:paraId="5CABCB47" w14:textId="585C31BC"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Al realizar el análisis para España, en comparación con la audit</w:t>
      </w:r>
      <w:r w:rsidR="00B20563">
        <w:rPr>
          <w:rFonts w:eastAsia="Montserrat" w:cstheme="minorHAnsi"/>
          <w:bCs/>
          <w:color w:val="000000" w:themeColor="text1"/>
        </w:rPr>
        <w:t>oría</w:t>
      </w:r>
      <w:r w:rsidRPr="0051709F">
        <w:rPr>
          <w:rFonts w:eastAsia="Montserrat" w:cstheme="minorHAnsi"/>
          <w:bCs/>
          <w:color w:val="000000" w:themeColor="text1"/>
        </w:rPr>
        <w:t xml:space="preserve"> de PAT, este análisis reflejó ciertas carencias en el desarrollo de políticas de promoción que merecen la pena ser resaltadas. Por </w:t>
      </w:r>
      <w:r w:rsidR="00960F55">
        <w:rPr>
          <w:rFonts w:eastAsia="Montserrat" w:cstheme="minorHAnsi"/>
          <w:bCs/>
          <w:color w:val="000000" w:themeColor="text1"/>
        </w:rPr>
        <w:t>una parte</w:t>
      </w:r>
      <w:r w:rsidRPr="0051709F">
        <w:rPr>
          <w:rFonts w:eastAsia="Montserrat" w:cstheme="minorHAnsi"/>
          <w:bCs/>
          <w:color w:val="000000" w:themeColor="text1"/>
        </w:rPr>
        <w:t xml:space="preserve">, dentro de las áreas políticas, se identificaron puntos débiles en las iniciativas que promueven la actividad física en las escuelas y para personas de todas las edades y capacidades, directrices de diseño activo para espacios abiertos/verdes, actividad física en el lugar de trabajo, y políticas que promueven el transporte activo y acciones de seguridad vial. Se detectaron lagunas relacionadas con la falta de iniciativas que promuevan la actividad física fuera del horario escolar, infraestructuras para caminar y montar en bicicleta, además de directrices de diseño activo y políticas que promuevan el transporte público. </w:t>
      </w:r>
    </w:p>
    <w:p w14:paraId="2B8E8419" w14:textId="77777777" w:rsidR="00A80437" w:rsidRPr="0051709F" w:rsidRDefault="00A80437" w:rsidP="00512539">
      <w:pPr>
        <w:jc w:val="both"/>
        <w:rPr>
          <w:rFonts w:eastAsia="Montserrat" w:cstheme="minorHAnsi"/>
          <w:bCs/>
          <w:color w:val="000000" w:themeColor="text1"/>
        </w:rPr>
      </w:pPr>
    </w:p>
    <w:p w14:paraId="45A249D2" w14:textId="132CCC32"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De la misma manera, concluyeron que queda mucho por hacer para mejorar la evaluación general de las políticas de actividad física en España, ya que sólo un área política recibió una buena evaluación</w:t>
      </w:r>
      <w:r w:rsidR="00960F55">
        <w:rPr>
          <w:rFonts w:eastAsia="Montserrat" w:cstheme="minorHAnsi"/>
          <w:bCs/>
          <w:color w:val="000000" w:themeColor="text1"/>
        </w:rPr>
        <w:t>,</w:t>
      </w:r>
      <w:r w:rsidRPr="0051709F">
        <w:rPr>
          <w:rFonts w:eastAsia="Montserrat" w:cstheme="minorHAnsi"/>
          <w:bCs/>
          <w:color w:val="000000" w:themeColor="text1"/>
        </w:rPr>
        <w:t xml:space="preserve"> </w:t>
      </w:r>
      <w:r w:rsidR="00960F55">
        <w:rPr>
          <w:rFonts w:eastAsia="Montserrat" w:cstheme="minorHAnsi"/>
          <w:bCs/>
          <w:color w:val="000000" w:themeColor="text1"/>
        </w:rPr>
        <w:t xml:space="preserve">la </w:t>
      </w:r>
      <w:r w:rsidRPr="0051709F">
        <w:rPr>
          <w:rFonts w:eastAsia="Montserrat" w:cstheme="minorHAnsi"/>
          <w:bCs/>
          <w:color w:val="000000" w:themeColor="text1"/>
        </w:rPr>
        <w:t xml:space="preserve">comunicación. Todas las áreas de estructuras y entorno que promueven la actividad física deberían mejorarse, junto con las políticas que promueven el transporte activo. En la Figura </w:t>
      </w:r>
      <w:r w:rsidR="0040157F" w:rsidRPr="0051709F">
        <w:rPr>
          <w:rFonts w:eastAsia="Montserrat" w:cstheme="minorHAnsi"/>
          <w:bCs/>
          <w:color w:val="000000" w:themeColor="text1"/>
        </w:rPr>
        <w:t>10</w:t>
      </w:r>
      <w:r w:rsidRPr="0051709F">
        <w:rPr>
          <w:rFonts w:eastAsia="Montserrat" w:cstheme="minorHAnsi"/>
          <w:bCs/>
          <w:color w:val="000000" w:themeColor="text1"/>
        </w:rPr>
        <w:t xml:space="preserve"> se pueden observar los resultados para España del análisis utilizando esa herramienta, con sus defectos y carencias.</w:t>
      </w:r>
    </w:p>
    <w:p w14:paraId="1FF515BF" w14:textId="77777777" w:rsidR="00A80437" w:rsidRPr="0051709F" w:rsidRDefault="00A80437" w:rsidP="00512539">
      <w:pPr>
        <w:jc w:val="both"/>
        <w:rPr>
          <w:rFonts w:eastAsia="Montserrat" w:cstheme="minorHAnsi"/>
          <w:bCs/>
          <w:color w:val="000000" w:themeColor="text1"/>
        </w:rPr>
      </w:pPr>
    </w:p>
    <w:p w14:paraId="7DF6CDC2" w14:textId="77777777" w:rsidR="00512539" w:rsidRPr="0051709F" w:rsidRDefault="00512539" w:rsidP="00512539">
      <w:pPr>
        <w:jc w:val="both"/>
        <w:rPr>
          <w:rFonts w:eastAsia="Montserrat" w:cstheme="minorHAnsi"/>
          <w:bCs/>
          <w:color w:val="000000" w:themeColor="text1"/>
        </w:rPr>
      </w:pPr>
    </w:p>
    <w:tbl>
      <w:tblPr>
        <w:tblStyle w:val="Tablaconcuadrcula"/>
        <w:tblW w:w="0" w:type="auto"/>
        <w:tblLook w:val="04A0" w:firstRow="1" w:lastRow="0" w:firstColumn="1" w:lastColumn="0" w:noHBand="0" w:noVBand="1"/>
      </w:tblPr>
      <w:tblGrid>
        <w:gridCol w:w="8488"/>
      </w:tblGrid>
      <w:tr w:rsidR="00512539" w:rsidRPr="0051709F" w14:paraId="3A2C498A" w14:textId="77777777" w:rsidTr="00145599">
        <w:tc>
          <w:tcPr>
            <w:tcW w:w="8488" w:type="dxa"/>
          </w:tcPr>
          <w:p w14:paraId="05D0E6A0" w14:textId="77777777" w:rsidR="00512539" w:rsidRPr="0051709F" w:rsidRDefault="00512539" w:rsidP="00F16F30">
            <w:pPr>
              <w:jc w:val="center"/>
              <w:rPr>
                <w:rFonts w:eastAsia="Montserrat" w:cstheme="minorHAnsi"/>
                <w:bCs/>
                <w:color w:val="000000" w:themeColor="text1"/>
                <w:sz w:val="24"/>
                <w:szCs w:val="24"/>
              </w:rPr>
            </w:pPr>
            <w:r w:rsidRPr="0051709F">
              <w:rPr>
                <w:rFonts w:eastAsia="Montserrat" w:cstheme="minorHAnsi"/>
                <w:b/>
                <w:noProof/>
                <w:color w:val="2E74B5" w:themeColor="accent5" w:themeShade="BF"/>
                <w:lang w:val="en-GB" w:eastAsia="en-GB"/>
              </w:rPr>
              <w:lastRenderedPageBreak/>
              <w:drawing>
                <wp:inline distT="0" distB="0" distL="0" distR="0" wp14:anchorId="4B9F620B" wp14:editId="3C81206E">
                  <wp:extent cx="5396230" cy="2513330"/>
                  <wp:effectExtent l="0" t="0" r="1270" b="1270"/>
                  <wp:docPr id="1217692517"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92517" name="Imagen 1" descr="Imagen que contiene Interfaz de usuario gráfica&#10;&#10;Descripción generada automáticamente"/>
                          <pic:cNvPicPr/>
                        </pic:nvPicPr>
                        <pic:blipFill>
                          <a:blip r:embed="rId36"/>
                          <a:stretch>
                            <a:fillRect/>
                          </a:stretch>
                        </pic:blipFill>
                        <pic:spPr>
                          <a:xfrm>
                            <a:off x="0" y="0"/>
                            <a:ext cx="5396230" cy="2513330"/>
                          </a:xfrm>
                          <a:prstGeom prst="rect">
                            <a:avLst/>
                          </a:prstGeom>
                        </pic:spPr>
                      </pic:pic>
                    </a:graphicData>
                  </a:graphic>
                </wp:inline>
              </w:drawing>
            </w:r>
          </w:p>
        </w:tc>
      </w:tr>
    </w:tbl>
    <w:p w14:paraId="2A8FBFB1" w14:textId="77777777" w:rsidR="000A58A8" w:rsidRDefault="000A58A8" w:rsidP="00145599">
      <w:pPr>
        <w:jc w:val="center"/>
        <w:rPr>
          <w:rFonts w:eastAsia="Montserrat" w:cstheme="minorHAnsi"/>
          <w:bCs/>
          <w:color w:val="000000" w:themeColor="text1"/>
        </w:rPr>
      </w:pPr>
    </w:p>
    <w:p w14:paraId="366B0436" w14:textId="2D04C1E9" w:rsidR="00145599" w:rsidRPr="007B667D" w:rsidRDefault="00145599" w:rsidP="00145599">
      <w:pPr>
        <w:jc w:val="center"/>
        <w:rPr>
          <w:rFonts w:eastAsia="Montserrat" w:cstheme="minorHAnsi"/>
          <w:bCs/>
          <w:i/>
          <w:iCs/>
          <w:color w:val="000000" w:themeColor="text1"/>
          <w:sz w:val="22"/>
          <w:szCs w:val="22"/>
        </w:rPr>
      </w:pPr>
      <w:r w:rsidRPr="007B667D">
        <w:rPr>
          <w:rFonts w:eastAsia="Montserrat" w:cstheme="minorHAnsi"/>
          <w:bCs/>
          <w:i/>
          <w:iCs/>
          <w:color w:val="000000" w:themeColor="text1"/>
          <w:sz w:val="22"/>
          <w:szCs w:val="22"/>
        </w:rPr>
        <w:t>Figura 10. Cuantificación de las áreas, convertida la puntuación en colores</w:t>
      </w:r>
    </w:p>
    <w:p w14:paraId="500DFC90" w14:textId="77777777" w:rsidR="00512539" w:rsidRPr="0051709F" w:rsidRDefault="00512539" w:rsidP="00512539">
      <w:pPr>
        <w:jc w:val="both"/>
        <w:rPr>
          <w:rFonts w:eastAsia="Montserrat" w:cstheme="minorHAnsi"/>
          <w:bCs/>
          <w:color w:val="000000" w:themeColor="text1"/>
        </w:rPr>
      </w:pPr>
    </w:p>
    <w:p w14:paraId="439EFA74" w14:textId="38A251D6"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 xml:space="preserve">Así, cuando se analiza </w:t>
      </w:r>
      <w:r w:rsidR="00960F55" w:rsidRPr="0051709F">
        <w:rPr>
          <w:rFonts w:eastAsia="Montserrat" w:cstheme="minorHAnsi"/>
          <w:bCs/>
          <w:color w:val="000000" w:themeColor="text1"/>
        </w:rPr>
        <w:t>cuantitativamente</w:t>
      </w:r>
      <w:r w:rsidRPr="0051709F">
        <w:rPr>
          <w:rFonts w:eastAsia="Montserrat" w:cstheme="minorHAnsi"/>
          <w:bCs/>
          <w:color w:val="000000" w:themeColor="text1"/>
        </w:rPr>
        <w:t xml:space="preserve"> cada uno de los 23 indicadores de la herramienta desde una perspectiva más concret</w:t>
      </w:r>
      <w:r w:rsidR="0040157F" w:rsidRPr="0051709F">
        <w:rPr>
          <w:rFonts w:eastAsia="Montserrat" w:cstheme="minorHAnsi"/>
          <w:bCs/>
          <w:color w:val="000000" w:themeColor="text1"/>
        </w:rPr>
        <w:t>a al indicador individual (ver Figura 11</w:t>
      </w:r>
      <w:r w:rsidRPr="0051709F">
        <w:rPr>
          <w:rFonts w:eastAsia="Montserrat" w:cstheme="minorHAnsi"/>
          <w:bCs/>
          <w:color w:val="000000" w:themeColor="text1"/>
        </w:rPr>
        <w:t>), se observa como España no posee determin</w:t>
      </w:r>
      <w:r w:rsidR="0022064C" w:rsidRPr="0051709F">
        <w:rPr>
          <w:rFonts w:eastAsia="Montserrat" w:cstheme="minorHAnsi"/>
          <w:bCs/>
          <w:color w:val="000000" w:themeColor="text1"/>
        </w:rPr>
        <w:t>a</w:t>
      </w:r>
      <w:r w:rsidRPr="0051709F">
        <w:rPr>
          <w:rFonts w:eastAsia="Montserrat" w:cstheme="minorHAnsi"/>
          <w:bCs/>
          <w:color w:val="000000" w:themeColor="text1"/>
        </w:rPr>
        <w:t xml:space="preserve">das políticas, o consigue cumplimientos con cantidades inferiores o similares al 50%, indicando un desarrollo de políticas públicas limitado. </w:t>
      </w:r>
    </w:p>
    <w:p w14:paraId="44FAFB53" w14:textId="77777777" w:rsidR="00512539" w:rsidRPr="0051709F" w:rsidRDefault="00512539" w:rsidP="00512539">
      <w:pPr>
        <w:jc w:val="both"/>
        <w:rPr>
          <w:rFonts w:eastAsia="Montserrat" w:cstheme="minorHAnsi"/>
          <w:bCs/>
          <w:color w:val="000000" w:themeColor="text1"/>
        </w:rPr>
      </w:pPr>
    </w:p>
    <w:p w14:paraId="76037FBF" w14:textId="6158C084" w:rsidR="00A80437" w:rsidRPr="0051709F" w:rsidRDefault="00960F55" w:rsidP="00512539">
      <w:pPr>
        <w:jc w:val="both"/>
        <w:rPr>
          <w:rFonts w:eastAsia="Montserrat" w:cstheme="minorHAnsi"/>
          <w:bCs/>
          <w:color w:val="000000" w:themeColor="text1"/>
        </w:rPr>
      </w:pPr>
      <w:r>
        <w:rPr>
          <w:rFonts w:eastAsia="Montserrat" w:cstheme="minorHAnsi"/>
          <w:bCs/>
          <w:color w:val="000000" w:themeColor="text1"/>
        </w:rPr>
        <w:t>Por</w:t>
      </w:r>
      <w:r w:rsidRPr="0051709F">
        <w:rPr>
          <w:rFonts w:eastAsia="Montserrat" w:cstheme="minorHAnsi"/>
          <w:bCs/>
          <w:color w:val="000000" w:themeColor="text1"/>
        </w:rPr>
        <w:t xml:space="preserve"> lo que</w:t>
      </w:r>
      <w:r w:rsidR="00512539" w:rsidRPr="0051709F">
        <w:rPr>
          <w:rFonts w:eastAsia="Montserrat" w:cstheme="minorHAnsi"/>
          <w:bCs/>
          <w:color w:val="000000" w:themeColor="text1"/>
        </w:rPr>
        <w:t xml:space="preserve"> hace falta un enfoque integral que permita llevar a cabo el desarrollo de políticas en las distintas áreas, bajo diferentes dominios, y </w:t>
      </w:r>
      <w:r w:rsidR="0022064C" w:rsidRPr="0051709F">
        <w:rPr>
          <w:rFonts w:eastAsia="Montserrat" w:cstheme="minorHAnsi"/>
          <w:bCs/>
          <w:color w:val="000000" w:themeColor="text1"/>
        </w:rPr>
        <w:t xml:space="preserve">a su vez, que ello sirva de punto de partida para </w:t>
      </w:r>
      <w:r w:rsidR="00512539" w:rsidRPr="0051709F">
        <w:rPr>
          <w:rFonts w:eastAsia="Montserrat" w:cstheme="minorHAnsi"/>
          <w:bCs/>
          <w:color w:val="000000" w:themeColor="text1"/>
        </w:rPr>
        <w:t xml:space="preserve">pensar en criterios propios donde la voluntad de excelencia </w:t>
      </w:r>
      <w:r w:rsidR="0022064C" w:rsidRPr="0051709F">
        <w:rPr>
          <w:rFonts w:eastAsia="Montserrat" w:cstheme="minorHAnsi"/>
          <w:bCs/>
          <w:color w:val="000000" w:themeColor="text1"/>
        </w:rPr>
        <w:t>ayude a</w:t>
      </w:r>
      <w:r w:rsidR="00512539" w:rsidRPr="0051709F">
        <w:rPr>
          <w:rFonts w:eastAsia="Montserrat" w:cstheme="minorHAnsi"/>
          <w:bCs/>
          <w:color w:val="000000" w:themeColor="text1"/>
        </w:rPr>
        <w:t xml:space="preserve"> desarrollar una política más ambiciosa que </w:t>
      </w:r>
      <w:r>
        <w:rPr>
          <w:rFonts w:eastAsia="Montserrat" w:cstheme="minorHAnsi"/>
          <w:bCs/>
          <w:color w:val="000000" w:themeColor="text1"/>
        </w:rPr>
        <w:t xml:space="preserve">tan sólo, </w:t>
      </w:r>
      <w:r w:rsidR="00512539" w:rsidRPr="0051709F">
        <w:rPr>
          <w:rFonts w:eastAsia="Montserrat" w:cstheme="minorHAnsi"/>
          <w:bCs/>
          <w:color w:val="000000" w:themeColor="text1"/>
        </w:rPr>
        <w:t xml:space="preserve">cumplir con determinados criterios </w:t>
      </w:r>
      <w:r w:rsidRPr="0051709F">
        <w:rPr>
          <w:rFonts w:eastAsia="Montserrat" w:cstheme="minorHAnsi"/>
          <w:bCs/>
          <w:color w:val="000000" w:themeColor="text1"/>
        </w:rPr>
        <w:t>estáticos</w:t>
      </w:r>
      <w:r w:rsidR="00512539" w:rsidRPr="0051709F">
        <w:rPr>
          <w:rFonts w:eastAsia="Montserrat" w:cstheme="minorHAnsi"/>
          <w:bCs/>
          <w:color w:val="000000" w:themeColor="text1"/>
        </w:rPr>
        <w:t>.</w:t>
      </w:r>
    </w:p>
    <w:p w14:paraId="22728E3B" w14:textId="77777777" w:rsidR="00A80437" w:rsidRPr="0051709F" w:rsidRDefault="00A80437" w:rsidP="00512539">
      <w:pPr>
        <w:jc w:val="both"/>
        <w:rPr>
          <w:rFonts w:eastAsia="Montserrat" w:cstheme="minorHAnsi"/>
          <w:bCs/>
          <w:color w:val="000000" w:themeColor="text1"/>
        </w:rPr>
      </w:pPr>
    </w:p>
    <w:p w14:paraId="6832068A" w14:textId="77777777" w:rsidR="00512539" w:rsidRPr="0051709F" w:rsidRDefault="00512539" w:rsidP="00512539">
      <w:pPr>
        <w:jc w:val="both"/>
        <w:rPr>
          <w:rFonts w:eastAsia="Montserrat" w:cstheme="minorHAnsi"/>
          <w:bCs/>
          <w:color w:val="000000" w:themeColor="text1"/>
        </w:rPr>
      </w:pPr>
    </w:p>
    <w:p w14:paraId="5DEA1023" w14:textId="77777777" w:rsidR="008A071C" w:rsidRPr="0051709F" w:rsidRDefault="008A071C" w:rsidP="00512539">
      <w:pPr>
        <w:jc w:val="both"/>
        <w:rPr>
          <w:rFonts w:eastAsia="Montserrat" w:cstheme="minorHAnsi"/>
          <w:bCs/>
          <w:color w:val="000000" w:themeColor="text1"/>
        </w:rPr>
      </w:pPr>
    </w:p>
    <w:p w14:paraId="1CBB6BAA" w14:textId="77777777" w:rsidR="008A071C" w:rsidRPr="0051709F" w:rsidRDefault="008A071C" w:rsidP="00512539">
      <w:pPr>
        <w:jc w:val="both"/>
        <w:rPr>
          <w:rFonts w:eastAsia="Montserrat" w:cstheme="minorHAnsi"/>
          <w:bCs/>
          <w:color w:val="000000" w:themeColor="text1"/>
        </w:rPr>
      </w:pPr>
    </w:p>
    <w:p w14:paraId="6512E81B" w14:textId="77777777" w:rsidR="008A071C" w:rsidRPr="0051709F" w:rsidRDefault="008A071C" w:rsidP="00512539">
      <w:pPr>
        <w:jc w:val="both"/>
        <w:rPr>
          <w:rFonts w:eastAsia="Montserrat" w:cstheme="minorHAnsi"/>
          <w:bCs/>
          <w:color w:val="000000" w:themeColor="text1"/>
        </w:rPr>
      </w:pPr>
    </w:p>
    <w:p w14:paraId="5C867E0B" w14:textId="77777777" w:rsidR="008A071C" w:rsidRPr="0051709F" w:rsidRDefault="008A071C" w:rsidP="00512539">
      <w:pPr>
        <w:jc w:val="both"/>
        <w:rPr>
          <w:rFonts w:eastAsia="Montserrat" w:cstheme="minorHAnsi"/>
          <w:bCs/>
          <w:color w:val="000000" w:themeColor="text1"/>
        </w:rPr>
      </w:pPr>
    </w:p>
    <w:p w14:paraId="6231D930" w14:textId="77777777" w:rsidR="00512539" w:rsidRPr="0051709F" w:rsidRDefault="00512539" w:rsidP="00512539">
      <w:pPr>
        <w:jc w:val="both"/>
        <w:rPr>
          <w:rFonts w:eastAsia="Montserrat" w:cstheme="minorHAnsi"/>
          <w:bCs/>
          <w:color w:val="000000" w:themeColor="text1"/>
        </w:rPr>
      </w:pPr>
    </w:p>
    <w:p w14:paraId="2D65E659" w14:textId="77777777" w:rsidR="00512539" w:rsidRPr="0051709F" w:rsidRDefault="00512539" w:rsidP="00512539">
      <w:pPr>
        <w:jc w:val="both"/>
        <w:rPr>
          <w:rFonts w:eastAsia="Montserrat" w:cstheme="minorHAnsi"/>
          <w:bCs/>
          <w:color w:val="000000" w:themeColor="text1"/>
        </w:rPr>
      </w:pPr>
    </w:p>
    <w:tbl>
      <w:tblPr>
        <w:tblStyle w:val="Tablaconcuadrcula"/>
        <w:tblW w:w="0" w:type="auto"/>
        <w:tblLook w:val="04A0" w:firstRow="1" w:lastRow="0" w:firstColumn="1" w:lastColumn="0" w:noHBand="0" w:noVBand="1"/>
      </w:tblPr>
      <w:tblGrid>
        <w:gridCol w:w="8488"/>
      </w:tblGrid>
      <w:tr w:rsidR="00512539" w:rsidRPr="0051709F" w14:paraId="45F73300" w14:textId="77777777" w:rsidTr="00145599">
        <w:tc>
          <w:tcPr>
            <w:tcW w:w="8488" w:type="dxa"/>
          </w:tcPr>
          <w:p w14:paraId="6B736BB0" w14:textId="77777777" w:rsidR="00512539" w:rsidRPr="0051709F" w:rsidRDefault="00512539" w:rsidP="00F16F30">
            <w:pPr>
              <w:jc w:val="center"/>
              <w:rPr>
                <w:rFonts w:eastAsia="Montserrat" w:cstheme="minorHAnsi"/>
                <w:bCs/>
                <w:color w:val="000000" w:themeColor="text1"/>
                <w:sz w:val="24"/>
                <w:szCs w:val="24"/>
              </w:rPr>
            </w:pPr>
            <w:r w:rsidRPr="0051709F">
              <w:rPr>
                <w:rFonts w:eastAsia="Montserrat" w:cstheme="minorHAnsi"/>
                <w:b/>
                <w:noProof/>
                <w:color w:val="2E74B5" w:themeColor="accent5" w:themeShade="BF"/>
                <w:lang w:val="en-GB" w:eastAsia="en-GB"/>
              </w:rPr>
              <w:lastRenderedPageBreak/>
              <w:drawing>
                <wp:inline distT="0" distB="0" distL="0" distR="0" wp14:anchorId="40C5ED09" wp14:editId="1BB54C43">
                  <wp:extent cx="4496094" cy="5828306"/>
                  <wp:effectExtent l="0" t="0" r="0" b="1270"/>
                  <wp:docPr id="681448387"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48387" name="Imagen 1" descr="Interfaz de usuario gráfica&#10;&#10;Descripción generada automáticamente con confianza baja"/>
                          <pic:cNvPicPr/>
                        </pic:nvPicPr>
                        <pic:blipFill>
                          <a:blip r:embed="rId37"/>
                          <a:stretch>
                            <a:fillRect/>
                          </a:stretch>
                        </pic:blipFill>
                        <pic:spPr>
                          <a:xfrm>
                            <a:off x="0" y="0"/>
                            <a:ext cx="4542265" cy="5888158"/>
                          </a:xfrm>
                          <a:prstGeom prst="rect">
                            <a:avLst/>
                          </a:prstGeom>
                        </pic:spPr>
                      </pic:pic>
                    </a:graphicData>
                  </a:graphic>
                </wp:inline>
              </w:drawing>
            </w:r>
          </w:p>
        </w:tc>
      </w:tr>
    </w:tbl>
    <w:p w14:paraId="37148EF6" w14:textId="77777777" w:rsidR="00697656" w:rsidRDefault="00697656" w:rsidP="00145599">
      <w:pPr>
        <w:jc w:val="center"/>
        <w:rPr>
          <w:rFonts w:eastAsia="Montserrat" w:cstheme="minorHAnsi"/>
          <w:bCs/>
          <w:i/>
          <w:iCs/>
          <w:color w:val="000000" w:themeColor="text1"/>
          <w:sz w:val="22"/>
          <w:szCs w:val="22"/>
        </w:rPr>
      </w:pPr>
    </w:p>
    <w:p w14:paraId="1B8D71F8" w14:textId="4A3D91F0" w:rsidR="003911B9" w:rsidRPr="007B667D" w:rsidRDefault="00145599" w:rsidP="00145599">
      <w:pPr>
        <w:jc w:val="center"/>
        <w:rPr>
          <w:rFonts w:cstheme="minorHAnsi"/>
          <w:i/>
          <w:iCs/>
          <w:sz w:val="22"/>
          <w:szCs w:val="22"/>
        </w:rPr>
      </w:pPr>
      <w:r w:rsidRPr="007B667D">
        <w:rPr>
          <w:rFonts w:eastAsia="Montserrat" w:cstheme="minorHAnsi"/>
          <w:bCs/>
          <w:i/>
          <w:iCs/>
          <w:color w:val="000000" w:themeColor="text1"/>
          <w:sz w:val="22"/>
          <w:szCs w:val="22"/>
        </w:rPr>
        <w:t xml:space="preserve">Figura 11. </w:t>
      </w:r>
      <w:r w:rsidRPr="007B667D">
        <w:rPr>
          <w:rFonts w:cstheme="minorHAnsi"/>
          <w:i/>
          <w:iCs/>
          <w:sz w:val="22"/>
          <w:szCs w:val="22"/>
        </w:rPr>
        <w:t>Análisis individual de cada área en España</w:t>
      </w:r>
    </w:p>
    <w:p w14:paraId="1C59EC85" w14:textId="77777777" w:rsidR="003911B9" w:rsidRPr="0051709F" w:rsidRDefault="003911B9" w:rsidP="00A80437">
      <w:pPr>
        <w:rPr>
          <w:rFonts w:cstheme="minorHAnsi"/>
        </w:rPr>
      </w:pPr>
    </w:p>
    <w:p w14:paraId="40D37159" w14:textId="77777777" w:rsidR="003911B9" w:rsidRPr="0051709F" w:rsidRDefault="003911B9" w:rsidP="00A80437">
      <w:pPr>
        <w:rPr>
          <w:rFonts w:cstheme="minorHAnsi"/>
        </w:rPr>
      </w:pPr>
    </w:p>
    <w:p w14:paraId="7A025A01" w14:textId="24DE6B29" w:rsidR="00512539" w:rsidRPr="0051709F" w:rsidRDefault="00512539" w:rsidP="00D623A5">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Conversión de las herramientas internacionales en indicadores de promoción de actividad física y deporte adaptados a las necesidades de España para desarrollar la evaluación y monitorización de su implementación</w:t>
      </w:r>
    </w:p>
    <w:p w14:paraId="4743DC63" w14:textId="77777777" w:rsidR="00512539" w:rsidRPr="0051709F" w:rsidRDefault="00512539" w:rsidP="00512539">
      <w:pPr>
        <w:jc w:val="both"/>
        <w:rPr>
          <w:rFonts w:eastAsia="Montserrat" w:cstheme="minorHAnsi"/>
          <w:b/>
          <w:bCs/>
          <w:color w:val="000000" w:themeColor="text1"/>
        </w:rPr>
      </w:pPr>
    </w:p>
    <w:p w14:paraId="116A9DE8" w14:textId="03C1CA42"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 xml:space="preserve">Sin embargo, estas herramientas necesitan un acomodo y adaptación a la realidad española, permitiendo ajustarlas a la situación actual del país, con indicadores que atiendan a la situación actual de desarrollo y cumplimiento de </w:t>
      </w:r>
      <w:r w:rsidR="00697656">
        <w:rPr>
          <w:rFonts w:eastAsia="Montserrat" w:cstheme="minorHAnsi"/>
          <w:bCs/>
          <w:color w:val="000000" w:themeColor="text1"/>
        </w:rPr>
        <w:t>nuestr</w:t>
      </w:r>
      <w:r w:rsidRPr="0051709F">
        <w:rPr>
          <w:rFonts w:eastAsia="Montserrat" w:cstheme="minorHAnsi"/>
          <w:bCs/>
          <w:color w:val="000000" w:themeColor="text1"/>
        </w:rPr>
        <w:t xml:space="preserve">as políticas de promoción de actividad física y deporte. </w:t>
      </w:r>
    </w:p>
    <w:p w14:paraId="42387BE3" w14:textId="77777777" w:rsidR="00512539" w:rsidRPr="0051709F" w:rsidRDefault="00512539" w:rsidP="00512539">
      <w:pPr>
        <w:jc w:val="both"/>
        <w:rPr>
          <w:rFonts w:eastAsia="Montserrat" w:cstheme="minorHAnsi"/>
          <w:bCs/>
          <w:color w:val="000000" w:themeColor="text1"/>
        </w:rPr>
      </w:pPr>
    </w:p>
    <w:p w14:paraId="0BF58C8F" w14:textId="3C78E898" w:rsidR="00512539" w:rsidRPr="0051709F" w:rsidRDefault="00512539" w:rsidP="00512539">
      <w:pPr>
        <w:jc w:val="both"/>
        <w:rPr>
          <w:rFonts w:eastAsia="Montserrat" w:cstheme="minorHAnsi"/>
          <w:bCs/>
          <w:color w:val="000000" w:themeColor="text1"/>
        </w:rPr>
      </w:pPr>
      <w:r w:rsidRPr="0051709F">
        <w:rPr>
          <w:rFonts w:eastAsia="Montserrat" w:cstheme="minorHAnsi"/>
          <w:bCs/>
          <w:color w:val="000000" w:themeColor="text1"/>
        </w:rPr>
        <w:t>Para ello, en los próximos apartados del documento s</w:t>
      </w:r>
      <w:r w:rsidR="00697656">
        <w:rPr>
          <w:rFonts w:eastAsia="Montserrat" w:cstheme="minorHAnsi"/>
          <w:bCs/>
          <w:color w:val="000000" w:themeColor="text1"/>
        </w:rPr>
        <w:t xml:space="preserve">e </w:t>
      </w:r>
      <w:r w:rsidR="000F691B">
        <w:rPr>
          <w:rFonts w:eastAsia="Montserrat" w:cstheme="minorHAnsi"/>
          <w:bCs/>
          <w:color w:val="000000" w:themeColor="text1"/>
        </w:rPr>
        <w:t>analizará</w:t>
      </w:r>
      <w:r w:rsidRPr="0051709F">
        <w:rPr>
          <w:rFonts w:eastAsia="Montserrat" w:cstheme="minorHAnsi"/>
          <w:bCs/>
          <w:color w:val="000000" w:themeColor="text1"/>
        </w:rPr>
        <w:t xml:space="preserve"> la situación actual del país respecto a las variables que afectan a una participación igualitaria en la actividad </w:t>
      </w:r>
      <w:r w:rsidRPr="0051709F">
        <w:rPr>
          <w:rFonts w:eastAsia="Montserrat" w:cstheme="minorHAnsi"/>
          <w:bCs/>
          <w:color w:val="000000" w:themeColor="text1"/>
        </w:rPr>
        <w:lastRenderedPageBreak/>
        <w:t xml:space="preserve">física y el deporte, en cómo el entorno nos permite ser físicamente activos, y en la escuela como gran promotor de un comportamiento activo. </w:t>
      </w:r>
    </w:p>
    <w:p w14:paraId="661DFC4D" w14:textId="77777777" w:rsidR="00512539" w:rsidRPr="0051709F" w:rsidRDefault="00512539" w:rsidP="00512539">
      <w:pPr>
        <w:jc w:val="both"/>
        <w:rPr>
          <w:rFonts w:eastAsia="Montserrat" w:cstheme="minorHAnsi"/>
          <w:bCs/>
          <w:color w:val="000000" w:themeColor="text1"/>
        </w:rPr>
      </w:pPr>
    </w:p>
    <w:p w14:paraId="0E1EA3B1" w14:textId="057FE5EA" w:rsidR="00512539" w:rsidRPr="0051709F" w:rsidRDefault="00512539" w:rsidP="00512539">
      <w:pPr>
        <w:jc w:val="both"/>
        <w:rPr>
          <w:rFonts w:eastAsia="Montserrat" w:cstheme="minorHAnsi"/>
          <w:b/>
          <w:color w:val="2E74B5" w:themeColor="accent5" w:themeShade="BF"/>
        </w:rPr>
      </w:pPr>
      <w:r w:rsidRPr="0051709F">
        <w:rPr>
          <w:rFonts w:eastAsia="Montserrat" w:cstheme="minorHAnsi"/>
          <w:bCs/>
          <w:color w:val="000000" w:themeColor="text1"/>
        </w:rPr>
        <w:t>Estos dominios generarán los indicadores que España deberá cumplir en los próximos años. Cada uno de los apartados generará unas acciones clave que permitirán establecer una relación ta</w:t>
      </w:r>
      <w:r w:rsidR="00697656">
        <w:rPr>
          <w:rFonts w:eastAsia="Montserrat" w:cstheme="minorHAnsi"/>
          <w:bCs/>
          <w:color w:val="000000" w:themeColor="text1"/>
        </w:rPr>
        <w:t>sada</w:t>
      </w:r>
      <w:r w:rsidRPr="0051709F">
        <w:rPr>
          <w:rFonts w:eastAsia="Montserrat" w:cstheme="minorHAnsi"/>
          <w:bCs/>
          <w:color w:val="000000" w:themeColor="text1"/>
        </w:rPr>
        <w:t xml:space="preserve"> de indicadores a evaluar y monitorizar en su progresión.</w:t>
      </w:r>
    </w:p>
    <w:p w14:paraId="6E5B0436" w14:textId="77777777" w:rsidR="00A80437" w:rsidRPr="0051709F" w:rsidRDefault="00A80437" w:rsidP="00512539">
      <w:pPr>
        <w:jc w:val="both"/>
        <w:rPr>
          <w:rFonts w:eastAsia="Montserrat" w:cstheme="minorHAnsi"/>
          <w:b/>
          <w:color w:val="2E74B5" w:themeColor="accent5" w:themeShade="BF"/>
        </w:rPr>
      </w:pPr>
    </w:p>
    <w:p w14:paraId="487A7127" w14:textId="77777777" w:rsidR="00512539" w:rsidRPr="0051709F" w:rsidRDefault="00512539" w:rsidP="00D623A5">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Desarrollo de una </w:t>
      </w:r>
      <w:bookmarkStart w:id="0" w:name="_Hlk140699520"/>
      <w:r w:rsidRPr="0051709F">
        <w:rPr>
          <w:rFonts w:asciiTheme="minorHAnsi" w:hAnsiTheme="minorHAnsi" w:cstheme="minorHAnsi"/>
          <w:sz w:val="24"/>
          <w:szCs w:val="24"/>
          <w:lang w:val="es-ES"/>
        </w:rPr>
        <w:t xml:space="preserve">unidad para la evaluación y monitorización de la implementación </w:t>
      </w:r>
      <w:bookmarkEnd w:id="0"/>
      <w:r w:rsidRPr="0051709F">
        <w:rPr>
          <w:rFonts w:asciiTheme="minorHAnsi" w:hAnsiTheme="minorHAnsi" w:cstheme="minorHAnsi"/>
          <w:sz w:val="24"/>
          <w:szCs w:val="24"/>
          <w:lang w:val="es-ES"/>
        </w:rPr>
        <w:t>y cumplimiento de los indicadores de promoción de actividad física y deporte</w:t>
      </w:r>
    </w:p>
    <w:p w14:paraId="1C53B352" w14:textId="77777777" w:rsidR="00512539" w:rsidRPr="0051709F" w:rsidRDefault="00512539" w:rsidP="00512539">
      <w:pPr>
        <w:rPr>
          <w:rFonts w:cstheme="minorHAnsi"/>
          <w:b/>
          <w:bCs/>
          <w:color w:val="000000" w:themeColor="text1"/>
        </w:rPr>
      </w:pPr>
    </w:p>
    <w:p w14:paraId="52131593" w14:textId="16A3FB8E" w:rsidR="00512539" w:rsidRPr="0051709F" w:rsidRDefault="00512539" w:rsidP="00512539">
      <w:pPr>
        <w:jc w:val="both"/>
        <w:rPr>
          <w:rFonts w:cstheme="minorHAnsi"/>
        </w:rPr>
      </w:pPr>
      <w:r w:rsidRPr="0051709F">
        <w:rPr>
          <w:rFonts w:cstheme="minorHAnsi"/>
        </w:rPr>
        <w:t xml:space="preserve">Una decisión importante en </w:t>
      </w:r>
      <w:r w:rsidR="00831C48">
        <w:rPr>
          <w:rFonts w:cstheme="minorHAnsi"/>
        </w:rPr>
        <w:t>la Estrategia</w:t>
      </w:r>
      <w:r w:rsidRPr="0051709F">
        <w:rPr>
          <w:rFonts w:cstheme="minorHAnsi"/>
        </w:rPr>
        <w:t xml:space="preserve"> es la definición sobre qué recursos humanos y económicos, y qué infraestructura está disponible para llevar a cabo la evaluación e implementación, de manera que este esfuerzo pueda ser sostenido en el tiempo. Debe de ser un ejercicio que permita analizar de manera autónoma la progresión en la implementación y cumplimento de los indicadores. Así, es fundamental que esta unidad para la evaluación y monitorización de la implementación cumpla con una serie de capacidades para llevarla a cabo. </w:t>
      </w:r>
    </w:p>
    <w:p w14:paraId="412F7880" w14:textId="77777777" w:rsidR="00512539" w:rsidRPr="0051709F" w:rsidRDefault="00512539" w:rsidP="00512539">
      <w:pPr>
        <w:jc w:val="both"/>
        <w:rPr>
          <w:rFonts w:cstheme="minorHAnsi"/>
        </w:rPr>
      </w:pPr>
    </w:p>
    <w:p w14:paraId="552EA702" w14:textId="77777777" w:rsidR="00512539" w:rsidRPr="0051709F" w:rsidRDefault="00512539" w:rsidP="00512539">
      <w:pPr>
        <w:jc w:val="both"/>
        <w:rPr>
          <w:rFonts w:cstheme="minorHAnsi"/>
        </w:rPr>
      </w:pPr>
      <w:r w:rsidRPr="0051709F">
        <w:rPr>
          <w:rFonts w:cstheme="minorHAnsi"/>
        </w:rPr>
        <w:t xml:space="preserve">Por un lado, es fundamental una capacidad de coordinación horizontal, con respeto a todas las agencias, secretarías o ministerios que influyen en un comportamiento activo, y que al mismo tiempo permita articular su desarrollo verticalmente, con comunidades y entidades locales. No es desdeñable la capacidad de influir en el tejido productivo del sector con el objeto de que su implicación en el desarrollo del plan sea el mayor posible. </w:t>
      </w:r>
    </w:p>
    <w:p w14:paraId="79C9CFC4" w14:textId="77777777" w:rsidR="00512539" w:rsidRPr="0051709F" w:rsidRDefault="00512539" w:rsidP="00512539">
      <w:pPr>
        <w:jc w:val="both"/>
        <w:rPr>
          <w:rFonts w:cstheme="minorHAnsi"/>
        </w:rPr>
      </w:pPr>
    </w:p>
    <w:p w14:paraId="66B82850" w14:textId="1FAC5B05" w:rsidR="00A80437" w:rsidRPr="0051709F" w:rsidRDefault="00512539" w:rsidP="00512539">
      <w:pPr>
        <w:jc w:val="both"/>
        <w:rPr>
          <w:rFonts w:cstheme="minorHAnsi"/>
        </w:rPr>
      </w:pPr>
      <w:r w:rsidRPr="0051709F">
        <w:rPr>
          <w:rFonts w:cstheme="minorHAnsi"/>
        </w:rPr>
        <w:t xml:space="preserve">Al mismo tiempo, es fundamental la capacidad de desarrollar la política o el indicador a lo largo de toda la etapa del ciclo político (desde la configuración de la agenda y formulación hasta la finalización), así como tener una visión de contexto que permita llevarla cabo con garantías y seguridad (procesos, actores y efectos). </w:t>
      </w:r>
    </w:p>
    <w:p w14:paraId="283FECF4" w14:textId="77777777" w:rsidR="00A80437" w:rsidRPr="0051709F" w:rsidRDefault="00A80437" w:rsidP="00512539">
      <w:pPr>
        <w:jc w:val="both"/>
        <w:rPr>
          <w:rFonts w:cstheme="minorHAnsi"/>
        </w:rPr>
      </w:pPr>
    </w:p>
    <w:p w14:paraId="1A38D64F" w14:textId="2BF63D3F" w:rsidR="00512539" w:rsidRPr="0051709F" w:rsidRDefault="00512539" w:rsidP="00512539">
      <w:pPr>
        <w:jc w:val="both"/>
        <w:rPr>
          <w:rStyle w:val="rynqvb"/>
          <w:rFonts w:cstheme="minorHAnsi"/>
        </w:rPr>
      </w:pPr>
      <w:r w:rsidRPr="0051709F">
        <w:rPr>
          <w:rFonts w:cstheme="minorHAnsi"/>
        </w:rPr>
        <w:t>Por último, es fundamental que esa unidad pueda disponer de mecanismos continuos de evaluación y monitorización en todo el proceso de lo que se denominó anteriormente como ciclo político</w:t>
      </w:r>
      <w:r w:rsidR="0022064C" w:rsidRPr="0051709F">
        <w:rPr>
          <w:rFonts w:cstheme="minorHAnsi"/>
        </w:rPr>
        <w:t xml:space="preserve">. Ello </w:t>
      </w:r>
      <w:r w:rsidR="00165945" w:rsidRPr="0051709F">
        <w:rPr>
          <w:rFonts w:cstheme="minorHAnsi"/>
        </w:rPr>
        <w:t>debido a</w:t>
      </w:r>
      <w:r w:rsidR="0022064C" w:rsidRPr="0051709F">
        <w:rPr>
          <w:rFonts w:cstheme="minorHAnsi"/>
        </w:rPr>
        <w:t xml:space="preserve"> que</w:t>
      </w:r>
      <w:r w:rsidRPr="0051709F">
        <w:rPr>
          <w:rFonts w:cstheme="minorHAnsi"/>
        </w:rPr>
        <w:t xml:space="preserve"> en el proceso de implementación es necesario por parte de esa unidad un esfuerzo de análisis del contexto para desarrollar i</w:t>
      </w:r>
      <w:r w:rsidRPr="0051709F">
        <w:rPr>
          <w:rStyle w:val="rynqvb"/>
          <w:rFonts w:cstheme="minorHAnsi"/>
        </w:rPr>
        <w:t>ndicadores ideales, la capacidad de recopilar información científica y técnica relevante del país y del mundo, validar esa información con funcionarios clave de diferentes ministerios y agencias, y</w:t>
      </w:r>
      <w:r w:rsidR="000F691B">
        <w:rPr>
          <w:rStyle w:val="rynqvb"/>
          <w:rFonts w:cstheme="minorHAnsi"/>
        </w:rPr>
        <w:t>,</w:t>
      </w:r>
      <w:r w:rsidRPr="0051709F">
        <w:rPr>
          <w:rStyle w:val="rynqvb"/>
          <w:rFonts w:cstheme="minorHAnsi"/>
        </w:rPr>
        <w:t xml:space="preserve"> por último</w:t>
      </w:r>
      <w:r w:rsidR="00165945">
        <w:rPr>
          <w:rStyle w:val="rynqvb"/>
          <w:rFonts w:cstheme="minorHAnsi"/>
        </w:rPr>
        <w:t>,</w:t>
      </w:r>
      <w:r w:rsidRPr="0051709F">
        <w:rPr>
          <w:rStyle w:val="rynqvb"/>
          <w:rFonts w:cstheme="minorHAnsi"/>
        </w:rPr>
        <w:t xml:space="preserve"> evaluar el grado de implementación de los indicadores diseñados. </w:t>
      </w:r>
    </w:p>
    <w:p w14:paraId="11826001" w14:textId="77777777" w:rsidR="00512539" w:rsidRPr="0051709F" w:rsidRDefault="00512539" w:rsidP="00512539">
      <w:pPr>
        <w:jc w:val="both"/>
        <w:rPr>
          <w:rStyle w:val="rynqvb"/>
          <w:rFonts w:cstheme="minorHAnsi"/>
        </w:rPr>
      </w:pPr>
    </w:p>
    <w:p w14:paraId="51A9CEE5" w14:textId="7D892EC7" w:rsidR="00DF3DF5" w:rsidRPr="0051709F" w:rsidRDefault="00512539" w:rsidP="00512539">
      <w:pPr>
        <w:jc w:val="both"/>
        <w:rPr>
          <w:rStyle w:val="rynqvb"/>
          <w:rFonts w:cstheme="minorHAnsi"/>
        </w:rPr>
      </w:pPr>
      <w:r w:rsidRPr="0051709F">
        <w:rPr>
          <w:rStyle w:val="rynqvb"/>
          <w:rFonts w:cstheme="minorHAnsi"/>
        </w:rPr>
        <w:t>Una vez ponderada, sumada y calculada la implementación de las políticas, es necesario cualificar y recomendar acciones basadas en mejoras, objetivos, criterios de importancia, factibilidad y equidad dentro de la acción política.</w:t>
      </w:r>
      <w:r w:rsidR="00DF3DF5" w:rsidRPr="0051709F">
        <w:rPr>
          <w:rStyle w:val="rynqvb"/>
          <w:rFonts w:cstheme="minorHAnsi"/>
        </w:rPr>
        <w:br w:type="page"/>
      </w:r>
    </w:p>
    <w:p w14:paraId="11854D04" w14:textId="77777777" w:rsidR="00CF340C" w:rsidRDefault="00CF340C" w:rsidP="0088331D">
      <w:pPr>
        <w:pStyle w:val="Ttulo1"/>
        <w:jc w:val="both"/>
        <w:rPr>
          <w:rFonts w:asciiTheme="minorHAnsi" w:hAnsiTheme="minorHAnsi" w:cstheme="minorHAnsi"/>
          <w:sz w:val="28"/>
          <w:szCs w:val="28"/>
        </w:rPr>
      </w:pPr>
    </w:p>
    <w:p w14:paraId="088D1917" w14:textId="77777777" w:rsidR="00CF340C" w:rsidRDefault="00CF340C" w:rsidP="0088331D">
      <w:pPr>
        <w:pStyle w:val="Ttulo1"/>
        <w:jc w:val="both"/>
        <w:rPr>
          <w:rFonts w:asciiTheme="minorHAnsi" w:hAnsiTheme="minorHAnsi" w:cstheme="minorHAnsi"/>
          <w:sz w:val="28"/>
          <w:szCs w:val="28"/>
        </w:rPr>
      </w:pPr>
    </w:p>
    <w:p w14:paraId="60B718AD" w14:textId="77777777" w:rsidR="00CF340C" w:rsidRDefault="00CF340C" w:rsidP="0088331D">
      <w:pPr>
        <w:pStyle w:val="Ttulo1"/>
        <w:jc w:val="both"/>
        <w:rPr>
          <w:rFonts w:asciiTheme="minorHAnsi" w:hAnsiTheme="minorHAnsi" w:cstheme="minorHAnsi"/>
          <w:sz w:val="28"/>
          <w:szCs w:val="28"/>
        </w:rPr>
      </w:pPr>
    </w:p>
    <w:p w14:paraId="406DFCD7" w14:textId="77777777" w:rsidR="00CF340C" w:rsidRDefault="00CF340C" w:rsidP="0088331D">
      <w:pPr>
        <w:pStyle w:val="Ttulo1"/>
        <w:jc w:val="both"/>
        <w:rPr>
          <w:rFonts w:asciiTheme="minorHAnsi" w:hAnsiTheme="minorHAnsi" w:cstheme="minorHAnsi"/>
          <w:sz w:val="28"/>
          <w:szCs w:val="28"/>
        </w:rPr>
      </w:pPr>
    </w:p>
    <w:p w14:paraId="7712EEE1" w14:textId="77777777" w:rsidR="00CF340C" w:rsidRDefault="00CF340C" w:rsidP="0088331D">
      <w:pPr>
        <w:pStyle w:val="Ttulo1"/>
        <w:jc w:val="both"/>
        <w:rPr>
          <w:rFonts w:asciiTheme="minorHAnsi" w:hAnsiTheme="minorHAnsi" w:cstheme="minorHAnsi"/>
          <w:sz w:val="28"/>
          <w:szCs w:val="28"/>
        </w:rPr>
      </w:pPr>
    </w:p>
    <w:p w14:paraId="7128E7DA" w14:textId="77777777" w:rsidR="00CF340C" w:rsidRDefault="00CF340C" w:rsidP="0088331D">
      <w:pPr>
        <w:pStyle w:val="Ttulo1"/>
        <w:jc w:val="both"/>
        <w:rPr>
          <w:rFonts w:asciiTheme="minorHAnsi" w:hAnsiTheme="minorHAnsi" w:cstheme="minorHAnsi"/>
          <w:sz w:val="28"/>
          <w:szCs w:val="28"/>
        </w:rPr>
      </w:pPr>
    </w:p>
    <w:p w14:paraId="232E61E0" w14:textId="77777777" w:rsidR="00CF340C" w:rsidRDefault="00CF340C" w:rsidP="0088331D">
      <w:pPr>
        <w:pStyle w:val="Ttulo1"/>
        <w:jc w:val="both"/>
        <w:rPr>
          <w:rFonts w:asciiTheme="minorHAnsi" w:hAnsiTheme="minorHAnsi" w:cstheme="minorHAnsi"/>
          <w:sz w:val="28"/>
          <w:szCs w:val="28"/>
        </w:rPr>
      </w:pPr>
    </w:p>
    <w:p w14:paraId="176E5F19" w14:textId="77777777" w:rsidR="00CF340C" w:rsidRDefault="00CF340C" w:rsidP="0088331D">
      <w:pPr>
        <w:pStyle w:val="Ttulo1"/>
        <w:jc w:val="both"/>
        <w:rPr>
          <w:rFonts w:asciiTheme="minorHAnsi" w:hAnsiTheme="minorHAnsi" w:cstheme="minorHAnsi"/>
          <w:sz w:val="28"/>
          <w:szCs w:val="28"/>
        </w:rPr>
      </w:pPr>
    </w:p>
    <w:p w14:paraId="2825EED5" w14:textId="77777777" w:rsidR="00CF340C" w:rsidRDefault="00CF340C" w:rsidP="0088331D">
      <w:pPr>
        <w:pStyle w:val="Ttulo1"/>
        <w:jc w:val="both"/>
        <w:rPr>
          <w:rFonts w:asciiTheme="minorHAnsi" w:hAnsiTheme="minorHAnsi" w:cstheme="minorHAnsi"/>
          <w:sz w:val="28"/>
          <w:szCs w:val="28"/>
        </w:rPr>
      </w:pPr>
    </w:p>
    <w:p w14:paraId="35F56BD8" w14:textId="77777777" w:rsidR="00CF340C" w:rsidRDefault="00CF340C" w:rsidP="0088331D">
      <w:pPr>
        <w:pStyle w:val="Ttulo1"/>
        <w:jc w:val="both"/>
        <w:rPr>
          <w:rFonts w:asciiTheme="minorHAnsi" w:hAnsiTheme="minorHAnsi" w:cstheme="minorHAnsi"/>
          <w:sz w:val="28"/>
          <w:szCs w:val="28"/>
        </w:rPr>
      </w:pPr>
    </w:p>
    <w:p w14:paraId="147A5862" w14:textId="77777777" w:rsidR="00CF340C" w:rsidRDefault="00CF340C" w:rsidP="0088331D">
      <w:pPr>
        <w:pStyle w:val="Ttulo1"/>
        <w:jc w:val="both"/>
        <w:rPr>
          <w:rFonts w:asciiTheme="minorHAnsi" w:hAnsiTheme="minorHAnsi" w:cstheme="minorHAnsi"/>
          <w:sz w:val="28"/>
          <w:szCs w:val="28"/>
        </w:rPr>
      </w:pPr>
    </w:p>
    <w:p w14:paraId="12EA0962" w14:textId="77777777" w:rsidR="00CF340C" w:rsidRDefault="00CF340C" w:rsidP="0088331D">
      <w:pPr>
        <w:pStyle w:val="Ttulo1"/>
        <w:jc w:val="both"/>
        <w:rPr>
          <w:rFonts w:asciiTheme="minorHAnsi" w:hAnsiTheme="minorHAnsi" w:cstheme="minorHAnsi"/>
          <w:sz w:val="28"/>
          <w:szCs w:val="28"/>
        </w:rPr>
      </w:pPr>
    </w:p>
    <w:p w14:paraId="5225ABD9" w14:textId="77777777" w:rsidR="00CF340C" w:rsidRDefault="00CF340C" w:rsidP="00CF340C"/>
    <w:p w14:paraId="1B7ED49D" w14:textId="77777777" w:rsidR="00CF340C" w:rsidRDefault="00CF340C" w:rsidP="00CF340C"/>
    <w:p w14:paraId="404273A1" w14:textId="77777777" w:rsidR="00CF340C" w:rsidRPr="00CF340C" w:rsidRDefault="00CF340C" w:rsidP="00CF340C"/>
    <w:p w14:paraId="6D5064C2" w14:textId="30DCE1B7" w:rsidR="00CF340C" w:rsidRPr="00CF340C" w:rsidRDefault="00CF340C" w:rsidP="00CF340C">
      <w:pPr>
        <w:pStyle w:val="Ttulo1"/>
        <w:jc w:val="right"/>
        <w:rPr>
          <w:rFonts w:asciiTheme="minorHAnsi" w:hAnsiTheme="minorHAnsi" w:cstheme="minorHAnsi"/>
        </w:rPr>
      </w:pPr>
      <w:r w:rsidRPr="00CF340C">
        <w:rPr>
          <w:rFonts w:asciiTheme="minorHAnsi" w:hAnsiTheme="minorHAnsi" w:cstheme="minorHAnsi"/>
        </w:rPr>
        <w:t>#</w:t>
      </w:r>
      <w:r w:rsidR="009C7738">
        <w:rPr>
          <w:rFonts w:asciiTheme="minorHAnsi" w:hAnsiTheme="minorHAnsi" w:cstheme="minorHAnsi"/>
        </w:rPr>
        <w:t>5</w:t>
      </w:r>
      <w:r w:rsidRPr="00CF340C">
        <w:rPr>
          <w:rFonts w:asciiTheme="minorHAnsi" w:hAnsiTheme="minorHAnsi" w:cstheme="minorHAnsi"/>
        </w:rPr>
        <w:t>.</w:t>
      </w:r>
      <w:r w:rsidR="009C7738">
        <w:rPr>
          <w:rFonts w:asciiTheme="minorHAnsi" w:hAnsiTheme="minorHAnsi" w:cstheme="minorHAnsi"/>
        </w:rPr>
        <w:t>2</w:t>
      </w:r>
      <w:r w:rsidRPr="00CF340C">
        <w:rPr>
          <w:rFonts w:asciiTheme="minorHAnsi" w:hAnsiTheme="minorHAnsi" w:cstheme="minorHAnsi"/>
        </w:rPr>
        <w:t xml:space="preserve"> Área de acción 1: </w:t>
      </w:r>
    </w:p>
    <w:p w14:paraId="412E7014" w14:textId="77777777" w:rsidR="00CF340C" w:rsidRDefault="00CF340C" w:rsidP="00CF340C">
      <w:pPr>
        <w:pStyle w:val="Ttulo1"/>
        <w:jc w:val="right"/>
        <w:rPr>
          <w:rFonts w:asciiTheme="minorHAnsi" w:hAnsiTheme="minorHAnsi" w:cstheme="minorHAnsi"/>
        </w:rPr>
      </w:pPr>
      <w:r w:rsidRPr="00CF340C">
        <w:rPr>
          <w:rFonts w:asciiTheme="minorHAnsi" w:hAnsiTheme="minorHAnsi" w:cstheme="minorHAnsi"/>
        </w:rPr>
        <w:t xml:space="preserve">Intervenciones en el contexto escolar: </w:t>
      </w:r>
    </w:p>
    <w:p w14:paraId="51AA61EC" w14:textId="51FBBA7F" w:rsidR="00CF340C" w:rsidRPr="00CF340C" w:rsidRDefault="00CF340C" w:rsidP="00CF340C">
      <w:pPr>
        <w:pStyle w:val="Ttulo1"/>
        <w:jc w:val="right"/>
        <w:rPr>
          <w:rFonts w:asciiTheme="minorHAnsi" w:hAnsiTheme="minorHAnsi" w:cstheme="minorHAnsi"/>
        </w:rPr>
      </w:pPr>
      <w:r w:rsidRPr="00CF340C">
        <w:rPr>
          <w:rFonts w:asciiTheme="minorHAnsi" w:hAnsiTheme="minorHAnsi" w:cstheme="minorHAnsi"/>
        </w:rPr>
        <w:t xml:space="preserve">Niños y jóvenes </w:t>
      </w:r>
    </w:p>
    <w:p w14:paraId="5D20C430" w14:textId="77777777" w:rsidR="00CF340C" w:rsidRDefault="00CF340C" w:rsidP="0088331D">
      <w:pPr>
        <w:pStyle w:val="Ttulo1"/>
        <w:jc w:val="both"/>
        <w:rPr>
          <w:rFonts w:asciiTheme="minorHAnsi" w:hAnsiTheme="minorHAnsi" w:cstheme="minorHAnsi"/>
          <w:sz w:val="28"/>
          <w:szCs w:val="28"/>
        </w:rPr>
      </w:pPr>
    </w:p>
    <w:p w14:paraId="785AE259" w14:textId="77777777" w:rsidR="00CF340C" w:rsidRDefault="00CF340C" w:rsidP="0088331D">
      <w:pPr>
        <w:pStyle w:val="Ttulo1"/>
        <w:jc w:val="both"/>
        <w:rPr>
          <w:rFonts w:asciiTheme="minorHAnsi" w:hAnsiTheme="minorHAnsi" w:cstheme="minorHAnsi"/>
          <w:sz w:val="28"/>
          <w:szCs w:val="28"/>
        </w:rPr>
      </w:pPr>
    </w:p>
    <w:p w14:paraId="432AD709" w14:textId="77777777" w:rsidR="00CF340C" w:rsidRDefault="00CF340C" w:rsidP="00CF340C"/>
    <w:p w14:paraId="50156642" w14:textId="77777777" w:rsidR="00CF340C" w:rsidRDefault="00CF340C" w:rsidP="00CF340C"/>
    <w:p w14:paraId="1B528EAF" w14:textId="77777777" w:rsidR="00CF340C" w:rsidRDefault="00CF340C" w:rsidP="00CF340C"/>
    <w:p w14:paraId="1A97BDE9" w14:textId="77777777" w:rsidR="00CF340C" w:rsidRDefault="00CF340C" w:rsidP="00CF340C"/>
    <w:p w14:paraId="7A586115" w14:textId="77777777" w:rsidR="00CF340C" w:rsidRDefault="00CF340C" w:rsidP="00CF340C"/>
    <w:p w14:paraId="01D46ACA" w14:textId="77777777" w:rsidR="00CF340C" w:rsidRDefault="00CF340C" w:rsidP="00CF340C"/>
    <w:p w14:paraId="2FC05CD6" w14:textId="77777777" w:rsidR="00CF340C" w:rsidRDefault="00CF340C" w:rsidP="00CF340C"/>
    <w:p w14:paraId="46AA7615" w14:textId="77777777" w:rsidR="00CF340C" w:rsidRDefault="00CF340C" w:rsidP="00CF340C"/>
    <w:p w14:paraId="30275CFA" w14:textId="77777777" w:rsidR="00CF340C" w:rsidRDefault="00CF340C" w:rsidP="00CF340C"/>
    <w:p w14:paraId="719FC4EC" w14:textId="77777777" w:rsidR="00CF340C" w:rsidRDefault="00CF340C" w:rsidP="00CF340C"/>
    <w:p w14:paraId="1017318A" w14:textId="77777777" w:rsidR="00CF340C" w:rsidRDefault="00CF340C" w:rsidP="00CF340C"/>
    <w:p w14:paraId="3E06A613" w14:textId="77777777" w:rsidR="00CF340C" w:rsidRPr="00CF340C" w:rsidRDefault="00CF340C" w:rsidP="00CF340C"/>
    <w:p w14:paraId="6339496C" w14:textId="670F232B" w:rsidR="00380C49" w:rsidRPr="0088331D" w:rsidRDefault="00380C49" w:rsidP="0088331D">
      <w:pPr>
        <w:pStyle w:val="Ttulo1"/>
        <w:jc w:val="both"/>
        <w:rPr>
          <w:rFonts w:asciiTheme="minorHAnsi" w:hAnsiTheme="minorHAnsi" w:cstheme="minorHAnsi"/>
          <w:sz w:val="28"/>
          <w:szCs w:val="28"/>
        </w:rPr>
      </w:pPr>
      <w:r w:rsidRPr="0088331D">
        <w:rPr>
          <w:rFonts w:asciiTheme="minorHAnsi" w:hAnsiTheme="minorHAnsi" w:cstheme="minorHAnsi"/>
          <w:sz w:val="28"/>
          <w:szCs w:val="28"/>
        </w:rPr>
        <w:t>#</w:t>
      </w:r>
      <w:r w:rsidR="009C7738">
        <w:rPr>
          <w:rFonts w:asciiTheme="minorHAnsi" w:hAnsiTheme="minorHAnsi" w:cstheme="minorHAnsi"/>
          <w:sz w:val="28"/>
          <w:szCs w:val="28"/>
        </w:rPr>
        <w:t>5</w:t>
      </w:r>
      <w:r w:rsidRPr="0088331D">
        <w:rPr>
          <w:rFonts w:asciiTheme="minorHAnsi" w:hAnsiTheme="minorHAnsi" w:cstheme="minorHAnsi"/>
          <w:sz w:val="28"/>
          <w:szCs w:val="28"/>
        </w:rPr>
        <w:t>.</w:t>
      </w:r>
      <w:r w:rsidR="009C7738">
        <w:rPr>
          <w:rFonts w:asciiTheme="minorHAnsi" w:hAnsiTheme="minorHAnsi" w:cstheme="minorHAnsi"/>
          <w:sz w:val="28"/>
          <w:szCs w:val="28"/>
        </w:rPr>
        <w:t>2</w:t>
      </w:r>
      <w:r w:rsidRPr="0088331D">
        <w:rPr>
          <w:rFonts w:asciiTheme="minorHAnsi" w:hAnsiTheme="minorHAnsi" w:cstheme="minorHAnsi"/>
          <w:sz w:val="28"/>
          <w:szCs w:val="28"/>
        </w:rPr>
        <w:t xml:space="preserve"> Área de acción </w:t>
      </w:r>
      <w:r w:rsidR="00612BBC" w:rsidRPr="0088331D">
        <w:rPr>
          <w:rFonts w:asciiTheme="minorHAnsi" w:hAnsiTheme="minorHAnsi" w:cstheme="minorHAnsi"/>
          <w:sz w:val="28"/>
          <w:szCs w:val="28"/>
        </w:rPr>
        <w:t>1</w:t>
      </w:r>
      <w:r w:rsidRPr="0088331D">
        <w:rPr>
          <w:rFonts w:asciiTheme="minorHAnsi" w:hAnsiTheme="minorHAnsi" w:cstheme="minorHAnsi"/>
          <w:sz w:val="28"/>
          <w:szCs w:val="28"/>
        </w:rPr>
        <w:t xml:space="preserve">: Intervenciones en el contexto escolar: Niños y jóvenes </w:t>
      </w:r>
    </w:p>
    <w:p w14:paraId="4616D7E2" w14:textId="77777777" w:rsidR="007B102F" w:rsidRPr="0051709F" w:rsidRDefault="007B102F" w:rsidP="007B102F">
      <w:pPr>
        <w:rPr>
          <w:rFonts w:cstheme="minorHAnsi"/>
          <w:lang w:val="es-ES_tradnl"/>
        </w:rPr>
      </w:pPr>
    </w:p>
    <w:p w14:paraId="405B4D9D" w14:textId="754A8009" w:rsidR="007B102F" w:rsidRPr="0051709F" w:rsidRDefault="007B102F" w:rsidP="00DF3DF5">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Reto de la inactividad física y el sedentarismo en la escuela</w:t>
      </w:r>
    </w:p>
    <w:p w14:paraId="09BD66B1" w14:textId="77777777" w:rsidR="007B102F" w:rsidRPr="0051709F" w:rsidRDefault="007B102F" w:rsidP="007B102F">
      <w:pPr>
        <w:shd w:val="clear" w:color="auto" w:fill="FFFFFF"/>
        <w:jc w:val="both"/>
        <w:rPr>
          <w:rFonts w:eastAsia="Times New Roman" w:cstheme="minorHAnsi"/>
          <w:lang w:eastAsia="es-ES"/>
        </w:rPr>
      </w:pPr>
    </w:p>
    <w:p w14:paraId="421941EF" w14:textId="366A60B6" w:rsidR="007B102F" w:rsidRPr="003C226E" w:rsidRDefault="007B102F" w:rsidP="007B102F">
      <w:pPr>
        <w:jc w:val="both"/>
        <w:rPr>
          <w:rFonts w:eastAsia="Times New Roman" w:cstheme="minorHAnsi"/>
          <w:color w:val="70AD47" w:themeColor="accent6"/>
          <w:lang w:eastAsia="es-ES"/>
        </w:rPr>
      </w:pPr>
      <w:r w:rsidRPr="0051709F">
        <w:rPr>
          <w:rFonts w:eastAsia="Times New Roman" w:cstheme="minorHAnsi"/>
          <w:lang w:eastAsia="es-ES"/>
        </w:rPr>
        <w:t>En los últimos años, los comportamientos sedentarios están alcanzando unos límites preocupantes e inaceptables que afectan a las personas desde la infancia hasta su madurez. Así pues, un porcentaje importante de niños y adolescentes no cumple con las recomendaciones de actividad física regular (</w:t>
      </w:r>
      <w:proofErr w:type="spellStart"/>
      <w:r w:rsidRPr="0051709F">
        <w:rPr>
          <w:rFonts w:eastAsia="Times New Roman" w:cstheme="minorHAnsi"/>
          <w:lang w:eastAsia="es-ES"/>
        </w:rPr>
        <w:t>Trost</w:t>
      </w:r>
      <w:proofErr w:type="spellEnd"/>
      <w:r w:rsidRPr="0051709F">
        <w:rPr>
          <w:rFonts w:eastAsia="Times New Roman" w:cstheme="minorHAnsi"/>
          <w:lang w:eastAsia="es-ES"/>
        </w:rPr>
        <w:t xml:space="preserve"> </w:t>
      </w:r>
      <w:r w:rsidR="000B6D22" w:rsidRPr="0051709F">
        <w:rPr>
          <w:rFonts w:eastAsia="Times New Roman" w:cstheme="minorHAnsi"/>
          <w:lang w:eastAsia="es-ES"/>
        </w:rPr>
        <w:t>y</w:t>
      </w:r>
      <w:r w:rsidRPr="0051709F">
        <w:rPr>
          <w:rFonts w:eastAsia="Times New Roman" w:cstheme="minorHAnsi"/>
          <w:lang w:eastAsia="es-ES"/>
        </w:rPr>
        <w:t xml:space="preserve"> </w:t>
      </w:r>
      <w:proofErr w:type="spellStart"/>
      <w:r w:rsidRPr="0051709F">
        <w:rPr>
          <w:rFonts w:eastAsia="Times New Roman" w:cstheme="minorHAnsi"/>
          <w:lang w:eastAsia="es-ES"/>
        </w:rPr>
        <w:t>Loprinzi</w:t>
      </w:r>
      <w:proofErr w:type="spellEnd"/>
      <w:r w:rsidRPr="0051709F">
        <w:rPr>
          <w:rFonts w:eastAsia="Times New Roman" w:cstheme="minorHAnsi"/>
          <w:lang w:eastAsia="es-ES"/>
        </w:rPr>
        <w:t xml:space="preserve">, 2008). La inactividad física se convierte en uno de los cuatro principales riesgos para la salud a nivel </w:t>
      </w:r>
      <w:r w:rsidRPr="00846783">
        <w:rPr>
          <w:rFonts w:eastAsia="Times New Roman" w:cstheme="minorHAnsi"/>
          <w:lang w:eastAsia="es-ES"/>
        </w:rPr>
        <w:t>mundial (</w:t>
      </w:r>
      <w:proofErr w:type="spellStart"/>
      <w:r w:rsidR="00191CD8" w:rsidRPr="00846783">
        <w:rPr>
          <w:rFonts w:eastAsia="Times New Roman" w:cstheme="minorHAnsi"/>
          <w:lang w:eastAsia="es-ES"/>
        </w:rPr>
        <w:t>World</w:t>
      </w:r>
      <w:proofErr w:type="spellEnd"/>
      <w:r w:rsidR="00191CD8" w:rsidRPr="00846783">
        <w:rPr>
          <w:rFonts w:eastAsia="Times New Roman" w:cstheme="minorHAnsi"/>
          <w:lang w:eastAsia="es-ES"/>
        </w:rPr>
        <w:t xml:space="preserve"> </w:t>
      </w:r>
      <w:proofErr w:type="spellStart"/>
      <w:r w:rsidR="00191CD8" w:rsidRPr="00846783">
        <w:rPr>
          <w:rFonts w:eastAsia="Times New Roman" w:cstheme="minorHAnsi"/>
          <w:lang w:eastAsia="es-ES"/>
        </w:rPr>
        <w:t>Health</w:t>
      </w:r>
      <w:proofErr w:type="spellEnd"/>
      <w:r w:rsidR="00191CD8" w:rsidRPr="00846783">
        <w:rPr>
          <w:rFonts w:eastAsia="Times New Roman" w:cstheme="minorHAnsi"/>
          <w:lang w:eastAsia="es-ES"/>
        </w:rPr>
        <w:t xml:space="preserve"> </w:t>
      </w:r>
      <w:proofErr w:type="spellStart"/>
      <w:r w:rsidR="00191CD8" w:rsidRPr="00846783">
        <w:rPr>
          <w:rFonts w:eastAsia="Times New Roman" w:cstheme="minorHAnsi"/>
          <w:lang w:eastAsia="es-ES"/>
        </w:rPr>
        <w:t>Organization</w:t>
      </w:r>
      <w:proofErr w:type="spellEnd"/>
      <w:r w:rsidR="00846783" w:rsidRPr="00846783">
        <w:rPr>
          <w:rFonts w:eastAsia="Times New Roman" w:cstheme="minorHAnsi"/>
          <w:lang w:eastAsia="es-ES"/>
        </w:rPr>
        <w:t>, 2010</w:t>
      </w:r>
      <w:r w:rsidRPr="00846783">
        <w:rPr>
          <w:rFonts w:eastAsia="Times New Roman" w:cstheme="minorHAnsi"/>
          <w:lang w:eastAsia="es-ES"/>
        </w:rPr>
        <w:t>) por la carga de morbilidad y la reducción de la esperanza</w:t>
      </w:r>
      <w:r w:rsidRPr="0051709F">
        <w:rPr>
          <w:rFonts w:eastAsia="Times New Roman" w:cstheme="minorHAnsi"/>
          <w:lang w:eastAsia="es-ES"/>
        </w:rPr>
        <w:t xml:space="preserve"> de vida (Lee et al., 2012). </w:t>
      </w:r>
    </w:p>
    <w:p w14:paraId="5E03390D" w14:textId="77777777" w:rsidR="007B102F" w:rsidRPr="0051709F" w:rsidRDefault="007B102F" w:rsidP="007B102F">
      <w:pPr>
        <w:jc w:val="both"/>
        <w:rPr>
          <w:rFonts w:eastAsia="Times New Roman" w:cstheme="minorHAnsi"/>
          <w:lang w:eastAsia="es-ES"/>
        </w:rPr>
      </w:pPr>
    </w:p>
    <w:p w14:paraId="3CB08FA6" w14:textId="2098586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Los beneficios sustanciales para la salud están bien documentados para los niños que son más activos y realizan mayores volúmenes </w:t>
      </w:r>
      <w:r w:rsidRPr="00846783">
        <w:rPr>
          <w:rFonts w:eastAsia="Times New Roman" w:cstheme="minorHAnsi"/>
          <w:lang w:eastAsia="es-ES"/>
        </w:rPr>
        <w:t xml:space="preserve">e intensidades de actividad física (Janssen </w:t>
      </w:r>
      <w:r w:rsidR="00846783" w:rsidRPr="00846783">
        <w:rPr>
          <w:rFonts w:eastAsia="Times New Roman" w:cstheme="minorHAnsi"/>
          <w:lang w:eastAsia="es-ES"/>
        </w:rPr>
        <w:t>&amp;</w:t>
      </w:r>
      <w:r w:rsidRPr="00846783">
        <w:rPr>
          <w:rFonts w:eastAsia="Times New Roman" w:cstheme="minorHAnsi"/>
          <w:lang w:eastAsia="es-ES"/>
        </w:rPr>
        <w:t xml:space="preserve"> Leblanc, 2010). Dado que un estilo de vida físicamente</w:t>
      </w:r>
      <w:r w:rsidRPr="0051709F">
        <w:rPr>
          <w:rFonts w:eastAsia="Times New Roman" w:cstheme="minorHAnsi"/>
          <w:lang w:eastAsia="es-ES"/>
        </w:rPr>
        <w:t xml:space="preserve"> activo comienza a desarrollarse en la primera infancia y sigue hasta la edad adulta, la promoción de la actividad física durante la infancia es de fundamental importancia para el estado de salud actual y futuro (</w:t>
      </w:r>
      <w:proofErr w:type="spellStart"/>
      <w:r w:rsidRPr="0051709F">
        <w:rPr>
          <w:rFonts w:eastAsia="Times New Roman" w:cstheme="minorHAnsi"/>
          <w:lang w:eastAsia="es-ES"/>
        </w:rPr>
        <w:t>Telama</w:t>
      </w:r>
      <w:proofErr w:type="spellEnd"/>
      <w:r w:rsidRPr="0051709F">
        <w:rPr>
          <w:rFonts w:eastAsia="Times New Roman" w:cstheme="minorHAnsi"/>
          <w:lang w:eastAsia="es-ES"/>
        </w:rPr>
        <w:t>, 2009). Las escuelas se han destacado como escenarios clave para la promoción de la salud, ya que los niños pasan muchas de sus horas de vigilia en la escuela (</w:t>
      </w:r>
      <w:proofErr w:type="spellStart"/>
      <w:r w:rsidRPr="0051709F">
        <w:rPr>
          <w:rFonts w:eastAsia="Times New Roman" w:cstheme="minorHAnsi"/>
          <w:lang w:eastAsia="es-ES"/>
        </w:rPr>
        <w:t>Messing</w:t>
      </w:r>
      <w:proofErr w:type="spellEnd"/>
      <w:r w:rsidRPr="0051709F">
        <w:rPr>
          <w:rFonts w:eastAsia="Times New Roman" w:cstheme="minorHAnsi"/>
          <w:lang w:eastAsia="es-ES"/>
        </w:rPr>
        <w:t xml:space="preserve"> et al., 2019). </w:t>
      </w:r>
    </w:p>
    <w:p w14:paraId="5C83AAAB" w14:textId="77777777" w:rsidR="007B102F" w:rsidRPr="0051709F" w:rsidRDefault="007B102F" w:rsidP="007B102F">
      <w:pPr>
        <w:shd w:val="clear" w:color="auto" w:fill="FFFFFF"/>
        <w:jc w:val="both"/>
        <w:rPr>
          <w:rFonts w:eastAsia="Times New Roman" w:cstheme="minorHAnsi"/>
          <w:lang w:eastAsia="es-ES"/>
        </w:rPr>
      </w:pPr>
    </w:p>
    <w:p w14:paraId="42375A62" w14:textId="0F834773" w:rsidR="007B102F" w:rsidRPr="0051709F" w:rsidRDefault="007B102F" w:rsidP="007B102F">
      <w:pPr>
        <w:jc w:val="both"/>
        <w:rPr>
          <w:rFonts w:eastAsia="Times New Roman" w:cstheme="minorHAnsi"/>
          <w:lang w:eastAsia="es-ES"/>
        </w:rPr>
      </w:pPr>
      <w:r w:rsidRPr="0051709F">
        <w:rPr>
          <w:rFonts w:eastAsia="Times New Roman" w:cstheme="minorHAnsi"/>
          <w:lang w:eastAsia="es-ES"/>
        </w:rPr>
        <w:t>A la luz de las numerosas evidencias, la actividad física se erige como una herramienta importante de prevención</w:t>
      </w:r>
      <w:r w:rsidR="00165945">
        <w:rPr>
          <w:rFonts w:eastAsia="Times New Roman" w:cstheme="minorHAnsi"/>
          <w:lang w:eastAsia="es-ES"/>
        </w:rPr>
        <w:t xml:space="preserve"> de enfermedades</w:t>
      </w:r>
      <w:r w:rsidRPr="0051709F">
        <w:rPr>
          <w:rFonts w:eastAsia="Times New Roman" w:cstheme="minorHAnsi"/>
          <w:lang w:eastAsia="es-ES"/>
        </w:rPr>
        <w:t xml:space="preserve"> al contar con un número considerable de investigaciones que ponen de relieve los beneficios que tiene su práctica para la persona. La educación física debe estar en el centro y conducir los esfuerzos de las escuelas para promover la actividad física. Se dan varias razones para esto, que se centran en general en el objetivo, la naturaleza y las responsabilidades únic</w:t>
      </w:r>
      <w:r w:rsidR="00165945">
        <w:rPr>
          <w:rFonts w:eastAsia="Times New Roman" w:cstheme="minorHAnsi"/>
          <w:lang w:eastAsia="es-ES"/>
        </w:rPr>
        <w:t>a</w:t>
      </w:r>
      <w:r w:rsidRPr="0051709F">
        <w:rPr>
          <w:rFonts w:eastAsia="Times New Roman" w:cstheme="minorHAnsi"/>
          <w:lang w:eastAsia="es-ES"/>
        </w:rPr>
        <w:t xml:space="preserve">s del ser humano con respecto a la promoción de estilos de vida físicamente activos y el aprendizaje relacionado con la salud. </w:t>
      </w:r>
    </w:p>
    <w:p w14:paraId="60932988" w14:textId="77777777" w:rsidR="007B102F" w:rsidRPr="0051709F" w:rsidRDefault="007B102F" w:rsidP="007B102F">
      <w:pPr>
        <w:jc w:val="both"/>
        <w:rPr>
          <w:rFonts w:eastAsia="Times New Roman" w:cstheme="minorHAnsi"/>
          <w:lang w:eastAsia="es-ES"/>
        </w:rPr>
      </w:pPr>
    </w:p>
    <w:p w14:paraId="08AD2EA3" w14:textId="7A107438"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Este y otros objetivos </w:t>
      </w:r>
      <w:r w:rsidR="00165945" w:rsidRPr="0051709F">
        <w:rPr>
          <w:rFonts w:eastAsia="Times New Roman" w:cstheme="minorHAnsi"/>
          <w:lang w:eastAsia="es-ES"/>
        </w:rPr>
        <w:t>similares</w:t>
      </w:r>
      <w:r w:rsidRPr="0051709F">
        <w:rPr>
          <w:rFonts w:eastAsia="Times New Roman" w:cstheme="minorHAnsi"/>
          <w:lang w:eastAsia="es-ES"/>
        </w:rPr>
        <w:t xml:space="preserve"> adquieren una importancia singular en edad escolar, al tratarse de una etapa sensible para la formación de actitudes positivas hacia un estilo de vida activo y, al mismo tiempo, por la marcada disminución de ejercicio que tiene lugar en la adolescencia (</w:t>
      </w:r>
      <w:proofErr w:type="spellStart"/>
      <w:r w:rsidRPr="0051709F">
        <w:rPr>
          <w:rFonts w:eastAsia="Times New Roman" w:cstheme="minorHAnsi"/>
          <w:lang w:eastAsia="es-ES"/>
        </w:rPr>
        <w:t>Butcher</w:t>
      </w:r>
      <w:proofErr w:type="spellEnd"/>
      <w:r w:rsidRPr="0051709F">
        <w:rPr>
          <w:rFonts w:eastAsia="Times New Roman" w:cstheme="minorHAnsi"/>
          <w:lang w:eastAsia="es-ES"/>
        </w:rPr>
        <w:t xml:space="preserve">, </w:t>
      </w:r>
      <w:proofErr w:type="spellStart"/>
      <w:r w:rsidR="000B6D22" w:rsidRPr="0051709F">
        <w:rPr>
          <w:rFonts w:eastAsia="Times New Roman" w:cstheme="minorHAnsi"/>
          <w:lang w:eastAsia="es-ES"/>
        </w:rPr>
        <w:t>Sallis</w:t>
      </w:r>
      <w:proofErr w:type="spellEnd"/>
      <w:r w:rsidR="000B6D22" w:rsidRPr="0051709F">
        <w:rPr>
          <w:rFonts w:eastAsia="Times New Roman" w:cstheme="minorHAnsi"/>
          <w:lang w:eastAsia="es-ES"/>
        </w:rPr>
        <w:t xml:space="preserve">, Mayer, y </w:t>
      </w:r>
      <w:proofErr w:type="spellStart"/>
      <w:r w:rsidR="000B6D22" w:rsidRPr="0051709F">
        <w:rPr>
          <w:rFonts w:eastAsia="Times New Roman" w:cstheme="minorHAnsi"/>
          <w:lang w:eastAsia="es-ES"/>
        </w:rPr>
        <w:t>Woodruff</w:t>
      </w:r>
      <w:proofErr w:type="spellEnd"/>
      <w:r w:rsidR="000B6D22" w:rsidRPr="0051709F">
        <w:rPr>
          <w:rFonts w:eastAsia="Times New Roman" w:cstheme="minorHAnsi"/>
          <w:lang w:eastAsia="es-ES"/>
        </w:rPr>
        <w:t>, 2008</w:t>
      </w:r>
      <w:r w:rsidRPr="0051709F">
        <w:rPr>
          <w:rFonts w:eastAsia="Times New Roman" w:cstheme="minorHAnsi"/>
          <w:lang w:eastAsia="es-ES"/>
        </w:rPr>
        <w:t xml:space="preserve">). Algunos estudios indican que el centro educativo puede atender de manera especial determinados factores de adherencia al ejercicio como la percepción de competencia y la propia imagen. Concretamente, la educación física puede ayudar a promover actividad física y estilos de vida activos fuera del entorno escolar (Beltrán et al., 2012; Biddle y </w:t>
      </w:r>
      <w:proofErr w:type="spellStart"/>
      <w:r w:rsidRPr="0051709F">
        <w:rPr>
          <w:rFonts w:eastAsia="Times New Roman" w:cstheme="minorHAnsi"/>
          <w:lang w:eastAsia="es-ES"/>
        </w:rPr>
        <w:t>Chatzisarantis</w:t>
      </w:r>
      <w:proofErr w:type="spellEnd"/>
      <w:r w:rsidRPr="0051709F">
        <w:rPr>
          <w:rFonts w:eastAsia="Times New Roman" w:cstheme="minorHAnsi"/>
          <w:lang w:eastAsia="es-ES"/>
        </w:rPr>
        <w:t xml:space="preserve">, 1999; </w:t>
      </w:r>
      <w:proofErr w:type="spellStart"/>
      <w:r w:rsidRPr="0051709F">
        <w:rPr>
          <w:rFonts w:eastAsia="Times New Roman" w:cstheme="minorHAnsi"/>
          <w:lang w:eastAsia="es-ES"/>
        </w:rPr>
        <w:t>Digelidis</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Papaioannou</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Laparidis</w:t>
      </w:r>
      <w:proofErr w:type="spellEnd"/>
      <w:r w:rsidRPr="0051709F">
        <w:rPr>
          <w:rFonts w:eastAsia="Times New Roman" w:cstheme="minorHAnsi"/>
          <w:lang w:eastAsia="es-ES"/>
        </w:rPr>
        <w:t xml:space="preserve">, y </w:t>
      </w:r>
      <w:proofErr w:type="spellStart"/>
      <w:r w:rsidRPr="0051709F">
        <w:rPr>
          <w:rFonts w:eastAsia="Times New Roman" w:cstheme="minorHAnsi"/>
          <w:lang w:eastAsia="es-ES"/>
        </w:rPr>
        <w:t>Christodoulidis</w:t>
      </w:r>
      <w:proofErr w:type="spellEnd"/>
      <w:r w:rsidRPr="0051709F">
        <w:rPr>
          <w:rFonts w:eastAsia="Times New Roman" w:cstheme="minorHAnsi"/>
          <w:lang w:eastAsia="es-ES"/>
        </w:rPr>
        <w:t xml:space="preserve">, 2003). También, la existencia de un entorno familiar que favorezca la adopción de estilos de vida activos, unido a la percepción de un clima de motivación en la actividad física que se realiza desde la infancia. </w:t>
      </w:r>
      <w:r w:rsidR="00165945">
        <w:rPr>
          <w:rFonts w:eastAsia="Times New Roman" w:cstheme="minorHAnsi"/>
          <w:lang w:eastAsia="es-ES"/>
        </w:rPr>
        <w:t>De igual modo,</w:t>
      </w:r>
      <w:r w:rsidR="00165945" w:rsidRPr="0051709F">
        <w:rPr>
          <w:rFonts w:eastAsia="Times New Roman" w:cstheme="minorHAnsi"/>
          <w:lang w:eastAsia="es-ES"/>
        </w:rPr>
        <w:t xml:space="preserve"> </w:t>
      </w:r>
      <w:r w:rsidRPr="0051709F">
        <w:rPr>
          <w:rFonts w:eastAsia="Times New Roman" w:cstheme="minorHAnsi"/>
          <w:lang w:eastAsia="es-ES"/>
        </w:rPr>
        <w:t xml:space="preserve">el comportamiento del profesorado y el desarrollo de las clases de educación física, la relación con el entorno donde tiene lugar </w:t>
      </w:r>
      <w:r w:rsidRPr="0051709F">
        <w:rPr>
          <w:rFonts w:eastAsia="Times New Roman" w:cstheme="minorHAnsi"/>
          <w:lang w:eastAsia="es-ES"/>
        </w:rPr>
        <w:lastRenderedPageBreak/>
        <w:t>la oferta de la actividad física y el conocimiento de los beneficios de la actividad física para la salud (</w:t>
      </w:r>
      <w:proofErr w:type="spellStart"/>
      <w:r w:rsidRPr="0051709F">
        <w:rPr>
          <w:rFonts w:eastAsia="Times New Roman" w:cstheme="minorHAnsi"/>
          <w:lang w:eastAsia="es-ES"/>
        </w:rPr>
        <w:t>Butcher</w:t>
      </w:r>
      <w:proofErr w:type="spellEnd"/>
      <w:r w:rsidRPr="0051709F">
        <w:rPr>
          <w:rFonts w:eastAsia="Times New Roman" w:cstheme="minorHAnsi"/>
          <w:lang w:eastAsia="es-ES"/>
        </w:rPr>
        <w:t xml:space="preserve"> et al., 2008; </w:t>
      </w:r>
      <w:proofErr w:type="spellStart"/>
      <w:r w:rsidRPr="0051709F">
        <w:rPr>
          <w:rFonts w:eastAsia="Times New Roman" w:cstheme="minorHAnsi"/>
          <w:lang w:eastAsia="es-ES"/>
        </w:rPr>
        <w:t>Hagger</w:t>
      </w:r>
      <w:proofErr w:type="spellEnd"/>
      <w:r w:rsidRPr="0051709F">
        <w:rPr>
          <w:rFonts w:eastAsia="Times New Roman" w:cstheme="minorHAnsi"/>
          <w:lang w:eastAsia="es-ES"/>
        </w:rPr>
        <w:t xml:space="preserve"> et al., 2009), pueden ayudar en este sentido.</w:t>
      </w:r>
    </w:p>
    <w:p w14:paraId="76E2C9BA" w14:textId="77777777" w:rsidR="007B102F" w:rsidRPr="0051709F" w:rsidRDefault="007B102F" w:rsidP="007B102F">
      <w:pPr>
        <w:shd w:val="clear" w:color="auto" w:fill="FFFFFF"/>
        <w:jc w:val="both"/>
        <w:rPr>
          <w:rFonts w:eastAsia="Times New Roman" w:cstheme="minorHAnsi"/>
          <w:lang w:eastAsia="es-ES"/>
        </w:rPr>
      </w:pPr>
    </w:p>
    <w:p w14:paraId="7561CC58" w14:textId="5CC7473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Una revisión de alcance reciente identificó más de 170 intervenciones que se informaron en la literatura científica entre 2010 y 2019 dirigidas a la promoción de la actividad física en entornos de escuela primaria (Brandes et al., 2022). Sin embargo, la cuestión crucial sigue siendo qué intervenciones funcionan en el “mundo real”, independientemente de la investigación científica y los recursos de financiación a corto plazo, y qué intervenciones tienen el potencial de implementarse con éxito y mantenerse a largo plazo.</w:t>
      </w:r>
    </w:p>
    <w:p w14:paraId="43E93BD6" w14:textId="77777777" w:rsidR="007B102F" w:rsidRPr="0051709F" w:rsidRDefault="007B102F" w:rsidP="007B102F">
      <w:pPr>
        <w:shd w:val="clear" w:color="auto" w:fill="FFFFFF"/>
        <w:jc w:val="both"/>
        <w:rPr>
          <w:rFonts w:eastAsia="Times New Roman" w:cstheme="minorHAnsi"/>
          <w:lang w:eastAsia="es-ES"/>
        </w:rPr>
      </w:pPr>
    </w:p>
    <w:p w14:paraId="65A961EC" w14:textId="281A4B80"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La implementación deficiente dentro del entorno escolar puede explicar la caída en la efectividad que a menudo se observa a medida que las intervenciones avanzan desde las primeras etapas de implementación (niveles altos de apoyo a la investigación) hasta etapas posteriores en las que el apoyo de los investigadores es reducido o nulo (</w:t>
      </w:r>
      <w:proofErr w:type="spellStart"/>
      <w:r w:rsidRPr="0051709F">
        <w:rPr>
          <w:rFonts w:eastAsia="Times New Roman" w:cstheme="minorHAnsi"/>
          <w:lang w:eastAsia="es-ES"/>
        </w:rPr>
        <w:t>Naylor</w:t>
      </w:r>
      <w:proofErr w:type="spellEnd"/>
      <w:r w:rsidRPr="0051709F">
        <w:rPr>
          <w:rFonts w:eastAsia="Times New Roman" w:cstheme="minorHAnsi"/>
          <w:lang w:eastAsia="es-ES"/>
        </w:rPr>
        <w:t xml:space="preserve"> et al., 2015). Durante estas etapas posteriores de ampliación e implementación, es probable que la implementación sea impulsada predominantemente por las partes interesadas, como el personal escolar, los funcionarios de clubes deportivos o los representantes de las administraciones locales. La investigación actual muestra que las partes interesadas a menudo implementan cambios en la intervención durante el proceso de ampliación, en particular si las intervenciones tienen que adaptarse más (por ejemplo, cambiar la forma de enseñarlo), lo que puede resultar en una pérdida de eficacia de la intervención (Lane et al., 2021). Una revisión sobre la sostenibilidad de la actividad física que promueve las intervenciones escolares en entornos del mundo real mostró que solo un número limitado de intervenciones tuvieron éxito cuando se realizaron en condiciones </w:t>
      </w:r>
      <w:r w:rsidR="00165945">
        <w:rPr>
          <w:rFonts w:eastAsia="Times New Roman" w:cstheme="minorHAnsi"/>
          <w:lang w:eastAsia="es-ES"/>
        </w:rPr>
        <w:t>reales</w:t>
      </w:r>
      <w:r w:rsidRPr="0051709F">
        <w:rPr>
          <w:rFonts w:eastAsia="Times New Roman" w:cstheme="minorHAnsi"/>
          <w:lang w:eastAsia="es-ES"/>
        </w:rPr>
        <w:t xml:space="preserve"> o a escala (</w:t>
      </w:r>
      <w:proofErr w:type="spellStart"/>
      <w:r w:rsidRPr="0051709F">
        <w:rPr>
          <w:rFonts w:eastAsia="Times New Roman" w:cstheme="minorHAnsi"/>
          <w:lang w:eastAsia="es-ES"/>
        </w:rPr>
        <w:t>Cassar</w:t>
      </w:r>
      <w:proofErr w:type="spellEnd"/>
      <w:r w:rsidRPr="0051709F">
        <w:rPr>
          <w:rFonts w:eastAsia="Times New Roman" w:cstheme="minorHAnsi"/>
          <w:lang w:eastAsia="es-ES"/>
        </w:rPr>
        <w:t xml:space="preserve"> et al., 2019). Muchos factores diferentes pueden conducir a cambios en los componentes de la intervención o en las estrategias de implementación, como la necesidad de ajustar la intervención al contexto local dado, las condiciones espaciales, el horario escolar y el plan de estudios, o el modo de enseñar.</w:t>
      </w:r>
    </w:p>
    <w:p w14:paraId="2E1E8B21" w14:textId="77777777" w:rsidR="007B102F" w:rsidRPr="0051709F" w:rsidRDefault="007B102F" w:rsidP="007B102F">
      <w:pPr>
        <w:shd w:val="clear" w:color="auto" w:fill="FFFFFF"/>
        <w:jc w:val="both"/>
        <w:rPr>
          <w:rFonts w:eastAsia="Times New Roman" w:cstheme="minorHAnsi"/>
          <w:lang w:eastAsia="es-ES"/>
        </w:rPr>
      </w:pPr>
    </w:p>
    <w:p w14:paraId="64CC3625" w14:textId="1D14930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No obstante, los resultados del estudio de </w:t>
      </w:r>
      <w:proofErr w:type="spellStart"/>
      <w:r w:rsidRPr="0051709F">
        <w:rPr>
          <w:rFonts w:eastAsia="Times New Roman" w:cstheme="minorHAnsi"/>
          <w:lang w:eastAsia="es-ES"/>
        </w:rPr>
        <w:t>Hernaiz</w:t>
      </w:r>
      <w:proofErr w:type="spellEnd"/>
      <w:r w:rsidRPr="0051709F">
        <w:rPr>
          <w:rFonts w:eastAsia="Times New Roman" w:cstheme="minorHAnsi"/>
          <w:lang w:eastAsia="es-ES"/>
        </w:rPr>
        <w:t xml:space="preserve">-Sánchez y </w:t>
      </w:r>
      <w:proofErr w:type="spellStart"/>
      <w:r w:rsidRPr="0051709F">
        <w:rPr>
          <w:rFonts w:eastAsia="Times New Roman" w:cstheme="minorHAnsi"/>
          <w:lang w:eastAsia="es-ES"/>
        </w:rPr>
        <w:t>Bäder</w:t>
      </w:r>
      <w:proofErr w:type="spellEnd"/>
      <w:r w:rsidRPr="0051709F">
        <w:rPr>
          <w:rFonts w:eastAsia="Times New Roman" w:cstheme="minorHAnsi"/>
          <w:lang w:eastAsia="es-ES"/>
        </w:rPr>
        <w:t xml:space="preserve">-Gilabert (2023) indican que los profesionales de la educación física no logran que los estudiantes alcancen el mínimo del 50% del tiempo de las sesiones en actividad física moderada o vigorosa. Por lo tanto, los niveles de actividad física de los </w:t>
      </w:r>
      <w:r w:rsidRPr="00D513DF">
        <w:rPr>
          <w:rFonts w:eastAsia="Times New Roman" w:cstheme="minorHAnsi"/>
          <w:lang w:eastAsia="es-ES"/>
        </w:rPr>
        <w:t>adolescentes son insuficientes para alcanzar beneficios en la salud. Cabe destacar que la educación física sigue siendo un canal facilitador para lograr las recomendaciones de la Organización Mundial de la Salud (</w:t>
      </w:r>
      <w:proofErr w:type="spellStart"/>
      <w:r w:rsidR="00D513DF">
        <w:rPr>
          <w:rFonts w:eastAsia="Times New Roman" w:cstheme="minorHAnsi"/>
          <w:lang w:eastAsia="es-ES"/>
        </w:rPr>
        <w:t>World</w:t>
      </w:r>
      <w:proofErr w:type="spellEnd"/>
      <w:r w:rsidR="00D513DF">
        <w:rPr>
          <w:rFonts w:eastAsia="Times New Roman" w:cstheme="minorHAnsi"/>
          <w:lang w:eastAsia="es-ES"/>
        </w:rPr>
        <w:t xml:space="preserve"> </w:t>
      </w:r>
      <w:proofErr w:type="spellStart"/>
      <w:r w:rsidR="00D513DF">
        <w:rPr>
          <w:rFonts w:eastAsia="Times New Roman" w:cstheme="minorHAnsi"/>
          <w:lang w:eastAsia="es-ES"/>
        </w:rPr>
        <w:t>Health</w:t>
      </w:r>
      <w:proofErr w:type="spellEnd"/>
      <w:r w:rsidR="00D513DF">
        <w:rPr>
          <w:rFonts w:eastAsia="Times New Roman" w:cstheme="minorHAnsi"/>
          <w:lang w:eastAsia="es-ES"/>
        </w:rPr>
        <w:t xml:space="preserve"> </w:t>
      </w:r>
      <w:proofErr w:type="spellStart"/>
      <w:r w:rsidR="00D513DF">
        <w:rPr>
          <w:rFonts w:eastAsia="Times New Roman" w:cstheme="minorHAnsi"/>
          <w:lang w:eastAsia="es-ES"/>
        </w:rPr>
        <w:t>Organization</w:t>
      </w:r>
      <w:proofErr w:type="spellEnd"/>
      <w:r w:rsidR="00D513DF">
        <w:rPr>
          <w:rFonts w:eastAsia="Times New Roman" w:cstheme="minorHAnsi"/>
          <w:lang w:eastAsia="es-ES"/>
        </w:rPr>
        <w:t xml:space="preserve">, </w:t>
      </w:r>
      <w:r w:rsidRPr="00D513DF">
        <w:rPr>
          <w:rFonts w:eastAsia="Times New Roman" w:cstheme="minorHAnsi"/>
          <w:lang w:eastAsia="es-ES"/>
        </w:rPr>
        <w:t>2010). Así mismo, se ha constatado que dentro de los diferentes</w:t>
      </w:r>
      <w:r w:rsidRPr="0051709F">
        <w:rPr>
          <w:rFonts w:eastAsia="Times New Roman" w:cstheme="minorHAnsi"/>
          <w:lang w:eastAsia="es-ES"/>
        </w:rPr>
        <w:t xml:space="preserve"> contextos del día a día de los adolescentes, el tiempo posterior a la escuela es en el que más abunda la práctica de actividad física. Si se tiene en cuenta el tiempo total del que se dispone en cada escenario, la educación física logra porcentajes más elevados que el tiempo del recreo y el tiempo libre al terminar clases (Mayorga-Vega et al., 2016).</w:t>
      </w:r>
    </w:p>
    <w:p w14:paraId="09461C63" w14:textId="77777777" w:rsidR="007B102F" w:rsidRDefault="007B102F" w:rsidP="007B102F">
      <w:pPr>
        <w:shd w:val="clear" w:color="auto" w:fill="FFFFFF"/>
        <w:jc w:val="both"/>
        <w:rPr>
          <w:rFonts w:eastAsia="Times New Roman" w:cstheme="minorHAnsi"/>
          <w:lang w:eastAsia="es-ES"/>
        </w:rPr>
      </w:pPr>
    </w:p>
    <w:p w14:paraId="45DC67E2" w14:textId="77777777" w:rsidR="00B90BC1" w:rsidRDefault="00B90BC1" w:rsidP="007B102F">
      <w:pPr>
        <w:shd w:val="clear" w:color="auto" w:fill="FFFFFF"/>
        <w:jc w:val="both"/>
        <w:rPr>
          <w:rFonts w:eastAsia="Times New Roman" w:cstheme="minorHAnsi"/>
          <w:lang w:eastAsia="es-ES"/>
        </w:rPr>
      </w:pPr>
    </w:p>
    <w:p w14:paraId="562900B0" w14:textId="77777777" w:rsidR="00B90BC1" w:rsidRDefault="00B90BC1" w:rsidP="007B102F">
      <w:pPr>
        <w:shd w:val="clear" w:color="auto" w:fill="FFFFFF"/>
        <w:jc w:val="both"/>
        <w:rPr>
          <w:rFonts w:eastAsia="Times New Roman" w:cstheme="minorHAnsi"/>
          <w:lang w:eastAsia="es-ES"/>
        </w:rPr>
      </w:pPr>
    </w:p>
    <w:p w14:paraId="357BDFB1" w14:textId="77777777" w:rsidR="00B90BC1" w:rsidRPr="0051709F" w:rsidRDefault="00B90BC1" w:rsidP="007B102F">
      <w:pPr>
        <w:shd w:val="clear" w:color="auto" w:fill="FFFFFF"/>
        <w:jc w:val="both"/>
        <w:rPr>
          <w:rFonts w:eastAsia="Times New Roman" w:cstheme="minorHAnsi"/>
          <w:lang w:eastAsia="es-ES"/>
        </w:rPr>
      </w:pPr>
    </w:p>
    <w:p w14:paraId="61BBA781" w14:textId="77777777" w:rsidR="007B102F" w:rsidRPr="0051709F" w:rsidRDefault="007B102F" w:rsidP="007B102F">
      <w:pPr>
        <w:shd w:val="clear" w:color="auto" w:fill="FFFFFF"/>
        <w:jc w:val="both"/>
        <w:rPr>
          <w:rFonts w:eastAsia="Times New Roman" w:cstheme="minorHAnsi"/>
          <w:b/>
          <w:bCs/>
          <w:lang w:eastAsia="es-ES"/>
        </w:rPr>
      </w:pPr>
      <w:r w:rsidRPr="0051709F">
        <w:rPr>
          <w:rFonts w:eastAsia="Times New Roman" w:cstheme="minorHAnsi"/>
          <w:b/>
          <w:bCs/>
          <w:lang w:eastAsia="es-ES"/>
        </w:rPr>
        <w:lastRenderedPageBreak/>
        <w:t>Beneficios de la actividad física en la escuela</w:t>
      </w:r>
    </w:p>
    <w:p w14:paraId="7715D9C6" w14:textId="77777777" w:rsidR="007B102F" w:rsidRPr="0051709F" w:rsidRDefault="007B102F" w:rsidP="007B102F">
      <w:pPr>
        <w:shd w:val="clear" w:color="auto" w:fill="FFFFFF"/>
        <w:jc w:val="both"/>
        <w:rPr>
          <w:rFonts w:eastAsia="Times New Roman" w:cstheme="minorHAnsi"/>
          <w:lang w:eastAsia="es-ES"/>
        </w:rPr>
      </w:pPr>
    </w:p>
    <w:p w14:paraId="1C507FF0" w14:textId="13CF3CC7" w:rsidR="007B102F" w:rsidRPr="0051709F" w:rsidRDefault="007F2447" w:rsidP="007B102F">
      <w:pPr>
        <w:shd w:val="clear" w:color="auto" w:fill="FFFFFF"/>
        <w:jc w:val="both"/>
        <w:rPr>
          <w:rFonts w:eastAsia="Times New Roman" w:cstheme="minorHAnsi"/>
          <w:lang w:eastAsia="es-ES"/>
        </w:rPr>
      </w:pPr>
      <w:r w:rsidRPr="007B667D">
        <w:rPr>
          <w:rFonts w:eastAsia="Times New Roman" w:cstheme="minorHAnsi"/>
          <w:u w:val="single"/>
          <w:lang w:eastAsia="es-ES"/>
        </w:rPr>
        <w:t>La importancia de la actividad física entre los estudiantes</w:t>
      </w:r>
      <w:r>
        <w:rPr>
          <w:rFonts w:eastAsia="Times New Roman" w:cstheme="minorHAnsi"/>
          <w:lang w:eastAsia="es-ES"/>
        </w:rPr>
        <w:t>.</w:t>
      </w:r>
      <w:r w:rsidR="007B102F" w:rsidRPr="0051709F">
        <w:rPr>
          <w:rFonts w:eastAsia="Times New Roman" w:cstheme="minorHAnsi"/>
          <w:lang w:eastAsia="es-ES"/>
        </w:rPr>
        <w:t xml:space="preserve"> La respuesta se reduce a una lista de beneficios que se extienden más allá de la salud física. Mantenerse activos como niños y adolescentes puede ayudar a preparar a los estudiantes para un futuro más saludable como adultos. La actividad física regular ayuda a los estudiantes a desarrollar huesos y músculos fuertes, mejorar su estado cardiorrespiratorio, mantener un peso saludable y evitar futuros problemas de salud, como enfermedades cardíacas o diabetes tipo 2. Según el Centro para el Control de Enfermedades</w:t>
      </w:r>
      <w:r>
        <w:rPr>
          <w:rFonts w:eastAsia="Times New Roman" w:cstheme="minorHAnsi"/>
          <w:lang w:eastAsia="es-ES"/>
        </w:rPr>
        <w:t xml:space="preserve"> de </w:t>
      </w:r>
      <w:r w:rsidR="000F691B">
        <w:rPr>
          <w:rFonts w:eastAsia="Times New Roman" w:cstheme="minorHAnsi"/>
          <w:lang w:eastAsia="es-ES"/>
        </w:rPr>
        <w:t>EE. UU</w:t>
      </w:r>
      <w:r w:rsidR="007B102F" w:rsidRPr="0051709F">
        <w:rPr>
          <w:rFonts w:eastAsia="Times New Roman" w:cstheme="minorHAnsi"/>
          <w:lang w:eastAsia="es-ES"/>
        </w:rPr>
        <w:t xml:space="preserve"> (CDC), la actividad física está vinculada a mejoras en salud mental, asistencia a la escuela, memoria y concentración, comportamiento en las clases y rendimiento académico.</w:t>
      </w:r>
    </w:p>
    <w:p w14:paraId="5748C92B" w14:textId="77777777" w:rsidR="007B102F" w:rsidRPr="0051709F" w:rsidRDefault="007B102F" w:rsidP="007B102F">
      <w:pPr>
        <w:shd w:val="clear" w:color="auto" w:fill="FFFFFF"/>
        <w:jc w:val="both"/>
        <w:rPr>
          <w:rFonts w:eastAsia="Times New Roman" w:cstheme="minorHAnsi"/>
          <w:lang w:eastAsia="es-ES"/>
        </w:rPr>
      </w:pPr>
    </w:p>
    <w:p w14:paraId="1E5A4C31"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i/>
          <w:iCs/>
          <w:lang w:eastAsia="es-ES"/>
        </w:rPr>
        <w:t>Salud mental.</w:t>
      </w:r>
      <w:r w:rsidRPr="0051709F">
        <w:rPr>
          <w:rFonts w:eastAsia="Times New Roman" w:cstheme="minorHAnsi"/>
          <w:lang w:eastAsia="es-ES"/>
        </w:rPr>
        <w:t xml:space="preserve"> Es un aspecto importante del desarrollo de los niños y, aunque es un tema aparte que merece su propia atención, tiende a ir de la mano con la salud física. El ejercicio físico regular disminuye la probabilidad de que los niños se enfrenten a una depresión o estados de ansiedad. Los problemas de salud mental pueden afectar directamente al rendimiento académico de los estudiantes.</w:t>
      </w:r>
    </w:p>
    <w:p w14:paraId="0929B7EA" w14:textId="77777777" w:rsidR="007B102F" w:rsidRPr="0051709F" w:rsidRDefault="007B102F" w:rsidP="007B102F">
      <w:pPr>
        <w:shd w:val="clear" w:color="auto" w:fill="FFFFFF"/>
        <w:jc w:val="both"/>
        <w:rPr>
          <w:rFonts w:eastAsia="Times New Roman" w:cstheme="minorHAnsi"/>
          <w:lang w:eastAsia="es-ES"/>
        </w:rPr>
      </w:pPr>
    </w:p>
    <w:p w14:paraId="208143C2" w14:textId="105B5884"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i/>
          <w:iCs/>
          <w:lang w:eastAsia="es-ES"/>
        </w:rPr>
        <w:t>Asistencia a clases.</w:t>
      </w:r>
      <w:r w:rsidRPr="0051709F">
        <w:rPr>
          <w:rFonts w:eastAsia="Times New Roman" w:cstheme="minorHAnsi"/>
          <w:lang w:eastAsia="es-ES"/>
        </w:rPr>
        <w:t xml:space="preserve"> Dado que la actividad física regular contribuye a la salud general, es menos probable que los estudiantes activos falten a la escuela debido a una enfermedad. Algunos estudiantes también faltan a la escuela por problemas de salud mental, contra los cuales la actividad física también puede proteger. Faltar a la escuela, incluso desde los primeros niveles, puede indicar una mayor probabilidad de que los estudiantes abandonen la escuela eventualmente. La asistencia es fundamental para que los estudiantes se mantengan al día con su clase y reciban una educación completa.</w:t>
      </w:r>
    </w:p>
    <w:p w14:paraId="1A11225A" w14:textId="77777777" w:rsidR="007B102F" w:rsidRPr="0051709F" w:rsidRDefault="007B102F" w:rsidP="007B102F">
      <w:pPr>
        <w:shd w:val="clear" w:color="auto" w:fill="FFFFFF"/>
        <w:jc w:val="both"/>
        <w:rPr>
          <w:rFonts w:eastAsia="Times New Roman" w:cstheme="minorHAnsi"/>
          <w:lang w:eastAsia="es-ES"/>
        </w:rPr>
      </w:pPr>
    </w:p>
    <w:p w14:paraId="1E5F8501"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i/>
          <w:iCs/>
          <w:lang w:eastAsia="es-ES"/>
        </w:rPr>
        <w:t>Memoria y concentración.</w:t>
      </w:r>
      <w:r w:rsidRPr="0051709F">
        <w:rPr>
          <w:rFonts w:eastAsia="Times New Roman" w:cstheme="minorHAnsi"/>
          <w:lang w:eastAsia="es-ES"/>
        </w:rPr>
        <w:t xml:space="preserve"> Los niños físicamente activos tienen mayores capacidades en los ganglios y el hipocampo (partes del cerebro asociadas con la memoria y la cognición) en comparación con los niños que son más sedentarios. Ser capaz de concentrarse mejor en las clases y retener más información enseñada puede ayudar a los niños a aprovechar al máximo su educación. La memoria y la concentración mejoradas también pueden ayudar a los estudiantes en otras áreas de sus vidas.</w:t>
      </w:r>
    </w:p>
    <w:p w14:paraId="517E3494" w14:textId="77777777" w:rsidR="007B102F" w:rsidRPr="0051709F" w:rsidRDefault="007B102F" w:rsidP="007B102F">
      <w:pPr>
        <w:shd w:val="clear" w:color="auto" w:fill="FFFFFF"/>
        <w:jc w:val="both"/>
        <w:rPr>
          <w:rFonts w:eastAsia="Times New Roman" w:cstheme="minorHAnsi"/>
          <w:i/>
          <w:iCs/>
          <w:lang w:eastAsia="es-ES"/>
        </w:rPr>
      </w:pPr>
    </w:p>
    <w:p w14:paraId="71B3FAF6"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i/>
          <w:iCs/>
          <w:lang w:eastAsia="es-ES"/>
        </w:rPr>
        <w:t>Comportamiento en las clases.</w:t>
      </w:r>
      <w:r w:rsidRPr="0051709F">
        <w:rPr>
          <w:rFonts w:eastAsia="Times New Roman" w:cstheme="minorHAnsi"/>
          <w:lang w:eastAsia="es-ES"/>
        </w:rPr>
        <w:t xml:space="preserve"> La actividad física durante el día escolar también puede ayudar a los estudiantes a comportarse mejor en las clases. Especialmente para los niños más pequeños, sentarse, estar quietos, escuchar y seguir instrucciones puede ser un verdadero desafío. Cuando los estudiantes se sienten inquietos o distraídos, puede ser más difícil para ellos comportarse. La actividad física ayuda a los estudiantes a satisfacer su necesidad de moverse y jugar para que estén mejor preparados para concentrarse y escuchar cuando están en las clases. Algunas investigaciones incluso sugieren que mantener a los niños activos puede ayudar a prevenir el acoso escolar.</w:t>
      </w:r>
    </w:p>
    <w:p w14:paraId="20AFB079" w14:textId="77777777" w:rsidR="007B102F" w:rsidRPr="0051709F" w:rsidRDefault="007B102F" w:rsidP="007B102F">
      <w:pPr>
        <w:shd w:val="clear" w:color="auto" w:fill="FFFFFF"/>
        <w:jc w:val="both"/>
        <w:rPr>
          <w:rFonts w:eastAsia="Times New Roman" w:cstheme="minorHAnsi"/>
          <w:lang w:eastAsia="es-ES"/>
        </w:rPr>
      </w:pPr>
    </w:p>
    <w:p w14:paraId="0F11C43D"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i/>
          <w:iCs/>
          <w:lang w:eastAsia="es-ES"/>
        </w:rPr>
        <w:t>Rendimiento académico.</w:t>
      </w:r>
      <w:r w:rsidRPr="0051709F">
        <w:rPr>
          <w:rFonts w:eastAsia="Times New Roman" w:cstheme="minorHAnsi"/>
          <w:lang w:eastAsia="es-ES"/>
        </w:rPr>
        <w:t xml:space="preserve"> Además de observar los factores individuales, también podemos ver un vínculo directo entre la aptitud física y las calificaciones más altas. Debido a los muchos beneficios cognitivos que obtienen los estudiantes cuando están físicamente activos, un mayor rendimiento académico es un subproducto natural. </w:t>
      </w:r>
      <w:r w:rsidRPr="0051709F">
        <w:rPr>
          <w:rFonts w:eastAsia="Times New Roman" w:cstheme="minorHAnsi"/>
          <w:lang w:eastAsia="es-ES"/>
        </w:rPr>
        <w:lastRenderedPageBreak/>
        <w:t>También es cierto que la actividad física puede conducir a calificaciones más altas en el futuro inmediato.</w:t>
      </w:r>
    </w:p>
    <w:p w14:paraId="37A20711" w14:textId="77777777" w:rsidR="007B102F" w:rsidRPr="0051709F" w:rsidRDefault="007B102F" w:rsidP="007B102F">
      <w:pPr>
        <w:shd w:val="clear" w:color="auto" w:fill="FFFFFF"/>
        <w:jc w:val="both"/>
        <w:rPr>
          <w:rFonts w:eastAsia="Times New Roman" w:cstheme="minorHAnsi"/>
          <w:lang w:eastAsia="es-ES"/>
        </w:rPr>
      </w:pPr>
    </w:p>
    <w:p w14:paraId="5DF5E5C6" w14:textId="227C915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Con tantos beneficios comprobados, la actividad física debería ser una parte importante del día</w:t>
      </w:r>
      <w:r w:rsidR="007F2447">
        <w:rPr>
          <w:rFonts w:eastAsia="Times New Roman" w:cstheme="minorHAnsi"/>
          <w:lang w:eastAsia="es-ES"/>
        </w:rPr>
        <w:t xml:space="preserve"> a día</w:t>
      </w:r>
      <w:r w:rsidRPr="0051709F">
        <w:rPr>
          <w:rFonts w:eastAsia="Times New Roman" w:cstheme="minorHAnsi"/>
          <w:lang w:eastAsia="es-ES"/>
        </w:rPr>
        <w:t xml:space="preserve"> de cada niño, tanto en casa como en la escuela.</w:t>
      </w:r>
    </w:p>
    <w:p w14:paraId="3D7CCB86" w14:textId="77777777" w:rsidR="007B102F" w:rsidRPr="0051709F" w:rsidRDefault="007B102F" w:rsidP="007B102F">
      <w:pPr>
        <w:shd w:val="clear" w:color="auto" w:fill="FFFFFF"/>
        <w:jc w:val="both"/>
        <w:rPr>
          <w:rFonts w:eastAsia="Times New Roman" w:cstheme="minorHAnsi"/>
          <w:lang w:eastAsia="es-ES"/>
        </w:rPr>
      </w:pPr>
    </w:p>
    <w:p w14:paraId="7798B169" w14:textId="083049EF" w:rsidR="007B102F" w:rsidRPr="0051709F" w:rsidRDefault="007B102F" w:rsidP="00D623A5">
      <w:pPr>
        <w:pStyle w:val="Ttulo2"/>
        <w:numPr>
          <w:ilvl w:val="0"/>
          <w:numId w:val="0"/>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Revisión de las actuaciones y estrategias de adherencia al ejercicio físico con un impacto sostenible a nivel educativo</w:t>
      </w:r>
    </w:p>
    <w:p w14:paraId="37DB1244" w14:textId="77777777" w:rsidR="007B102F" w:rsidRPr="0051709F" w:rsidRDefault="007B102F" w:rsidP="00D623A5">
      <w:pPr>
        <w:shd w:val="clear" w:color="auto" w:fill="FFFFFF"/>
        <w:jc w:val="both"/>
        <w:rPr>
          <w:rFonts w:eastAsia="Times New Roman" w:cstheme="minorHAnsi"/>
          <w:lang w:eastAsia="es-ES"/>
        </w:rPr>
      </w:pPr>
    </w:p>
    <w:p w14:paraId="6A587DC3" w14:textId="18FB93CD"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Uno de los principales objetivos de la educación física es proporcionar a los jóvenes las habilidades motrices, los conocimientos y la competencia necesari</w:t>
      </w:r>
      <w:r w:rsidR="007F2447">
        <w:rPr>
          <w:rFonts w:eastAsia="Times New Roman" w:cstheme="minorHAnsi"/>
          <w:lang w:eastAsia="es-ES"/>
        </w:rPr>
        <w:t>a</w:t>
      </w:r>
      <w:r w:rsidRPr="0051709F">
        <w:rPr>
          <w:rFonts w:eastAsia="Times New Roman" w:cstheme="minorHAnsi"/>
          <w:lang w:eastAsia="es-ES"/>
        </w:rPr>
        <w:t xml:space="preserve"> para elegir y participar en actividades físicas relacionadas con la salud en su tiempo libre. Sin embargo, hay relativamente poca investigación que describa cómo los profesores de educación física o los programas de educación física pueden orientar de manera efectiva a los jóvenes hacia la participación en actividades físicas regulares en el tiempo libre fuera de la escuela. Entre las evidencias encontradas, a </w:t>
      </w:r>
      <w:r w:rsidR="0099028D" w:rsidRPr="0051709F">
        <w:rPr>
          <w:rFonts w:eastAsia="Times New Roman" w:cstheme="minorHAnsi"/>
          <w:lang w:eastAsia="es-ES"/>
        </w:rPr>
        <w:t>continuación,</w:t>
      </w:r>
      <w:r w:rsidRPr="0051709F">
        <w:rPr>
          <w:rFonts w:eastAsia="Times New Roman" w:cstheme="minorHAnsi"/>
          <w:lang w:eastAsia="es-ES"/>
        </w:rPr>
        <w:t xml:space="preserve"> se muestra un resumen de las actuaciones y estrategias que han generado impacto sostenible</w:t>
      </w:r>
      <w:r w:rsidR="007F2447">
        <w:rPr>
          <w:rFonts w:eastAsia="Times New Roman" w:cstheme="minorHAnsi"/>
          <w:lang w:eastAsia="es-ES"/>
        </w:rPr>
        <w:t>:</w:t>
      </w:r>
    </w:p>
    <w:p w14:paraId="5FDD917B" w14:textId="77777777" w:rsidR="007B102F" w:rsidRPr="0051709F" w:rsidRDefault="007B102F" w:rsidP="007B102F">
      <w:pPr>
        <w:shd w:val="clear" w:color="auto" w:fill="FFFFFF"/>
        <w:jc w:val="both"/>
        <w:rPr>
          <w:rFonts w:eastAsia="Times New Roman" w:cstheme="minorHAnsi"/>
          <w:lang w:eastAsia="es-ES"/>
        </w:rPr>
      </w:pPr>
    </w:p>
    <w:p w14:paraId="52230E40" w14:textId="6EB367D9" w:rsidR="007B102F" w:rsidRPr="0051709F" w:rsidRDefault="007F2447" w:rsidP="007B102F">
      <w:pPr>
        <w:shd w:val="clear" w:color="auto" w:fill="FFFFFF"/>
        <w:jc w:val="both"/>
        <w:rPr>
          <w:rFonts w:eastAsia="Times New Roman" w:cstheme="minorHAnsi"/>
          <w:b/>
          <w:bCs/>
          <w:lang w:eastAsia="es-ES"/>
        </w:rPr>
      </w:pPr>
      <w:r>
        <w:rPr>
          <w:rFonts w:eastAsia="Times New Roman" w:cstheme="minorHAnsi"/>
          <w:b/>
          <w:bCs/>
          <w:lang w:eastAsia="es-ES"/>
        </w:rPr>
        <w:t xml:space="preserve">A) </w:t>
      </w:r>
      <w:r w:rsidR="007B102F" w:rsidRPr="0051709F">
        <w:rPr>
          <w:rFonts w:eastAsia="Times New Roman" w:cstheme="minorHAnsi"/>
          <w:b/>
          <w:bCs/>
          <w:lang w:eastAsia="es-ES"/>
        </w:rPr>
        <w:t>Videojuegos activos</w:t>
      </w:r>
    </w:p>
    <w:p w14:paraId="25E67CAD" w14:textId="77777777" w:rsidR="007B102F" w:rsidRPr="0051709F" w:rsidRDefault="007B102F" w:rsidP="007B102F">
      <w:pPr>
        <w:shd w:val="clear" w:color="auto" w:fill="FFFFFF"/>
        <w:jc w:val="both"/>
        <w:rPr>
          <w:rFonts w:eastAsia="Times New Roman" w:cstheme="minorHAnsi"/>
          <w:lang w:eastAsia="es-ES"/>
        </w:rPr>
      </w:pPr>
    </w:p>
    <w:p w14:paraId="1649C102"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Desde la perspectiva de la educación, el juego siempre ha sido visto como una parte integral de las experiencias de aprendizaje y la actividad física es un componente importante en muchos juegos de los niños. En los últimos tiempos, el avance tecnológico ha conseguido llevar la diversión del patio de recreo a los hogares, las pantallas de televisión, monitores de ordenador, portátiles e incluso a dispositivos móviles. Aunque muchos de estos videojuegos son sedentarios, algunos requieren jugadores físicamente activos, por esta razón se denominan videojuegos activos (Chen, 2013). </w:t>
      </w:r>
    </w:p>
    <w:p w14:paraId="267E1A22" w14:textId="77777777" w:rsidR="007B102F" w:rsidRPr="0051709F" w:rsidRDefault="007B102F" w:rsidP="007B102F">
      <w:pPr>
        <w:shd w:val="clear" w:color="auto" w:fill="FFFFFF"/>
        <w:jc w:val="both"/>
        <w:rPr>
          <w:rFonts w:eastAsia="Times New Roman" w:cstheme="minorHAnsi"/>
          <w:lang w:eastAsia="es-ES"/>
        </w:rPr>
      </w:pPr>
    </w:p>
    <w:p w14:paraId="4EBD4ADD" w14:textId="6AC83703"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Estos videojuegos despiertan un gran interés, motivación y disfrute entre los niños y adolescentes. Gran parte de la literatura científica indica que los participantes informan</w:t>
      </w:r>
      <w:r w:rsidR="007F2447">
        <w:rPr>
          <w:rFonts w:eastAsia="Times New Roman" w:cstheme="minorHAnsi"/>
          <w:lang w:eastAsia="es-ES"/>
        </w:rPr>
        <w:t xml:space="preserve"> del</w:t>
      </w:r>
      <w:r w:rsidRPr="0051709F">
        <w:rPr>
          <w:rFonts w:eastAsia="Times New Roman" w:cstheme="minorHAnsi"/>
          <w:lang w:eastAsia="es-ES"/>
        </w:rPr>
        <w:t xml:space="preserve"> disfrute, interés situacional, motivación intrínseca, gusto y entusiasmo hacia los videojuegos activos (</w:t>
      </w:r>
      <w:proofErr w:type="spellStart"/>
      <w:r w:rsidRPr="0051709F">
        <w:rPr>
          <w:rFonts w:eastAsia="Times New Roman" w:cstheme="minorHAnsi"/>
          <w:lang w:eastAsia="es-ES"/>
        </w:rPr>
        <w:t>Biddiss</w:t>
      </w:r>
      <w:proofErr w:type="spellEnd"/>
      <w:r w:rsidRPr="0051709F">
        <w:rPr>
          <w:rFonts w:eastAsia="Times New Roman" w:cstheme="minorHAnsi"/>
          <w:lang w:eastAsia="es-ES"/>
        </w:rPr>
        <w:t xml:space="preserve"> e Irwin, 2010; Gao, 2012; Gao et al., 2013; </w:t>
      </w:r>
      <w:proofErr w:type="spellStart"/>
      <w:r w:rsidRPr="0051709F">
        <w:rPr>
          <w:rFonts w:eastAsia="Times New Roman" w:cstheme="minorHAnsi"/>
          <w:lang w:eastAsia="es-ES"/>
        </w:rPr>
        <w:t>Sun</w:t>
      </w:r>
      <w:proofErr w:type="spellEnd"/>
      <w:r w:rsidRPr="0051709F">
        <w:rPr>
          <w:rFonts w:eastAsia="Times New Roman" w:cstheme="minorHAnsi"/>
          <w:lang w:eastAsia="es-ES"/>
        </w:rPr>
        <w:t xml:space="preserve">, 2012). Este interés que se manifiesta hacia los videojuegos activos llega a superar el generado por la sesión de educación física. Así lo confirma un estudio realizado con niños de primaria que registró un interés de </w:t>
      </w:r>
      <w:proofErr w:type="gramStart"/>
      <w:r w:rsidRPr="0051709F">
        <w:rPr>
          <w:rFonts w:eastAsia="Times New Roman" w:cstheme="minorHAnsi"/>
          <w:lang w:eastAsia="es-ES"/>
        </w:rPr>
        <w:t>los mismos</w:t>
      </w:r>
      <w:proofErr w:type="gramEnd"/>
      <w:r w:rsidRPr="0051709F">
        <w:rPr>
          <w:rFonts w:eastAsia="Times New Roman" w:cstheme="minorHAnsi"/>
          <w:lang w:eastAsia="es-ES"/>
        </w:rPr>
        <w:t xml:space="preserve"> mucho mayor por la unidad de los videojuegos que por la del ejercicio físico en la clase de educación física (</w:t>
      </w:r>
      <w:proofErr w:type="spellStart"/>
      <w:r w:rsidRPr="0051709F">
        <w:rPr>
          <w:rFonts w:eastAsia="Times New Roman" w:cstheme="minorHAnsi"/>
          <w:lang w:eastAsia="es-ES"/>
        </w:rPr>
        <w:t>Sun</w:t>
      </w:r>
      <w:proofErr w:type="spellEnd"/>
      <w:r w:rsidRPr="0051709F">
        <w:rPr>
          <w:rFonts w:eastAsia="Times New Roman" w:cstheme="minorHAnsi"/>
          <w:lang w:eastAsia="es-ES"/>
        </w:rPr>
        <w:t xml:space="preserve">, 2012). En esta línea, otros investigadores han encontrado que los videojuegos activos implican un interés y una competencia motivacional superior que la educación física (Chen, 2013). Además de resultar tan interesantes y divertidos para los niños, este tipo de videojuegos son capaces de satisfacer sus necesidades psicológicas básicas. Un ejemplo es el Dance </w:t>
      </w:r>
      <w:proofErr w:type="spellStart"/>
      <w:r w:rsidRPr="0051709F">
        <w:rPr>
          <w:rFonts w:eastAsia="Times New Roman" w:cstheme="minorHAnsi"/>
          <w:lang w:eastAsia="es-ES"/>
        </w:rPr>
        <w:t>Dance</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Revolution</w:t>
      </w:r>
      <w:proofErr w:type="spellEnd"/>
      <w:r w:rsidRPr="0051709F">
        <w:rPr>
          <w:rFonts w:eastAsia="Times New Roman" w:cstheme="minorHAnsi"/>
          <w:lang w:eastAsia="es-ES"/>
        </w:rPr>
        <w:t xml:space="preserve">, al ofrecer desafío, metas autodirigidas y la posibilidad de interactuar con otras personas (Gao et al., 2013). </w:t>
      </w:r>
    </w:p>
    <w:p w14:paraId="4EEDE92F" w14:textId="77777777" w:rsidR="007B102F" w:rsidRPr="0051709F" w:rsidRDefault="007B102F" w:rsidP="007B102F">
      <w:pPr>
        <w:shd w:val="clear" w:color="auto" w:fill="FFFFFF"/>
        <w:jc w:val="both"/>
        <w:rPr>
          <w:rFonts w:eastAsia="Times New Roman" w:cstheme="minorHAnsi"/>
          <w:lang w:eastAsia="es-ES"/>
        </w:rPr>
      </w:pPr>
    </w:p>
    <w:p w14:paraId="1817954E"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Otra de las ventajas que podría tener el uso de este tipo de herramientas lúdicas es la promoción de actividad física en los niños. Estudios de laboratorio indicaron que era una estrategia efectiva que podría facilitar la promoción de actividad física (</w:t>
      </w:r>
      <w:proofErr w:type="spellStart"/>
      <w:r w:rsidRPr="0051709F">
        <w:rPr>
          <w:rFonts w:eastAsia="Times New Roman" w:cstheme="minorHAnsi"/>
          <w:lang w:eastAsia="es-ES"/>
        </w:rPr>
        <w:t>Biddiss</w:t>
      </w:r>
      <w:proofErr w:type="spellEnd"/>
      <w:r w:rsidRPr="0051709F">
        <w:rPr>
          <w:rFonts w:eastAsia="Times New Roman" w:cstheme="minorHAnsi"/>
          <w:lang w:eastAsia="es-ES"/>
        </w:rPr>
        <w:t xml:space="preserve"> e Irwin, 2010; </w:t>
      </w:r>
      <w:proofErr w:type="spellStart"/>
      <w:r w:rsidRPr="0051709F">
        <w:rPr>
          <w:rFonts w:eastAsia="Times New Roman" w:cstheme="minorHAnsi"/>
          <w:lang w:eastAsia="es-ES"/>
        </w:rPr>
        <w:t>Lanningham</w:t>
      </w:r>
      <w:proofErr w:type="spellEnd"/>
      <w:r w:rsidRPr="0051709F">
        <w:rPr>
          <w:rFonts w:eastAsia="Times New Roman" w:cstheme="minorHAnsi"/>
          <w:lang w:eastAsia="es-ES"/>
        </w:rPr>
        <w:t xml:space="preserve">-Foster et al., 2006). Gao et al. (2013) indican que el Dance </w:t>
      </w:r>
      <w:proofErr w:type="spellStart"/>
      <w:r w:rsidRPr="0051709F">
        <w:rPr>
          <w:rFonts w:eastAsia="Times New Roman" w:cstheme="minorHAnsi"/>
          <w:lang w:eastAsia="es-ES"/>
        </w:rPr>
        <w:t>Dance</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lastRenderedPageBreak/>
        <w:t>Revolution</w:t>
      </w:r>
      <w:proofErr w:type="spellEnd"/>
      <w:r w:rsidRPr="0051709F">
        <w:rPr>
          <w:rFonts w:eastAsia="Times New Roman" w:cstheme="minorHAnsi"/>
          <w:lang w:eastAsia="es-ES"/>
        </w:rPr>
        <w:t xml:space="preserve"> podría ser efectivo en la participación posterior de actividad física. Más contundentes se muestran otros estudios al indicar la eficacia de los juegos de baile interactivos en el incremento de la actividad física posterior en niños y jóvenes (Epstein et al., 2007; Graf et al., 2009; Murphy et al., 2009; </w:t>
      </w:r>
      <w:proofErr w:type="spellStart"/>
      <w:r w:rsidRPr="0051709F">
        <w:rPr>
          <w:rFonts w:eastAsia="Times New Roman" w:cstheme="minorHAnsi"/>
          <w:lang w:eastAsia="es-ES"/>
        </w:rPr>
        <w:t>Sell</w:t>
      </w:r>
      <w:proofErr w:type="spellEnd"/>
      <w:r w:rsidRPr="0051709F">
        <w:rPr>
          <w:rFonts w:eastAsia="Times New Roman" w:cstheme="minorHAnsi"/>
          <w:lang w:eastAsia="es-ES"/>
        </w:rPr>
        <w:t xml:space="preserve"> et al., 2008). Estos videojuegos involucran a los niños en la actividad física incrementando el gasto energético (Bailey, y </w:t>
      </w:r>
      <w:proofErr w:type="spellStart"/>
      <w:r w:rsidRPr="0051709F">
        <w:rPr>
          <w:rFonts w:eastAsia="Times New Roman" w:cstheme="minorHAnsi"/>
          <w:lang w:eastAsia="es-ES"/>
        </w:rPr>
        <w:t>McInnis</w:t>
      </w:r>
      <w:proofErr w:type="spellEnd"/>
      <w:r w:rsidRPr="0051709F">
        <w:rPr>
          <w:rFonts w:eastAsia="Times New Roman" w:cstheme="minorHAnsi"/>
          <w:lang w:eastAsia="es-ES"/>
        </w:rPr>
        <w:t>, 2011). Además, la investigación ha demostrado que estos recursos lúdicos tienen efectos positivos en habilidades motoras finas y gruesas (Gunter, 2005).</w:t>
      </w:r>
    </w:p>
    <w:p w14:paraId="5BC79405" w14:textId="77777777" w:rsidR="007B102F" w:rsidRPr="0051709F" w:rsidRDefault="007B102F" w:rsidP="007B102F">
      <w:pPr>
        <w:shd w:val="clear" w:color="auto" w:fill="FFFFFF"/>
        <w:jc w:val="both"/>
        <w:rPr>
          <w:rFonts w:eastAsia="Times New Roman" w:cstheme="minorHAnsi"/>
          <w:lang w:eastAsia="es-ES"/>
        </w:rPr>
      </w:pPr>
    </w:p>
    <w:p w14:paraId="128676FC"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Sin embargo, la intensidad de la actividad física generada en los videojuegos activos es leve o moderada (</w:t>
      </w:r>
      <w:proofErr w:type="spellStart"/>
      <w:r w:rsidRPr="0051709F">
        <w:rPr>
          <w:rFonts w:eastAsia="Times New Roman" w:cstheme="minorHAnsi"/>
          <w:lang w:eastAsia="es-ES"/>
        </w:rPr>
        <w:t>Biddiss</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Lanningham</w:t>
      </w:r>
      <w:proofErr w:type="spellEnd"/>
      <w:r w:rsidRPr="0051709F">
        <w:rPr>
          <w:rFonts w:eastAsia="Times New Roman" w:cstheme="minorHAnsi"/>
          <w:lang w:eastAsia="es-ES"/>
        </w:rPr>
        <w:t xml:space="preserve">-Foster et al., 2006; </w:t>
      </w:r>
      <w:proofErr w:type="spellStart"/>
      <w:r w:rsidRPr="0051709F">
        <w:rPr>
          <w:rFonts w:eastAsia="Times New Roman" w:cstheme="minorHAnsi"/>
          <w:lang w:eastAsia="es-ES"/>
        </w:rPr>
        <w:t>Peng</w:t>
      </w:r>
      <w:proofErr w:type="spellEnd"/>
      <w:r w:rsidRPr="0051709F">
        <w:rPr>
          <w:rFonts w:eastAsia="Times New Roman" w:cstheme="minorHAnsi"/>
          <w:lang w:eastAsia="es-ES"/>
        </w:rPr>
        <w:t xml:space="preserve"> et al., 2011) y, probablemente por esta razón, este elemento recreativo no proporcione las mismas oportunidades para la actividad física que una clase de educación física (Chen Ang, 2013). En otro estudio, Gao </w:t>
      </w:r>
      <w:proofErr w:type="spellStart"/>
      <w:r w:rsidRPr="0051709F">
        <w:rPr>
          <w:rFonts w:eastAsia="Times New Roman" w:cstheme="minorHAnsi"/>
          <w:lang w:eastAsia="es-ES"/>
        </w:rPr>
        <w:t>Zan</w:t>
      </w:r>
      <w:proofErr w:type="spellEnd"/>
      <w:r w:rsidRPr="0051709F">
        <w:rPr>
          <w:rFonts w:eastAsia="Times New Roman" w:cstheme="minorHAnsi"/>
          <w:lang w:eastAsia="es-ES"/>
        </w:rPr>
        <w:t xml:space="preserve"> et al. (2013) confirman esta idea al comprobar que los niños emplearon más tiempo en actividad física de moderada a vigorosa en una sesión de aeróbic que en el Dance </w:t>
      </w:r>
      <w:proofErr w:type="spellStart"/>
      <w:r w:rsidRPr="0051709F">
        <w:rPr>
          <w:rFonts w:eastAsia="Times New Roman" w:cstheme="minorHAnsi"/>
          <w:lang w:eastAsia="es-ES"/>
        </w:rPr>
        <w:t>Dance</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Revolution</w:t>
      </w:r>
      <w:proofErr w:type="spellEnd"/>
      <w:r w:rsidRPr="0051709F">
        <w:rPr>
          <w:rFonts w:eastAsia="Times New Roman" w:cstheme="minorHAnsi"/>
          <w:lang w:eastAsia="es-ES"/>
        </w:rPr>
        <w:t xml:space="preserve">. </w:t>
      </w:r>
    </w:p>
    <w:p w14:paraId="4B8F5BFE" w14:textId="77777777" w:rsidR="007B102F" w:rsidRPr="0051709F" w:rsidRDefault="007B102F" w:rsidP="007B102F">
      <w:pPr>
        <w:shd w:val="clear" w:color="auto" w:fill="FFFFFF"/>
        <w:jc w:val="both"/>
        <w:rPr>
          <w:rFonts w:eastAsia="Times New Roman" w:cstheme="minorHAnsi"/>
          <w:lang w:eastAsia="es-ES"/>
        </w:rPr>
      </w:pPr>
    </w:p>
    <w:p w14:paraId="55C8ECD3"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Existen algunas estrategias que pueden equiparar los niveles de ejercicio entre los juegos tradicionales o clases de educación física y los videojuegos activos. Una de ellas consiste en aumentar el número de extremidades implicadas en el videojuego (Graves et al., 2008; </w:t>
      </w:r>
      <w:proofErr w:type="spellStart"/>
      <w:r w:rsidRPr="0051709F">
        <w:rPr>
          <w:rFonts w:eastAsia="Times New Roman" w:cstheme="minorHAnsi"/>
          <w:lang w:eastAsia="es-ES"/>
        </w:rPr>
        <w:t>Jordan</w:t>
      </w:r>
      <w:proofErr w:type="spellEnd"/>
      <w:r w:rsidRPr="0051709F">
        <w:rPr>
          <w:rFonts w:eastAsia="Times New Roman" w:cstheme="minorHAnsi"/>
          <w:lang w:eastAsia="es-ES"/>
        </w:rPr>
        <w:t xml:space="preserve"> et al., 2011) ya que muchos de los mismos se reproducen con un brazo y con poco movimiento de las extremidades inferiores (</w:t>
      </w:r>
      <w:proofErr w:type="spellStart"/>
      <w:r w:rsidRPr="0051709F">
        <w:rPr>
          <w:rFonts w:eastAsia="Times New Roman" w:cstheme="minorHAnsi"/>
          <w:lang w:eastAsia="es-ES"/>
        </w:rPr>
        <w:t>Roemmich</w:t>
      </w:r>
      <w:proofErr w:type="spellEnd"/>
      <w:r w:rsidRPr="0051709F">
        <w:rPr>
          <w:rFonts w:eastAsia="Times New Roman" w:cstheme="minorHAnsi"/>
          <w:lang w:eastAsia="es-ES"/>
        </w:rPr>
        <w:t xml:space="preserve"> et al., 2012) produciendo sólo pequeños aumentos en el gasto de energía. Por otro lado, el uso de una variedad de videojuegos activos que incluyan oportunidades para la exploración y varios niveles de desafíos podría resultar en una mayor intensidad de actividad física a lo largo del tiempo (</w:t>
      </w:r>
      <w:proofErr w:type="spellStart"/>
      <w:r w:rsidRPr="0051709F">
        <w:rPr>
          <w:rFonts w:eastAsia="Times New Roman" w:cstheme="minorHAnsi"/>
          <w:lang w:eastAsia="es-ES"/>
        </w:rPr>
        <w:t>Sun</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Haichun</w:t>
      </w:r>
      <w:proofErr w:type="spellEnd"/>
      <w:r w:rsidRPr="0051709F">
        <w:rPr>
          <w:rFonts w:eastAsia="Times New Roman" w:cstheme="minorHAnsi"/>
          <w:lang w:eastAsia="es-ES"/>
        </w:rPr>
        <w:t xml:space="preserve">, 2013). Otra de las estrategias que pueden ayudar a incrementar los niveles de actividad física es la fijación de metas específicas, siendo las más difíciles las que se relacionan con los niveles más altos de actividad física (Gao y </w:t>
      </w:r>
      <w:proofErr w:type="spellStart"/>
      <w:r w:rsidRPr="0051709F">
        <w:rPr>
          <w:rFonts w:eastAsia="Times New Roman" w:cstheme="minorHAnsi"/>
          <w:lang w:eastAsia="es-ES"/>
        </w:rPr>
        <w:t>Podlog</w:t>
      </w:r>
      <w:proofErr w:type="spellEnd"/>
      <w:r w:rsidRPr="0051709F">
        <w:rPr>
          <w:rFonts w:eastAsia="Times New Roman" w:cstheme="minorHAnsi"/>
          <w:lang w:eastAsia="es-ES"/>
        </w:rPr>
        <w:t xml:space="preserve">, 2012). </w:t>
      </w:r>
    </w:p>
    <w:p w14:paraId="1832346B" w14:textId="77777777" w:rsidR="007B102F" w:rsidRPr="0051709F" w:rsidRDefault="007B102F" w:rsidP="007B102F">
      <w:pPr>
        <w:shd w:val="clear" w:color="auto" w:fill="FFFFFF"/>
        <w:jc w:val="both"/>
        <w:rPr>
          <w:rFonts w:eastAsia="Times New Roman" w:cstheme="minorHAnsi"/>
          <w:lang w:eastAsia="es-ES"/>
        </w:rPr>
      </w:pPr>
    </w:p>
    <w:p w14:paraId="5911B793" w14:textId="72B08E65" w:rsidR="007B102F" w:rsidRPr="0051709F" w:rsidRDefault="007F2447" w:rsidP="007B102F">
      <w:pPr>
        <w:shd w:val="clear" w:color="auto" w:fill="FFFFFF"/>
        <w:jc w:val="both"/>
        <w:rPr>
          <w:rFonts w:eastAsia="Times New Roman" w:cstheme="minorHAnsi"/>
          <w:b/>
          <w:bCs/>
          <w:lang w:eastAsia="es-ES"/>
        </w:rPr>
      </w:pPr>
      <w:r>
        <w:rPr>
          <w:rFonts w:eastAsia="Times New Roman" w:cstheme="minorHAnsi"/>
          <w:b/>
          <w:bCs/>
          <w:lang w:eastAsia="es-ES"/>
        </w:rPr>
        <w:t xml:space="preserve">B) </w:t>
      </w:r>
      <w:r w:rsidR="007B102F" w:rsidRPr="0051709F">
        <w:rPr>
          <w:rFonts w:eastAsia="Times New Roman" w:cstheme="minorHAnsi"/>
          <w:b/>
          <w:bCs/>
          <w:lang w:eastAsia="es-ES"/>
        </w:rPr>
        <w:t>Influencia del entorno físico</w:t>
      </w:r>
    </w:p>
    <w:p w14:paraId="17BC5FEA" w14:textId="77777777" w:rsidR="007B102F" w:rsidRPr="0051709F" w:rsidRDefault="007B102F" w:rsidP="007B102F">
      <w:pPr>
        <w:shd w:val="clear" w:color="auto" w:fill="FFFFFF"/>
        <w:jc w:val="both"/>
        <w:rPr>
          <w:rFonts w:eastAsia="Times New Roman" w:cstheme="minorHAnsi"/>
          <w:lang w:eastAsia="es-ES"/>
        </w:rPr>
      </w:pPr>
    </w:p>
    <w:p w14:paraId="30B861DC" w14:textId="1ECCD9F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El papel que juegan las instalaciones deportivas y entornos de actividad física en el contexto escolar es determinante. La investigación manifiesta que proporcionar acceso a una serie de espacios e instalaciones puede estimular la actividad física mediante el aumento de la elección y la proporción de entornos concretos que faciliten comportamientos activos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2007;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et al., 1999; Wechsler et al., 2000). La literatura afirma que los estudiantes de escuelas con muchas instalaciones deportivas tuvieron probabilidades significativamente mayores de ser físicamente activos (</w:t>
      </w:r>
      <w:proofErr w:type="spellStart"/>
      <w:r w:rsidRPr="0051709F">
        <w:rPr>
          <w:rFonts w:eastAsia="Times New Roman" w:cstheme="minorHAnsi"/>
          <w:lang w:eastAsia="es-ES"/>
        </w:rPr>
        <w:t>Haug</w:t>
      </w:r>
      <w:proofErr w:type="spellEnd"/>
      <w:r w:rsidRPr="0051709F">
        <w:rPr>
          <w:rFonts w:eastAsia="Times New Roman" w:cstheme="minorHAnsi"/>
          <w:lang w:eastAsia="es-ES"/>
        </w:rPr>
        <w:t xml:space="preserve"> et al., 2008). Por lo general, los niños suelen ser más activos en las grandes zonas de juegos (Escalante et al., 2012; </w:t>
      </w:r>
      <w:proofErr w:type="spellStart"/>
      <w:r w:rsidRPr="0051709F">
        <w:rPr>
          <w:rFonts w:eastAsia="Times New Roman" w:cstheme="minorHAnsi"/>
          <w:lang w:eastAsia="es-ES"/>
        </w:rPr>
        <w:t>Zask</w:t>
      </w:r>
      <w:proofErr w:type="spellEnd"/>
      <w:r w:rsidRPr="0051709F">
        <w:rPr>
          <w:rFonts w:eastAsia="Times New Roman" w:cstheme="minorHAnsi"/>
          <w:lang w:eastAsia="es-ES"/>
        </w:rPr>
        <w:t xml:space="preserve"> et al., 2001). Por otro lado, la mayor disposición de infraestructuras recreacionales y elementos naturales en la escuela como árboles y </w:t>
      </w:r>
      <w:r w:rsidR="007673B3" w:rsidRPr="0051709F">
        <w:rPr>
          <w:rFonts w:eastAsia="Times New Roman" w:cstheme="minorHAnsi"/>
          <w:lang w:eastAsia="es-ES"/>
        </w:rPr>
        <w:t>jardines</w:t>
      </w:r>
      <w:r w:rsidRPr="0051709F">
        <w:rPr>
          <w:rFonts w:eastAsia="Times New Roman" w:cstheme="minorHAnsi"/>
          <w:lang w:eastAsia="es-ES"/>
        </w:rPr>
        <w:t xml:space="preserve"> puede afectar a la cantidad y calidad de actividad física de los niños (Davidson et al., 2010; </w:t>
      </w:r>
      <w:proofErr w:type="spellStart"/>
      <w:r w:rsidRPr="0051709F">
        <w:rPr>
          <w:rFonts w:eastAsia="Times New Roman" w:cstheme="minorHAnsi"/>
          <w:lang w:eastAsia="es-ES"/>
        </w:rPr>
        <w:t>McCurdy</w:t>
      </w:r>
      <w:proofErr w:type="spellEnd"/>
      <w:r w:rsidRPr="0051709F">
        <w:rPr>
          <w:rFonts w:eastAsia="Times New Roman" w:cstheme="minorHAnsi"/>
          <w:lang w:eastAsia="es-ES"/>
        </w:rPr>
        <w:t xml:space="preserve"> et al., 2010).</w:t>
      </w:r>
    </w:p>
    <w:p w14:paraId="2C8F0433" w14:textId="77777777" w:rsidR="007B102F" w:rsidRDefault="007B102F" w:rsidP="007B102F">
      <w:pPr>
        <w:shd w:val="clear" w:color="auto" w:fill="FFFFFF"/>
        <w:jc w:val="both"/>
        <w:rPr>
          <w:rFonts w:eastAsia="Times New Roman" w:cstheme="minorHAnsi"/>
          <w:lang w:eastAsia="es-ES"/>
        </w:rPr>
      </w:pPr>
    </w:p>
    <w:p w14:paraId="211849B0" w14:textId="77777777" w:rsidR="00B90BC1" w:rsidRDefault="00B90BC1" w:rsidP="007B102F">
      <w:pPr>
        <w:shd w:val="clear" w:color="auto" w:fill="FFFFFF"/>
        <w:jc w:val="both"/>
        <w:rPr>
          <w:rFonts w:eastAsia="Times New Roman" w:cstheme="minorHAnsi"/>
          <w:lang w:eastAsia="es-ES"/>
        </w:rPr>
      </w:pPr>
    </w:p>
    <w:p w14:paraId="27365F40" w14:textId="77777777" w:rsidR="00B90BC1" w:rsidRDefault="00B90BC1" w:rsidP="007B102F">
      <w:pPr>
        <w:shd w:val="clear" w:color="auto" w:fill="FFFFFF"/>
        <w:jc w:val="both"/>
        <w:rPr>
          <w:rFonts w:eastAsia="Times New Roman" w:cstheme="minorHAnsi"/>
          <w:lang w:eastAsia="es-ES"/>
        </w:rPr>
      </w:pPr>
    </w:p>
    <w:p w14:paraId="117B59F3" w14:textId="77777777" w:rsidR="00B90BC1" w:rsidRPr="0051709F" w:rsidRDefault="00B90BC1" w:rsidP="007B102F">
      <w:pPr>
        <w:shd w:val="clear" w:color="auto" w:fill="FFFFFF"/>
        <w:jc w:val="both"/>
        <w:rPr>
          <w:rFonts w:eastAsia="Times New Roman" w:cstheme="minorHAnsi"/>
          <w:lang w:eastAsia="es-ES"/>
        </w:rPr>
      </w:pPr>
    </w:p>
    <w:p w14:paraId="05A0D2C0" w14:textId="7D05AB5F" w:rsidR="007B102F" w:rsidRPr="0051709F" w:rsidRDefault="007673B3" w:rsidP="007B102F">
      <w:pPr>
        <w:shd w:val="clear" w:color="auto" w:fill="FFFFFF"/>
        <w:jc w:val="both"/>
        <w:rPr>
          <w:rFonts w:eastAsia="Times New Roman" w:cstheme="minorHAnsi"/>
          <w:b/>
          <w:bCs/>
          <w:lang w:eastAsia="es-ES"/>
        </w:rPr>
      </w:pPr>
      <w:r>
        <w:rPr>
          <w:rFonts w:eastAsia="Times New Roman" w:cstheme="minorHAnsi"/>
          <w:b/>
          <w:bCs/>
          <w:lang w:eastAsia="es-ES"/>
        </w:rPr>
        <w:lastRenderedPageBreak/>
        <w:t xml:space="preserve">C) </w:t>
      </w:r>
      <w:r w:rsidR="007B102F" w:rsidRPr="0051709F">
        <w:rPr>
          <w:rFonts w:eastAsia="Times New Roman" w:cstheme="minorHAnsi"/>
          <w:b/>
          <w:bCs/>
          <w:lang w:eastAsia="es-ES"/>
        </w:rPr>
        <w:t>Influencia de los iguales</w:t>
      </w:r>
    </w:p>
    <w:p w14:paraId="05C1C866" w14:textId="77777777" w:rsidR="007B102F" w:rsidRPr="0051709F" w:rsidRDefault="007B102F" w:rsidP="007B102F">
      <w:pPr>
        <w:shd w:val="clear" w:color="auto" w:fill="FFFFFF"/>
        <w:jc w:val="both"/>
        <w:rPr>
          <w:rFonts w:eastAsia="Times New Roman" w:cstheme="minorHAnsi"/>
          <w:lang w:eastAsia="es-ES"/>
        </w:rPr>
      </w:pPr>
    </w:p>
    <w:p w14:paraId="7631B0D1" w14:textId="372235EE"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El colectivo de iguales y compañeros influye mucho en el comportamiento activo de los niños. Existen evidencias de que los iguales y amigos son modelos importantes de actividad física durante la infancia y adolescencia, incrementan el gasto energético de los niños y adolescentes y proporcionan oportunidades para ser activo en el tiempo de ocio (</w:t>
      </w:r>
      <w:proofErr w:type="spellStart"/>
      <w:r w:rsidRPr="0051709F">
        <w:rPr>
          <w:rFonts w:eastAsia="Times New Roman" w:cstheme="minorHAnsi"/>
          <w:lang w:eastAsia="es-ES"/>
        </w:rPr>
        <w:t>Salvy</w:t>
      </w:r>
      <w:proofErr w:type="spellEnd"/>
      <w:r w:rsidRPr="0051709F">
        <w:rPr>
          <w:rFonts w:eastAsia="Times New Roman" w:cstheme="minorHAnsi"/>
          <w:lang w:eastAsia="es-ES"/>
        </w:rPr>
        <w:t xml:space="preserve"> et al., 2012). Por lo que la juventud es más activa en presencia de amigos y sus iguales (</w:t>
      </w:r>
      <w:proofErr w:type="spellStart"/>
      <w:r w:rsidRPr="0051709F">
        <w:rPr>
          <w:rFonts w:eastAsia="Times New Roman" w:cstheme="minorHAnsi"/>
          <w:lang w:eastAsia="es-ES"/>
        </w:rPr>
        <w:t>Salvy</w:t>
      </w:r>
      <w:proofErr w:type="spellEnd"/>
      <w:r w:rsidRPr="0051709F">
        <w:rPr>
          <w:rFonts w:eastAsia="Times New Roman" w:cstheme="minorHAnsi"/>
          <w:lang w:eastAsia="es-ES"/>
        </w:rPr>
        <w:t xml:space="preserve"> et al., 2009; </w:t>
      </w:r>
      <w:proofErr w:type="spellStart"/>
      <w:r w:rsidRPr="0051709F">
        <w:rPr>
          <w:rFonts w:eastAsia="Times New Roman" w:cstheme="minorHAnsi"/>
          <w:lang w:eastAsia="es-ES"/>
        </w:rPr>
        <w:t>Voorhees</w:t>
      </w:r>
      <w:proofErr w:type="spellEnd"/>
      <w:r w:rsidRPr="0051709F">
        <w:rPr>
          <w:rFonts w:eastAsia="Times New Roman" w:cstheme="minorHAnsi"/>
          <w:lang w:eastAsia="es-ES"/>
        </w:rPr>
        <w:t xml:space="preserve"> et al., 2005). Otros estudios trasversales indican que la actividad física se relaciona con el apoyo social, el estímulo y ejemplo de los iguales (Davison, y </w:t>
      </w:r>
      <w:proofErr w:type="spellStart"/>
      <w:r w:rsidRPr="0051709F">
        <w:rPr>
          <w:rFonts w:eastAsia="Times New Roman" w:cstheme="minorHAnsi"/>
          <w:lang w:eastAsia="es-ES"/>
        </w:rPr>
        <w:t>Schmalz</w:t>
      </w:r>
      <w:proofErr w:type="spellEnd"/>
      <w:r w:rsidRPr="0051709F">
        <w:rPr>
          <w:rFonts w:eastAsia="Times New Roman" w:cstheme="minorHAnsi"/>
          <w:lang w:eastAsia="es-ES"/>
        </w:rPr>
        <w:t xml:space="preserve">, 2006; </w:t>
      </w:r>
      <w:proofErr w:type="spellStart"/>
      <w:r w:rsidRPr="0051709F">
        <w:rPr>
          <w:rFonts w:eastAsia="Times New Roman" w:cstheme="minorHAnsi"/>
          <w:lang w:eastAsia="es-ES"/>
        </w:rPr>
        <w:t>Hohepa</w:t>
      </w:r>
      <w:proofErr w:type="spellEnd"/>
      <w:r w:rsidRPr="0051709F">
        <w:rPr>
          <w:rFonts w:eastAsia="Times New Roman" w:cstheme="minorHAnsi"/>
          <w:lang w:eastAsia="es-ES"/>
        </w:rPr>
        <w:t xml:space="preserve"> et al., 2007). Parece evidente que tener amigos es clave en el desarrollo de hábitos saludables y activos que aseguren el cumplimiento de las recomendaciones de ejercicio en los niños. </w:t>
      </w:r>
    </w:p>
    <w:p w14:paraId="6B5931DE" w14:textId="77777777" w:rsidR="007B102F" w:rsidRPr="0051709F" w:rsidRDefault="007B102F" w:rsidP="007B102F">
      <w:pPr>
        <w:shd w:val="clear" w:color="auto" w:fill="FFFFFF"/>
        <w:jc w:val="both"/>
        <w:rPr>
          <w:rFonts w:eastAsia="Times New Roman" w:cstheme="minorHAnsi"/>
          <w:lang w:eastAsia="es-ES"/>
        </w:rPr>
      </w:pPr>
    </w:p>
    <w:p w14:paraId="57DAF9DF"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Por otro lado, también se ha demostrado que el tipo de relación que se tenga con los iguales es determinante en la actividad física individual. No basta con tener compañeros que hagan ejercicio, es necesario contar con buenos amigos que estimulen y animen a practicar ejercicio. Así pues, la percepción de apoyo que se tiene de los mismos y las buenas relaciones están positivamente asociadas a una participación en actividad física (Anderssen, y </w:t>
      </w:r>
      <w:proofErr w:type="spellStart"/>
      <w:r w:rsidRPr="0051709F">
        <w:rPr>
          <w:rFonts w:eastAsia="Times New Roman" w:cstheme="minorHAnsi"/>
          <w:lang w:eastAsia="es-ES"/>
        </w:rPr>
        <w:t>Wold</w:t>
      </w:r>
      <w:proofErr w:type="spellEnd"/>
      <w:r w:rsidRPr="0051709F">
        <w:rPr>
          <w:rFonts w:eastAsia="Times New Roman" w:cstheme="minorHAnsi"/>
          <w:lang w:eastAsia="es-ES"/>
        </w:rPr>
        <w:t xml:space="preserve">, 1992; Davison, y </w:t>
      </w:r>
      <w:proofErr w:type="spellStart"/>
      <w:r w:rsidRPr="0051709F">
        <w:rPr>
          <w:rFonts w:eastAsia="Times New Roman" w:cstheme="minorHAnsi"/>
          <w:lang w:eastAsia="es-ES"/>
        </w:rPr>
        <w:t>Jago</w:t>
      </w:r>
      <w:proofErr w:type="spellEnd"/>
      <w:r w:rsidRPr="0051709F">
        <w:rPr>
          <w:rFonts w:eastAsia="Times New Roman" w:cstheme="minorHAnsi"/>
          <w:lang w:eastAsia="es-ES"/>
        </w:rPr>
        <w:t xml:space="preserve">, 2009; </w:t>
      </w:r>
      <w:proofErr w:type="spellStart"/>
      <w:r w:rsidRPr="0051709F">
        <w:rPr>
          <w:rFonts w:eastAsia="Times New Roman" w:cstheme="minorHAnsi"/>
          <w:lang w:eastAsia="es-ES"/>
        </w:rPr>
        <w:t>Finnerty</w:t>
      </w:r>
      <w:proofErr w:type="spellEnd"/>
      <w:r w:rsidRPr="0051709F">
        <w:rPr>
          <w:rFonts w:eastAsia="Times New Roman" w:cstheme="minorHAnsi"/>
          <w:lang w:eastAsia="es-ES"/>
        </w:rPr>
        <w:t xml:space="preserve"> et al., 2010; Smith, 2009). En esta misma línea, </w:t>
      </w:r>
      <w:proofErr w:type="spellStart"/>
      <w:r w:rsidRPr="0051709F">
        <w:rPr>
          <w:rFonts w:eastAsia="Times New Roman" w:cstheme="minorHAnsi"/>
          <w:lang w:eastAsia="es-ES"/>
        </w:rPr>
        <w:t>Salvy</w:t>
      </w:r>
      <w:proofErr w:type="spellEnd"/>
      <w:r w:rsidRPr="0051709F">
        <w:rPr>
          <w:rFonts w:eastAsia="Times New Roman" w:cstheme="minorHAnsi"/>
          <w:lang w:eastAsia="es-ES"/>
        </w:rPr>
        <w:t xml:space="preserve"> et al. (2012) afirman que tener amigos, compañeros para jugar y buenas relaciones fomenta y facilita la participación de actividad física en niños y adolescentes. </w:t>
      </w:r>
    </w:p>
    <w:p w14:paraId="06B0D355" w14:textId="77777777" w:rsidR="007B102F" w:rsidRPr="0051709F" w:rsidRDefault="007B102F" w:rsidP="007B102F">
      <w:pPr>
        <w:shd w:val="clear" w:color="auto" w:fill="FFFFFF"/>
        <w:jc w:val="both"/>
        <w:rPr>
          <w:rFonts w:eastAsia="Times New Roman" w:cstheme="minorHAnsi"/>
          <w:lang w:eastAsia="es-ES"/>
        </w:rPr>
      </w:pPr>
    </w:p>
    <w:p w14:paraId="48A805E5"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La imagen que se tiene de aquellos niños que hacen ejercicio es muy positiva. Se ha descubierto que los que practican actividad física son considerados como sociables, confiados y con mayor autocontrol que el resto (Martin et al., 2000). El tener amigos que reúnen estas características genera una impresión en los niños que es positiva y que ayuda a facilitar comportamientos activos. Así pues, el manejo de la impresión es un importante mecanismo que apuntala los efectos de los iguales en la actividad física debido a la naturaleza social de las actividades en el tiempo de ocio, y la asociación entre la actividad física y el estatus de los iguales (</w:t>
      </w:r>
      <w:proofErr w:type="spellStart"/>
      <w:r w:rsidRPr="0051709F">
        <w:rPr>
          <w:rFonts w:eastAsia="Times New Roman" w:cstheme="minorHAnsi"/>
          <w:lang w:eastAsia="es-ES"/>
        </w:rPr>
        <w:t>Ommundsen</w:t>
      </w:r>
      <w:proofErr w:type="spellEnd"/>
      <w:r w:rsidRPr="0051709F">
        <w:rPr>
          <w:rFonts w:eastAsia="Times New Roman" w:cstheme="minorHAnsi"/>
          <w:lang w:eastAsia="es-ES"/>
        </w:rPr>
        <w:t xml:space="preserve"> et al., 2010).</w:t>
      </w:r>
    </w:p>
    <w:p w14:paraId="70F70DDC" w14:textId="77777777" w:rsidR="007B102F" w:rsidRPr="0051709F" w:rsidRDefault="007B102F" w:rsidP="007B102F">
      <w:pPr>
        <w:shd w:val="clear" w:color="auto" w:fill="FFFFFF"/>
        <w:jc w:val="both"/>
        <w:rPr>
          <w:rFonts w:eastAsia="Times New Roman" w:cstheme="minorHAnsi"/>
          <w:lang w:eastAsia="es-ES"/>
        </w:rPr>
      </w:pPr>
    </w:p>
    <w:p w14:paraId="50DBB1CC" w14:textId="0DCA0164" w:rsidR="007B102F" w:rsidRPr="0051709F" w:rsidRDefault="007673B3" w:rsidP="007B102F">
      <w:pPr>
        <w:shd w:val="clear" w:color="auto" w:fill="FFFFFF"/>
        <w:jc w:val="both"/>
        <w:rPr>
          <w:rFonts w:eastAsia="Times New Roman" w:cstheme="minorHAnsi"/>
          <w:b/>
          <w:bCs/>
          <w:lang w:eastAsia="es-ES"/>
        </w:rPr>
      </w:pPr>
      <w:r>
        <w:rPr>
          <w:rFonts w:eastAsia="Times New Roman" w:cstheme="minorHAnsi"/>
          <w:b/>
          <w:bCs/>
          <w:lang w:eastAsia="es-ES"/>
        </w:rPr>
        <w:t xml:space="preserve">D) </w:t>
      </w:r>
      <w:r w:rsidR="007B102F" w:rsidRPr="0051709F">
        <w:rPr>
          <w:rFonts w:eastAsia="Times New Roman" w:cstheme="minorHAnsi"/>
          <w:b/>
          <w:bCs/>
          <w:lang w:eastAsia="es-ES"/>
        </w:rPr>
        <w:t>Influencia familiar</w:t>
      </w:r>
    </w:p>
    <w:p w14:paraId="1740C923" w14:textId="77777777" w:rsidR="007B102F" w:rsidRPr="0051709F" w:rsidRDefault="007B102F" w:rsidP="007B102F">
      <w:pPr>
        <w:shd w:val="clear" w:color="auto" w:fill="FFFFFF"/>
        <w:jc w:val="both"/>
        <w:rPr>
          <w:rFonts w:eastAsia="Times New Roman" w:cstheme="minorHAnsi"/>
          <w:lang w:eastAsia="es-ES"/>
        </w:rPr>
      </w:pPr>
    </w:p>
    <w:p w14:paraId="2B70F804"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Los padres tienen un campo de acción muy grande en la promoción de actividad física de sus hijos. La literatura indica que pueden afectar la participación de los hijos en el ejercicio a través de modelos de conductas de actividad física (Bois et al., 2005). Muchos estudios afirman que los niveles de actividad física de los padres influyen y se encuentran significativamente relacionados con las creencias y la actividad física de sus hijos (Bois et al., 2005; </w:t>
      </w:r>
      <w:proofErr w:type="spellStart"/>
      <w:r w:rsidRPr="0051709F">
        <w:rPr>
          <w:rFonts w:eastAsia="Times New Roman" w:cstheme="minorHAnsi"/>
          <w:lang w:eastAsia="es-ES"/>
        </w:rPr>
        <w:t>Kimiecik</w:t>
      </w:r>
      <w:proofErr w:type="spellEnd"/>
      <w:r w:rsidRPr="0051709F">
        <w:rPr>
          <w:rFonts w:eastAsia="Times New Roman" w:cstheme="minorHAnsi"/>
          <w:lang w:eastAsia="es-ES"/>
        </w:rPr>
        <w:t xml:space="preserve"> et al., 1996;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et al., 1999; </w:t>
      </w:r>
      <w:proofErr w:type="spellStart"/>
      <w:r w:rsidRPr="0051709F">
        <w:rPr>
          <w:rFonts w:eastAsia="Times New Roman" w:cstheme="minorHAnsi"/>
          <w:lang w:eastAsia="es-ES"/>
        </w:rPr>
        <w:t>Welk</w:t>
      </w:r>
      <w:proofErr w:type="spellEnd"/>
      <w:r w:rsidRPr="0051709F">
        <w:rPr>
          <w:rFonts w:eastAsia="Times New Roman" w:cstheme="minorHAnsi"/>
          <w:lang w:eastAsia="es-ES"/>
        </w:rPr>
        <w:t xml:space="preserve"> et al., 2003). Además de tener estilos de vida activos, los padres que comparten el ejercicio con los hijos pueden estar fomentando la actividad física de los mismos en su tiempo libre (</w:t>
      </w:r>
      <w:proofErr w:type="spellStart"/>
      <w:r w:rsidRPr="0051709F">
        <w:rPr>
          <w:rFonts w:eastAsia="Times New Roman" w:cstheme="minorHAnsi"/>
          <w:lang w:eastAsia="es-ES"/>
        </w:rPr>
        <w:t>Heitzler</w:t>
      </w:r>
      <w:proofErr w:type="spellEnd"/>
      <w:r w:rsidRPr="0051709F">
        <w:rPr>
          <w:rFonts w:eastAsia="Times New Roman" w:cstheme="minorHAnsi"/>
          <w:lang w:eastAsia="es-ES"/>
        </w:rPr>
        <w:t xml:space="preserve"> et al., 2006). </w:t>
      </w:r>
    </w:p>
    <w:p w14:paraId="27E7830D" w14:textId="77777777" w:rsidR="007B102F" w:rsidRPr="0051709F" w:rsidRDefault="007B102F" w:rsidP="007B102F">
      <w:pPr>
        <w:shd w:val="clear" w:color="auto" w:fill="FFFFFF"/>
        <w:jc w:val="both"/>
        <w:rPr>
          <w:rFonts w:eastAsia="Times New Roman" w:cstheme="minorHAnsi"/>
          <w:lang w:eastAsia="es-ES"/>
        </w:rPr>
      </w:pPr>
    </w:p>
    <w:p w14:paraId="779B5C24"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Por otro lado, la comunicación entre los padres y los hijos puede ser muy importante en la promoción del ejercicio (Ornelas et al., 2007). Algunos procesos comunicativos como el estímulo, la alabanza y el apego tienen un gran impacto en la participación de los hijos </w:t>
      </w:r>
      <w:r w:rsidRPr="0051709F">
        <w:rPr>
          <w:rFonts w:eastAsia="Times New Roman" w:cstheme="minorHAnsi"/>
          <w:lang w:eastAsia="es-ES"/>
        </w:rPr>
        <w:lastRenderedPageBreak/>
        <w:t>en actividad física (</w:t>
      </w:r>
      <w:proofErr w:type="spellStart"/>
      <w:r w:rsidRPr="0051709F">
        <w:rPr>
          <w:rFonts w:eastAsia="Times New Roman" w:cstheme="minorHAnsi"/>
          <w:lang w:eastAsia="es-ES"/>
        </w:rPr>
        <w:t>Dzewaltowski</w:t>
      </w:r>
      <w:proofErr w:type="spellEnd"/>
      <w:r w:rsidRPr="0051709F">
        <w:rPr>
          <w:rFonts w:eastAsia="Times New Roman" w:cstheme="minorHAnsi"/>
          <w:lang w:eastAsia="es-ES"/>
        </w:rPr>
        <w:t xml:space="preserve"> et al., 2008; Ornelas et al., 2007; </w:t>
      </w:r>
      <w:proofErr w:type="spellStart"/>
      <w:r w:rsidRPr="0051709F">
        <w:rPr>
          <w:rFonts w:eastAsia="Times New Roman" w:cstheme="minorHAnsi"/>
          <w:lang w:eastAsia="es-ES"/>
        </w:rPr>
        <w:t>Trost</w:t>
      </w:r>
      <w:proofErr w:type="spellEnd"/>
      <w:r w:rsidRPr="0051709F">
        <w:rPr>
          <w:rFonts w:eastAsia="Times New Roman" w:cstheme="minorHAnsi"/>
          <w:lang w:eastAsia="es-ES"/>
        </w:rPr>
        <w:t xml:space="preserve"> et al., 2003). Además, se ha demostrado que el estímulo de los padres hacia los hijos está positivamente asociado a la adherencia de </w:t>
      </w:r>
      <w:proofErr w:type="gramStart"/>
      <w:r w:rsidRPr="0051709F">
        <w:rPr>
          <w:rFonts w:eastAsia="Times New Roman" w:cstheme="minorHAnsi"/>
          <w:lang w:eastAsia="es-ES"/>
        </w:rPr>
        <w:t>los mismos</w:t>
      </w:r>
      <w:proofErr w:type="gramEnd"/>
      <w:r w:rsidRPr="0051709F">
        <w:rPr>
          <w:rFonts w:eastAsia="Times New Roman" w:cstheme="minorHAnsi"/>
          <w:lang w:eastAsia="es-ES"/>
        </w:rPr>
        <w:t xml:space="preserve"> en actividades deportivas (</w:t>
      </w:r>
      <w:proofErr w:type="spellStart"/>
      <w:r w:rsidRPr="0051709F">
        <w:rPr>
          <w:rFonts w:eastAsia="Times New Roman" w:cstheme="minorHAnsi"/>
          <w:lang w:eastAsia="es-ES"/>
        </w:rPr>
        <w:t>Brustad</w:t>
      </w:r>
      <w:proofErr w:type="spellEnd"/>
      <w:r w:rsidRPr="0051709F">
        <w:rPr>
          <w:rFonts w:eastAsia="Times New Roman" w:cstheme="minorHAnsi"/>
          <w:lang w:eastAsia="es-ES"/>
        </w:rPr>
        <w:t>, 1993, 1996) y a mayores niveles de actividad física (</w:t>
      </w:r>
      <w:proofErr w:type="spellStart"/>
      <w:r w:rsidRPr="0051709F">
        <w:rPr>
          <w:rFonts w:eastAsia="Times New Roman" w:cstheme="minorHAnsi"/>
          <w:lang w:eastAsia="es-ES"/>
        </w:rPr>
        <w:t>Hohepa</w:t>
      </w:r>
      <w:proofErr w:type="spellEnd"/>
      <w:r w:rsidRPr="0051709F">
        <w:rPr>
          <w:rFonts w:eastAsia="Times New Roman" w:cstheme="minorHAnsi"/>
          <w:lang w:eastAsia="es-ES"/>
        </w:rPr>
        <w:t xml:space="preserve"> et al., 2007; Smith, 2005; </w:t>
      </w:r>
      <w:proofErr w:type="spellStart"/>
      <w:r w:rsidRPr="0051709F">
        <w:rPr>
          <w:rFonts w:eastAsia="Times New Roman" w:cstheme="minorHAnsi"/>
          <w:lang w:eastAsia="es-ES"/>
        </w:rPr>
        <w:t>Welk</w:t>
      </w:r>
      <w:proofErr w:type="spellEnd"/>
      <w:r w:rsidRPr="0051709F">
        <w:rPr>
          <w:rFonts w:eastAsia="Times New Roman" w:cstheme="minorHAnsi"/>
          <w:lang w:eastAsia="es-ES"/>
        </w:rPr>
        <w:t xml:space="preserve"> et al., 2003). Sin embargo, se debe animar y alentar a los hijos en la justa medida. Está demostrado que un control excesivo socava la motivación intrínseca, la reducción de los sentimientos de autodeterminación e impide la autonomía del niño (</w:t>
      </w:r>
      <w:proofErr w:type="spellStart"/>
      <w:r w:rsidRPr="0051709F">
        <w:rPr>
          <w:rFonts w:eastAsia="Times New Roman" w:cstheme="minorHAnsi"/>
          <w:lang w:eastAsia="es-ES"/>
        </w:rPr>
        <w:t>Deci</w:t>
      </w:r>
      <w:proofErr w:type="spellEnd"/>
      <w:r w:rsidRPr="0051709F">
        <w:rPr>
          <w:rFonts w:eastAsia="Times New Roman" w:cstheme="minorHAnsi"/>
          <w:lang w:eastAsia="es-ES"/>
        </w:rPr>
        <w:t xml:space="preserve"> et al., 1993; </w:t>
      </w:r>
      <w:proofErr w:type="spellStart"/>
      <w:r w:rsidRPr="0051709F">
        <w:rPr>
          <w:rFonts w:eastAsia="Times New Roman" w:cstheme="minorHAnsi"/>
          <w:lang w:eastAsia="es-ES"/>
        </w:rPr>
        <w:t>Grolnick</w:t>
      </w:r>
      <w:proofErr w:type="spellEnd"/>
      <w:r w:rsidRPr="0051709F">
        <w:rPr>
          <w:rFonts w:eastAsia="Times New Roman" w:cstheme="minorHAnsi"/>
          <w:lang w:eastAsia="es-ES"/>
        </w:rPr>
        <w:t xml:space="preserve"> y Ryan, 1989).</w:t>
      </w:r>
    </w:p>
    <w:p w14:paraId="1E2AC9CA" w14:textId="77777777" w:rsidR="007B102F" w:rsidRPr="0051709F" w:rsidRDefault="007B102F" w:rsidP="007B102F">
      <w:pPr>
        <w:shd w:val="clear" w:color="auto" w:fill="FFFFFF"/>
        <w:jc w:val="both"/>
        <w:rPr>
          <w:rFonts w:eastAsia="Times New Roman" w:cstheme="minorHAnsi"/>
          <w:lang w:eastAsia="es-ES"/>
        </w:rPr>
      </w:pPr>
    </w:p>
    <w:p w14:paraId="6A8C15D5" w14:textId="1D9D3320"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Otra forma que tienen los padres de influir de forma indirecta en el ejercicio físico de sus hijos es a través de una serie de creencias y percepciones (Bois et al., 2005; </w:t>
      </w:r>
      <w:proofErr w:type="spellStart"/>
      <w:r w:rsidRPr="0051709F">
        <w:rPr>
          <w:rFonts w:eastAsia="Times New Roman" w:cstheme="minorHAnsi"/>
          <w:lang w:eastAsia="es-ES"/>
        </w:rPr>
        <w:t>Kimiecik</w:t>
      </w:r>
      <w:proofErr w:type="spellEnd"/>
      <w:r w:rsidRPr="0051709F">
        <w:rPr>
          <w:rFonts w:eastAsia="Times New Roman" w:cstheme="minorHAnsi"/>
          <w:lang w:eastAsia="es-ES"/>
        </w:rPr>
        <w:t xml:space="preserve"> et al., 1996;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et al., 1999; </w:t>
      </w:r>
      <w:proofErr w:type="spellStart"/>
      <w:r w:rsidRPr="0051709F">
        <w:rPr>
          <w:rFonts w:eastAsia="Times New Roman" w:cstheme="minorHAnsi"/>
          <w:lang w:eastAsia="es-ES"/>
        </w:rPr>
        <w:t>Welk</w:t>
      </w:r>
      <w:proofErr w:type="spellEnd"/>
      <w:r w:rsidRPr="0051709F">
        <w:rPr>
          <w:rFonts w:eastAsia="Times New Roman" w:cstheme="minorHAnsi"/>
          <w:lang w:eastAsia="es-ES"/>
        </w:rPr>
        <w:t xml:space="preserve"> et al., 2003), siendo una de las más importantes la competencia de sus hijos. La percepción de los padres en la habilidad y competencia de sus hijos está relacionada con su participación en actividad física (Bois et al., 2005; Dempsey et al., 1993; </w:t>
      </w:r>
      <w:proofErr w:type="spellStart"/>
      <w:r w:rsidRPr="0051709F">
        <w:rPr>
          <w:rFonts w:eastAsia="Times New Roman" w:cstheme="minorHAnsi"/>
          <w:lang w:eastAsia="es-ES"/>
        </w:rPr>
        <w:t>Fredricks</w:t>
      </w:r>
      <w:proofErr w:type="spellEnd"/>
      <w:r w:rsidRPr="0051709F">
        <w:rPr>
          <w:rFonts w:eastAsia="Times New Roman" w:cstheme="minorHAnsi"/>
          <w:lang w:eastAsia="es-ES"/>
        </w:rPr>
        <w:t xml:space="preserve">, y Eccles, 2005). Estas creencias de competencia de los padres no sólo se relacionan con el </w:t>
      </w:r>
      <w:r w:rsidR="007673B3" w:rsidRPr="0051709F">
        <w:rPr>
          <w:rFonts w:eastAsia="Times New Roman" w:cstheme="minorHAnsi"/>
          <w:lang w:eastAsia="es-ES"/>
        </w:rPr>
        <w:t>ejercicio,</w:t>
      </w:r>
      <w:r w:rsidRPr="0051709F">
        <w:rPr>
          <w:rFonts w:eastAsia="Times New Roman" w:cstheme="minorHAnsi"/>
          <w:lang w:eastAsia="es-ES"/>
        </w:rPr>
        <w:t xml:space="preserve"> sino que también determinan la percepción de competencia deportiva en el niño (</w:t>
      </w:r>
      <w:proofErr w:type="spellStart"/>
      <w:r w:rsidRPr="0051709F">
        <w:rPr>
          <w:rFonts w:eastAsia="Times New Roman" w:cstheme="minorHAnsi"/>
          <w:lang w:eastAsia="es-ES"/>
        </w:rPr>
        <w:t>Fredricks</w:t>
      </w:r>
      <w:proofErr w:type="spellEnd"/>
      <w:r w:rsidRPr="0051709F">
        <w:rPr>
          <w:rFonts w:eastAsia="Times New Roman" w:cstheme="minorHAnsi"/>
          <w:lang w:eastAsia="es-ES"/>
        </w:rPr>
        <w:t>, y Eccles, 2002). De esta forma, entendemos que el reconocimiento de la habilidad de los hijos en un contexto deportivo puede ayudar a mejorar su confianza</w:t>
      </w:r>
      <w:r w:rsidR="007673B3">
        <w:rPr>
          <w:rFonts w:eastAsia="Times New Roman" w:cstheme="minorHAnsi"/>
          <w:lang w:eastAsia="es-ES"/>
        </w:rPr>
        <w:t>,</w:t>
      </w:r>
      <w:r w:rsidRPr="0051709F">
        <w:rPr>
          <w:rFonts w:eastAsia="Times New Roman" w:cstheme="minorHAnsi"/>
          <w:lang w:eastAsia="es-ES"/>
        </w:rPr>
        <w:t xml:space="preserve"> facilitándoles su participación en la actividad física. Por otro lado, la creencia de que el ejercicio regular es necesario y bueno para la salud puede ayudar mucho a los hijos. Según algunos estudios, el valor que los padres le dan a participar en actividad física influye en las creencias y comportamientos de sus hijos (</w:t>
      </w:r>
      <w:proofErr w:type="spellStart"/>
      <w:r w:rsidRPr="0051709F">
        <w:rPr>
          <w:rFonts w:eastAsia="Times New Roman" w:cstheme="minorHAnsi"/>
          <w:lang w:eastAsia="es-ES"/>
        </w:rPr>
        <w:t>Heitzler</w:t>
      </w:r>
      <w:proofErr w:type="spellEnd"/>
      <w:r w:rsidRPr="0051709F">
        <w:rPr>
          <w:rFonts w:eastAsia="Times New Roman" w:cstheme="minorHAnsi"/>
          <w:lang w:eastAsia="es-ES"/>
        </w:rPr>
        <w:t xml:space="preserve"> et al., 2006). En otro estudio, </w:t>
      </w:r>
      <w:proofErr w:type="spellStart"/>
      <w:r w:rsidRPr="0051709F">
        <w:rPr>
          <w:rFonts w:eastAsia="Times New Roman" w:cstheme="minorHAnsi"/>
          <w:lang w:eastAsia="es-ES"/>
        </w:rPr>
        <w:t>Fredricks</w:t>
      </w:r>
      <w:proofErr w:type="spellEnd"/>
      <w:r w:rsidRPr="0051709F">
        <w:rPr>
          <w:rFonts w:eastAsia="Times New Roman" w:cstheme="minorHAnsi"/>
          <w:lang w:eastAsia="es-ES"/>
        </w:rPr>
        <w:t xml:space="preserve"> y Eccles (2005) encontraron una relación positiva, significante y predictiva entre las percepciones de madres y padres acerca de la importancia y utilidad de la participación deportiva</w:t>
      </w:r>
      <w:r w:rsidR="007673B3">
        <w:rPr>
          <w:rFonts w:eastAsia="Times New Roman" w:cstheme="minorHAnsi"/>
          <w:lang w:eastAsia="es-ES"/>
        </w:rPr>
        <w:t xml:space="preserve"> </w:t>
      </w:r>
      <w:proofErr w:type="spellStart"/>
      <w:r w:rsidR="007673B3">
        <w:rPr>
          <w:rFonts w:eastAsia="Times New Roman" w:cstheme="minorHAnsi"/>
          <w:lang w:eastAsia="es-ES"/>
        </w:rPr>
        <w:t>con</w:t>
      </w:r>
      <w:r w:rsidRPr="0051709F">
        <w:rPr>
          <w:rFonts w:eastAsia="Times New Roman" w:cstheme="minorHAnsi"/>
          <w:lang w:eastAsia="es-ES"/>
        </w:rPr>
        <w:t>las</w:t>
      </w:r>
      <w:proofErr w:type="spellEnd"/>
      <w:r w:rsidRPr="0051709F">
        <w:rPr>
          <w:rFonts w:eastAsia="Times New Roman" w:cstheme="minorHAnsi"/>
          <w:lang w:eastAsia="es-ES"/>
        </w:rPr>
        <w:t xml:space="preserve"> percepciones de los hijos acerca de la competencia deportiva, y el valor que ellos le dieron a la propia participación deportiva. Por todo esto, es muy importante contar con padres que conozcan y aprecien la actividad física. En este contexto, la mejora del conocimiento de los padres acerca del ejercicio regular puede ser una estrategia </w:t>
      </w:r>
      <w:r w:rsidR="007673B3">
        <w:rPr>
          <w:rFonts w:eastAsia="Times New Roman" w:cstheme="minorHAnsi"/>
          <w:lang w:eastAsia="es-ES"/>
        </w:rPr>
        <w:t>par</w:t>
      </w:r>
      <w:r w:rsidRPr="0051709F">
        <w:rPr>
          <w:rFonts w:eastAsia="Times New Roman" w:cstheme="minorHAnsi"/>
          <w:lang w:eastAsia="es-ES"/>
        </w:rPr>
        <w:t xml:space="preserve">a tener en cuenta en intervenciones escolares con niños dirigidas a incrementar la actividad física (et al., 2001; </w:t>
      </w:r>
      <w:proofErr w:type="spellStart"/>
      <w:r w:rsidRPr="0051709F">
        <w:rPr>
          <w:rFonts w:eastAsia="Times New Roman" w:cstheme="minorHAnsi"/>
          <w:lang w:eastAsia="es-ES"/>
        </w:rPr>
        <w:t>Watkinson</w:t>
      </w:r>
      <w:proofErr w:type="spellEnd"/>
      <w:r w:rsidRPr="0051709F">
        <w:rPr>
          <w:rFonts w:eastAsia="Times New Roman" w:cstheme="minorHAnsi"/>
          <w:lang w:eastAsia="es-ES"/>
        </w:rPr>
        <w:t xml:space="preserve"> et al., 2010).</w:t>
      </w:r>
    </w:p>
    <w:p w14:paraId="1B2E8936" w14:textId="77777777" w:rsidR="007B102F" w:rsidRPr="0051709F" w:rsidRDefault="007B102F" w:rsidP="007B102F">
      <w:pPr>
        <w:shd w:val="clear" w:color="auto" w:fill="FFFFFF"/>
        <w:jc w:val="both"/>
        <w:rPr>
          <w:rFonts w:eastAsia="Times New Roman" w:cstheme="minorHAnsi"/>
          <w:lang w:eastAsia="es-ES"/>
        </w:rPr>
      </w:pPr>
    </w:p>
    <w:p w14:paraId="6352A79E" w14:textId="3E39E9B6" w:rsidR="007B102F" w:rsidRPr="0051709F" w:rsidRDefault="007673B3" w:rsidP="007B102F">
      <w:pPr>
        <w:shd w:val="clear" w:color="auto" w:fill="FFFFFF"/>
        <w:jc w:val="both"/>
        <w:rPr>
          <w:rFonts w:eastAsia="Times New Roman" w:cstheme="minorHAnsi"/>
          <w:b/>
          <w:bCs/>
          <w:lang w:eastAsia="es-ES"/>
        </w:rPr>
      </w:pPr>
      <w:r>
        <w:rPr>
          <w:rFonts w:eastAsia="Times New Roman" w:cstheme="minorHAnsi"/>
          <w:b/>
          <w:bCs/>
          <w:lang w:eastAsia="es-ES"/>
        </w:rPr>
        <w:t xml:space="preserve">E) </w:t>
      </w:r>
      <w:r w:rsidR="007B102F" w:rsidRPr="0051709F">
        <w:rPr>
          <w:rFonts w:eastAsia="Times New Roman" w:cstheme="minorHAnsi"/>
          <w:b/>
          <w:bCs/>
          <w:lang w:eastAsia="es-ES"/>
        </w:rPr>
        <w:t>Variables pedagógicas, psicológicas, sociales y culturales para la intervención docente</w:t>
      </w:r>
    </w:p>
    <w:p w14:paraId="74F551C8" w14:textId="77777777" w:rsidR="007B102F" w:rsidRPr="0051709F" w:rsidRDefault="007B102F" w:rsidP="007B102F">
      <w:pPr>
        <w:shd w:val="clear" w:color="auto" w:fill="FFFFFF"/>
        <w:jc w:val="both"/>
        <w:rPr>
          <w:rFonts w:eastAsia="Times New Roman" w:cstheme="minorHAnsi"/>
          <w:lang w:eastAsia="es-ES"/>
        </w:rPr>
      </w:pPr>
    </w:p>
    <w:p w14:paraId="024F4964" w14:textId="2199601A"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Existe una compleja red de factores sociales, psicológicos, culturales y ambientales que son importantes para el desarrollo y mantenimiento de los niveles de actividad física en los niños (Lee et al., 2010). A continuación, se analizarán algunas de las variables más influyentes en los niños</w:t>
      </w:r>
      <w:r w:rsidR="007673B3">
        <w:rPr>
          <w:rFonts w:eastAsia="Times New Roman" w:cstheme="minorHAnsi"/>
          <w:lang w:eastAsia="es-ES"/>
        </w:rPr>
        <w:t>,</w:t>
      </w:r>
      <w:r w:rsidRPr="0051709F">
        <w:rPr>
          <w:rFonts w:eastAsia="Times New Roman" w:cstheme="minorHAnsi"/>
          <w:lang w:eastAsia="es-ES"/>
        </w:rPr>
        <w:t xml:space="preserve"> atendiendo a las evidencias encontradas.</w:t>
      </w:r>
    </w:p>
    <w:p w14:paraId="36BF2BD0" w14:textId="77777777" w:rsidR="007B102F" w:rsidRPr="0051709F" w:rsidRDefault="007B102F" w:rsidP="007B102F">
      <w:pPr>
        <w:shd w:val="clear" w:color="auto" w:fill="FFFFFF"/>
        <w:jc w:val="both"/>
        <w:rPr>
          <w:rFonts w:eastAsia="Times New Roman" w:cstheme="minorHAnsi"/>
          <w:lang w:eastAsia="es-ES"/>
        </w:rPr>
      </w:pPr>
    </w:p>
    <w:p w14:paraId="5F00A407" w14:textId="68BB1E30"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Uno de los elementos más importantes a la hora de motivar la participación en la actividad física en niños es el disfrute y la diversión. Muchos autores argumentan que </w:t>
      </w:r>
      <w:r w:rsidR="007673B3">
        <w:rPr>
          <w:rFonts w:eastAsia="Times New Roman" w:cstheme="minorHAnsi"/>
          <w:lang w:eastAsia="es-ES"/>
        </w:rPr>
        <w:t>ésta</w:t>
      </w:r>
      <w:r w:rsidRPr="0051709F">
        <w:rPr>
          <w:rFonts w:eastAsia="Times New Roman" w:cstheme="minorHAnsi"/>
          <w:lang w:eastAsia="es-ES"/>
        </w:rPr>
        <w:t xml:space="preserve"> </w:t>
      </w:r>
      <w:r w:rsidR="007673B3">
        <w:rPr>
          <w:rFonts w:eastAsia="Times New Roman" w:cstheme="minorHAnsi"/>
          <w:lang w:eastAsia="es-ES"/>
        </w:rPr>
        <w:t>es</w:t>
      </w:r>
      <w:r w:rsidRPr="0051709F">
        <w:rPr>
          <w:rFonts w:eastAsia="Times New Roman" w:cstheme="minorHAnsi"/>
          <w:lang w:eastAsia="es-ES"/>
        </w:rPr>
        <w:t xml:space="preserve"> una de las razones más importantes por las que niños y adolescentes participan y se mantienen participando en actividad física (O'Reilly et al., 2001; Salmon et al., 2009). Gran parte de la literatura afirma que los niveles de condición física de los jóvenes pueden mejorar con relativa rapidez usando actividades agradables y atractivas (</w:t>
      </w:r>
      <w:proofErr w:type="spellStart"/>
      <w:r w:rsidRPr="0051709F">
        <w:rPr>
          <w:rFonts w:eastAsia="Times New Roman" w:cstheme="minorHAnsi"/>
          <w:lang w:eastAsia="es-ES"/>
        </w:rPr>
        <w:t>Kriemler</w:t>
      </w:r>
      <w:proofErr w:type="spellEnd"/>
      <w:r w:rsidRPr="0051709F">
        <w:rPr>
          <w:rFonts w:eastAsia="Times New Roman" w:cstheme="minorHAnsi"/>
          <w:lang w:eastAsia="es-ES"/>
        </w:rPr>
        <w:t xml:space="preserve"> et al., 2011; </w:t>
      </w:r>
      <w:proofErr w:type="spellStart"/>
      <w:r w:rsidRPr="0051709F">
        <w:rPr>
          <w:rFonts w:eastAsia="Times New Roman" w:cstheme="minorHAnsi"/>
          <w:lang w:eastAsia="es-ES"/>
        </w:rPr>
        <w:t>Lubans</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Lubans</w:t>
      </w:r>
      <w:proofErr w:type="spellEnd"/>
      <w:r w:rsidRPr="0051709F">
        <w:rPr>
          <w:rFonts w:eastAsia="Times New Roman" w:cstheme="minorHAnsi"/>
          <w:lang w:eastAsia="es-ES"/>
        </w:rPr>
        <w:t xml:space="preserve"> et al., 2011; </w:t>
      </w:r>
      <w:proofErr w:type="spellStart"/>
      <w:r w:rsidRPr="0051709F">
        <w:rPr>
          <w:rFonts w:eastAsia="Times New Roman" w:cstheme="minorHAnsi"/>
          <w:lang w:eastAsia="es-ES"/>
        </w:rPr>
        <w:t>Slawta</w:t>
      </w:r>
      <w:proofErr w:type="spellEnd"/>
      <w:r w:rsidRPr="0051709F">
        <w:rPr>
          <w:rFonts w:eastAsia="Times New Roman" w:cstheme="minorHAnsi"/>
          <w:lang w:eastAsia="es-ES"/>
        </w:rPr>
        <w:t xml:space="preserve">, y </w:t>
      </w:r>
      <w:proofErr w:type="spellStart"/>
      <w:r w:rsidRPr="0051709F">
        <w:rPr>
          <w:rFonts w:eastAsia="Times New Roman" w:cstheme="minorHAnsi"/>
          <w:lang w:eastAsia="es-ES"/>
        </w:rPr>
        <w:t>DeNeui</w:t>
      </w:r>
      <w:proofErr w:type="spellEnd"/>
      <w:r w:rsidRPr="0051709F">
        <w:rPr>
          <w:rFonts w:eastAsia="Times New Roman" w:cstheme="minorHAnsi"/>
          <w:lang w:eastAsia="es-ES"/>
        </w:rPr>
        <w:t xml:space="preserve">, 2010). </w:t>
      </w:r>
      <w:r w:rsidRPr="0051709F">
        <w:rPr>
          <w:rFonts w:eastAsia="Times New Roman" w:cstheme="minorHAnsi"/>
          <w:lang w:eastAsia="es-ES"/>
        </w:rPr>
        <w:lastRenderedPageBreak/>
        <w:t>Esto viene a confirmar la gran utilidad que tiene el enfoque divertido y agradable de las actividades. Las escuelas deberían proporcionar ambientes físicos y sociales que estimulasen y alentasen una actividad física segura y disfrutable (</w:t>
      </w:r>
      <w:proofErr w:type="spellStart"/>
      <w:r w:rsidRPr="0051709F">
        <w:rPr>
          <w:rFonts w:eastAsia="Times New Roman" w:cstheme="minorHAnsi"/>
          <w:lang w:eastAsia="es-ES"/>
        </w:rPr>
        <w:t>Baranowski</w:t>
      </w:r>
      <w:proofErr w:type="spellEnd"/>
      <w:r w:rsidRPr="0051709F">
        <w:rPr>
          <w:rFonts w:eastAsia="Times New Roman" w:cstheme="minorHAnsi"/>
          <w:lang w:eastAsia="es-ES"/>
        </w:rPr>
        <w:t xml:space="preserve"> et al., 1997).</w:t>
      </w:r>
    </w:p>
    <w:p w14:paraId="36A18CBE" w14:textId="77777777" w:rsidR="007B102F" w:rsidRPr="0051709F" w:rsidRDefault="007B102F" w:rsidP="007B102F">
      <w:pPr>
        <w:shd w:val="clear" w:color="auto" w:fill="FFFFFF"/>
        <w:jc w:val="both"/>
        <w:rPr>
          <w:rFonts w:eastAsia="Times New Roman" w:cstheme="minorHAnsi"/>
          <w:lang w:eastAsia="es-ES"/>
        </w:rPr>
      </w:pPr>
    </w:p>
    <w:p w14:paraId="6EA11396"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La percepción de competencia física por parte de los niños está relacionada con los comportamientos de actividad física (Bois et al., 2005; Dempsey et al., 1993; </w:t>
      </w:r>
      <w:proofErr w:type="spellStart"/>
      <w:r w:rsidRPr="0051709F">
        <w:rPr>
          <w:rFonts w:eastAsia="Times New Roman" w:cstheme="minorHAnsi"/>
          <w:lang w:eastAsia="es-ES"/>
        </w:rPr>
        <w:t>Kimiecik</w:t>
      </w:r>
      <w:proofErr w:type="spellEnd"/>
      <w:r w:rsidRPr="0051709F">
        <w:rPr>
          <w:rFonts w:eastAsia="Times New Roman" w:cstheme="minorHAnsi"/>
          <w:lang w:eastAsia="es-ES"/>
        </w:rPr>
        <w:t xml:space="preserve"> et al., 1996). Se ha demostrado que la percepción de competencia es una variable psicológica de cambio para la actividad física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et al., 1999). Otro estudio concluye que la competencia percibida tiene una gran influencia en la participación y motivación de los niños en contextos deportivos (Roberts et al., 1981). Por todo esto, es muy interesante cubrir esta necesidad de competencia que tienen los niños y adolescentes. Algunas estrategias que pueden aplicarse en intervenciones escolares podrían incluir la provisión de oportunidades para experimentar éxito en la actividad física, la recepción de retroalimentación positiva basada en el dominio de habilidades específicas y la oportunidad de establecer metas personalmente relevantes (</w:t>
      </w:r>
      <w:proofErr w:type="spellStart"/>
      <w:r w:rsidRPr="0051709F">
        <w:rPr>
          <w:rFonts w:eastAsia="Times New Roman" w:cstheme="minorHAnsi"/>
          <w:lang w:eastAsia="es-ES"/>
        </w:rPr>
        <w:t>Standage</w:t>
      </w:r>
      <w:proofErr w:type="spellEnd"/>
      <w:r w:rsidRPr="0051709F">
        <w:rPr>
          <w:rFonts w:eastAsia="Times New Roman" w:cstheme="minorHAnsi"/>
          <w:lang w:eastAsia="es-ES"/>
        </w:rPr>
        <w:t xml:space="preserve"> et al., 2007).</w:t>
      </w:r>
    </w:p>
    <w:p w14:paraId="34795508" w14:textId="77777777" w:rsidR="007B102F" w:rsidRPr="0051709F" w:rsidRDefault="007B102F" w:rsidP="007B102F">
      <w:pPr>
        <w:shd w:val="clear" w:color="auto" w:fill="FFFFFF"/>
        <w:jc w:val="both"/>
        <w:rPr>
          <w:rFonts w:eastAsia="Times New Roman" w:cstheme="minorHAnsi"/>
          <w:lang w:eastAsia="es-ES"/>
        </w:rPr>
      </w:pPr>
    </w:p>
    <w:p w14:paraId="2DBFF158" w14:textId="6D820A60"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La teoría de las metas de logro ha constituido uno de los modelos teóricos más utilizados en el entendimiento de las variables cognitivas, emocionales y conductuales relacionadas con el logro de los estudiantes en clases de educación física (Duda, 1996; Moreno y Cervelló, 2010; </w:t>
      </w:r>
      <w:proofErr w:type="spellStart"/>
      <w:r w:rsidRPr="0051709F">
        <w:rPr>
          <w:rFonts w:eastAsia="Times New Roman" w:cstheme="minorHAnsi"/>
          <w:lang w:eastAsia="es-ES"/>
        </w:rPr>
        <w:t>Papaioannou</w:t>
      </w:r>
      <w:proofErr w:type="spellEnd"/>
      <w:r w:rsidRPr="0051709F">
        <w:rPr>
          <w:rFonts w:eastAsia="Times New Roman" w:cstheme="minorHAnsi"/>
          <w:lang w:eastAsia="es-ES"/>
        </w:rPr>
        <w:t>, 1995a, 1995b 1998ª, 1998b). Según esta teoría, los ambientes que se generan en clase de educación física resultan de vital importancia en la adopción de estilos de vida activos (Moreno y Cervelló, 2010). De igual forma, las experiencias positivas relacionadas con el ejercicio físico durante la infancia pueden repercutir en los niveles de participación físico-deportiva en tiempo de ocio y recreación en la edad adulta. La perspectiva de metas de logro considera que en los entornos de logro existe una orientación a la tarea y una orientación al ego. Numerosos estudios indican que estar orientado hacia la tarea en la actividad física parece tener muchas consecuencias positivas motivacionales y relacionadas con el rendimiento (</w:t>
      </w:r>
      <w:proofErr w:type="spellStart"/>
      <w:r w:rsidRPr="0051709F">
        <w:rPr>
          <w:rFonts w:eastAsia="Times New Roman" w:cstheme="minorHAnsi"/>
          <w:lang w:eastAsia="es-ES"/>
        </w:rPr>
        <w:t>Kimiecik</w:t>
      </w:r>
      <w:proofErr w:type="spellEnd"/>
      <w:r w:rsidRPr="0051709F">
        <w:rPr>
          <w:rFonts w:eastAsia="Times New Roman" w:cstheme="minorHAnsi"/>
          <w:lang w:eastAsia="es-ES"/>
        </w:rPr>
        <w:t xml:space="preserve">, 2002). En esta misma línea, la orientación a la tarea por parte de los niños se ha relacionado positivamente con su propia participación en actividad física (Dempsey et al., 1993; </w:t>
      </w:r>
      <w:proofErr w:type="spellStart"/>
      <w:r w:rsidRPr="0051709F">
        <w:rPr>
          <w:rFonts w:eastAsia="Times New Roman" w:cstheme="minorHAnsi"/>
          <w:lang w:eastAsia="es-ES"/>
        </w:rPr>
        <w:t>Kimiecik</w:t>
      </w:r>
      <w:proofErr w:type="spellEnd"/>
      <w:r w:rsidRPr="0051709F">
        <w:rPr>
          <w:rFonts w:eastAsia="Times New Roman" w:cstheme="minorHAnsi"/>
          <w:lang w:eastAsia="es-ES"/>
        </w:rPr>
        <w:t xml:space="preserve"> et al., 1996) ya que esta orientación ofrece más oportunidades para que los niños experimenten éxito y motivación para seguir participando. En un contexto de logro, es muy necesario que los educadores dispongan de los recursos adecuados para fomentar climas motivacionales orientados a la tarea. Los ambientes motivacionales que hacen hincapié en el esfuerzo y la superación personal entre otras variables tienen un impacto positivo en los resultados de los estudiantes de educación física (Taylor y </w:t>
      </w:r>
      <w:proofErr w:type="spellStart"/>
      <w:r w:rsidRPr="0051709F">
        <w:rPr>
          <w:rFonts w:eastAsia="Times New Roman" w:cstheme="minorHAnsi"/>
          <w:lang w:eastAsia="es-ES"/>
        </w:rPr>
        <w:t>Lonsdale</w:t>
      </w:r>
      <w:proofErr w:type="spellEnd"/>
      <w:r w:rsidRPr="0051709F">
        <w:rPr>
          <w:rFonts w:eastAsia="Times New Roman" w:cstheme="minorHAnsi"/>
          <w:lang w:eastAsia="es-ES"/>
        </w:rPr>
        <w:t>, 2010).</w:t>
      </w:r>
    </w:p>
    <w:p w14:paraId="379A83DA" w14:textId="77777777" w:rsidR="007B102F" w:rsidRPr="0051709F" w:rsidRDefault="007B102F" w:rsidP="007B102F">
      <w:pPr>
        <w:shd w:val="clear" w:color="auto" w:fill="FFFFFF"/>
        <w:jc w:val="both"/>
        <w:rPr>
          <w:rFonts w:eastAsia="Times New Roman" w:cstheme="minorHAnsi"/>
          <w:lang w:eastAsia="es-ES"/>
        </w:rPr>
      </w:pPr>
    </w:p>
    <w:p w14:paraId="3DC11597" w14:textId="7519FA10"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Otro constructo </w:t>
      </w:r>
      <w:r w:rsidR="007673B3" w:rsidRPr="0051709F">
        <w:rPr>
          <w:rFonts w:eastAsia="Times New Roman" w:cstheme="minorHAnsi"/>
          <w:lang w:eastAsia="es-ES"/>
        </w:rPr>
        <w:t>sociocognitivo</w:t>
      </w:r>
      <w:r w:rsidRPr="0051709F">
        <w:rPr>
          <w:rFonts w:eastAsia="Times New Roman" w:cstheme="minorHAnsi"/>
          <w:lang w:eastAsia="es-ES"/>
        </w:rPr>
        <w:t xml:space="preserve"> que influye positivamente en la participación del ejercicio tiene que ver con un conjunto de creencias que desarrollan los niños con respecto al ejercicio. El hecho de que los niños confíen tener resultados positivos en la actividad física puede determinar futuros comportamientos </w:t>
      </w:r>
      <w:r w:rsidR="007673B3">
        <w:rPr>
          <w:rFonts w:eastAsia="Times New Roman" w:cstheme="minorHAnsi"/>
          <w:lang w:eastAsia="es-ES"/>
        </w:rPr>
        <w:t>positivos hacia el</w:t>
      </w:r>
      <w:r w:rsidRPr="0051709F">
        <w:rPr>
          <w:rFonts w:eastAsia="Times New Roman" w:cstheme="minorHAnsi"/>
          <w:lang w:eastAsia="es-ES"/>
        </w:rPr>
        <w:t xml:space="preserve"> ejercicio (</w:t>
      </w:r>
      <w:proofErr w:type="spellStart"/>
      <w:r w:rsidRPr="0051709F">
        <w:rPr>
          <w:rFonts w:eastAsia="Times New Roman" w:cstheme="minorHAnsi"/>
          <w:lang w:eastAsia="es-ES"/>
        </w:rPr>
        <w:t>Trost</w:t>
      </w:r>
      <w:proofErr w:type="spellEnd"/>
      <w:r w:rsidRPr="0051709F">
        <w:rPr>
          <w:rFonts w:eastAsia="Times New Roman" w:cstheme="minorHAnsi"/>
          <w:lang w:eastAsia="es-ES"/>
        </w:rPr>
        <w:t xml:space="preserve"> et al., 1997). Gran parte de la literatura confirma que el cómo se sienten los niños acerca de sí mismos, en combinación con sus creencias acerca de la actividad física, están directamente relacionadas y posiblemente predicen, su comportamiento de actividad física (Gao, 2009). Según la teoría de las creencias implícitas de habilidad, es </w:t>
      </w:r>
      <w:r w:rsidRPr="0051709F">
        <w:rPr>
          <w:rFonts w:eastAsia="Times New Roman" w:cstheme="minorHAnsi"/>
          <w:lang w:eastAsia="es-ES"/>
        </w:rPr>
        <w:lastRenderedPageBreak/>
        <w:t xml:space="preserve">importante desarrollar la idea de que la habilidad puede ser mejorada a través del esfuerzo, el aprendizaje, la práctica o el entrenamiento, para lograr consecuencias más positivas en un contexto físico-deportivo (Moreno y Cervelló, 2010). Para ello, la figura del maestro de educación física tiene la responsabilidad de transmitir un clima motivacional orientado a la tarea, dando más importancia al progreso individual y esfuerzo que a los resultados y la comparación con los demás. También podría plantear objetivos adecuados a las necesidades, facilitar el tiempo necesario para la realización de las tareas e individualizar, entre otras. </w:t>
      </w:r>
    </w:p>
    <w:p w14:paraId="33662211" w14:textId="77777777" w:rsidR="007B102F" w:rsidRPr="0051709F" w:rsidRDefault="007B102F" w:rsidP="007B102F">
      <w:pPr>
        <w:shd w:val="clear" w:color="auto" w:fill="FFFFFF"/>
        <w:jc w:val="both"/>
        <w:rPr>
          <w:rFonts w:eastAsia="Times New Roman" w:cstheme="minorHAnsi"/>
          <w:lang w:eastAsia="es-ES"/>
        </w:rPr>
      </w:pPr>
    </w:p>
    <w:p w14:paraId="7035A257" w14:textId="009B3DCA"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Una de las teorías que también se han incluido en los estudios que abordan la promoción del ejercicio físico es la teoría de las metas sociales. Los estudiantes de educación física pueden tener motivos sociales que les empujen a practicar ejercicio físico (</w:t>
      </w:r>
      <w:proofErr w:type="spellStart"/>
      <w:r w:rsidRPr="0051709F">
        <w:rPr>
          <w:rFonts w:eastAsia="Times New Roman" w:cstheme="minorHAnsi"/>
          <w:lang w:eastAsia="es-ES"/>
        </w:rPr>
        <w:t>Anderman</w:t>
      </w:r>
      <w:proofErr w:type="spellEnd"/>
      <w:r w:rsidRPr="0051709F">
        <w:rPr>
          <w:rFonts w:eastAsia="Times New Roman" w:cstheme="minorHAnsi"/>
          <w:lang w:eastAsia="es-ES"/>
        </w:rPr>
        <w:t xml:space="preserve"> y </w:t>
      </w:r>
      <w:proofErr w:type="spellStart"/>
      <w:r w:rsidRPr="0051709F">
        <w:rPr>
          <w:rFonts w:eastAsia="Times New Roman" w:cstheme="minorHAnsi"/>
          <w:lang w:eastAsia="es-ES"/>
        </w:rPr>
        <w:t>Anderman</w:t>
      </w:r>
      <w:proofErr w:type="spellEnd"/>
      <w:r w:rsidRPr="0051709F">
        <w:rPr>
          <w:rFonts w:eastAsia="Times New Roman" w:cstheme="minorHAnsi"/>
          <w:lang w:eastAsia="es-ES"/>
        </w:rPr>
        <w:t xml:space="preserve">, 1999; Urdan y </w:t>
      </w:r>
      <w:proofErr w:type="spellStart"/>
      <w:r w:rsidRPr="0051709F">
        <w:rPr>
          <w:rFonts w:eastAsia="Times New Roman" w:cstheme="minorHAnsi"/>
          <w:lang w:eastAsia="es-ES"/>
        </w:rPr>
        <w:t>Maehr</w:t>
      </w:r>
      <w:proofErr w:type="spellEnd"/>
      <w:r w:rsidRPr="0051709F">
        <w:rPr>
          <w:rFonts w:eastAsia="Times New Roman" w:cstheme="minorHAnsi"/>
          <w:lang w:eastAsia="es-ES"/>
        </w:rPr>
        <w:t xml:space="preserve">, 1995), por ejemplo, la aceptación por parte del grupo de iguales. Moreno et al. (2008) concluyeron que determinadas metas sociales predecían positivamente la satisfacción de la necesidad psicológica básica de relación con los compañeros, la cual </w:t>
      </w:r>
      <w:r w:rsidR="00EE7834">
        <w:rPr>
          <w:rFonts w:eastAsia="Times New Roman" w:cstheme="minorHAnsi"/>
          <w:lang w:eastAsia="es-ES"/>
        </w:rPr>
        <w:t>evita</w:t>
      </w:r>
      <w:r w:rsidRPr="0051709F">
        <w:rPr>
          <w:rFonts w:eastAsia="Times New Roman" w:cstheme="minorHAnsi"/>
          <w:lang w:eastAsia="es-ES"/>
        </w:rPr>
        <w:t xml:space="preserve"> la desmotivación. </w:t>
      </w:r>
    </w:p>
    <w:p w14:paraId="54A1DE56" w14:textId="77777777" w:rsidR="007B102F" w:rsidRPr="0051709F" w:rsidRDefault="007B102F" w:rsidP="007B102F">
      <w:pPr>
        <w:shd w:val="clear" w:color="auto" w:fill="FFFFFF"/>
        <w:jc w:val="both"/>
        <w:rPr>
          <w:rFonts w:eastAsia="Times New Roman" w:cstheme="minorHAnsi"/>
          <w:lang w:eastAsia="es-ES"/>
        </w:rPr>
      </w:pPr>
    </w:p>
    <w:p w14:paraId="60DB7776" w14:textId="72385598"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Otra de las principales teorías de motivación es la teoría de la autoeficacia. La autoeficacia se basa en el procesamiento cognitivo de diversas fuentes de información sobre la eficacia, incluyendo experiencias de dominio, experiencias indirectas (modelos de conducta) y la persuasión verbal (Bandura, 1997). Esta variable también guarda una relación con la actividad física de los niños. Una revisión confirmó el rol mediador que tiene esta variable en los comportamientos de actividad física en niños y adolescentes (</w:t>
      </w:r>
      <w:proofErr w:type="spellStart"/>
      <w:r w:rsidRPr="0051709F">
        <w:rPr>
          <w:rFonts w:eastAsia="Times New Roman" w:cstheme="minorHAnsi"/>
          <w:lang w:eastAsia="es-ES"/>
        </w:rPr>
        <w:t>Lubans</w:t>
      </w:r>
      <w:proofErr w:type="spellEnd"/>
      <w:r w:rsidRPr="0051709F">
        <w:rPr>
          <w:rFonts w:eastAsia="Times New Roman" w:cstheme="minorHAnsi"/>
          <w:lang w:eastAsia="es-ES"/>
        </w:rPr>
        <w:t xml:space="preserve"> et al., 2008). Existe una correlación positiva entre la autoeficacia y la cantidad de actividad física vigorosa en niños y jóvenes (Strauss et al., 2001). Se ha demostrado que la autoeficacia de la actividad física es tanto un determinante como una consecuencia de la actividad física (Fisher et al., 2011). A la luz de estas evidencias, es importante tener en cuenta ciertas estrategias que ayuden a mejorar esta variable en intervenciones escolares con niños. En el programa escolar Fit-4-Fun las técnicas que mejoraron significativamente la autoeficacia y, posteriormente los comportamientos de actividad física incluyeron la fijación de objetivos, el refuerzo positivo para los progresos y esfuerzos, la provisión de órdenes y retroalimentación del rendimiento, </w:t>
      </w:r>
      <w:proofErr w:type="gramStart"/>
      <w:r w:rsidRPr="0051709F">
        <w:rPr>
          <w:rFonts w:eastAsia="Times New Roman" w:cstheme="minorHAnsi"/>
          <w:lang w:eastAsia="es-ES"/>
        </w:rPr>
        <w:t xml:space="preserve">el </w:t>
      </w:r>
      <w:r w:rsidR="00EE7834" w:rsidRPr="0051709F">
        <w:rPr>
          <w:rFonts w:eastAsia="Times New Roman" w:cstheme="minorHAnsi"/>
          <w:lang w:eastAsia="es-ES"/>
        </w:rPr>
        <w:t>automonitoreo</w:t>
      </w:r>
      <w:proofErr w:type="gramEnd"/>
      <w:r w:rsidRPr="0051709F">
        <w:rPr>
          <w:rFonts w:eastAsia="Times New Roman" w:cstheme="minorHAnsi"/>
          <w:lang w:eastAsia="es-ES"/>
        </w:rPr>
        <w:t xml:space="preserve">, la </w:t>
      </w:r>
      <w:r w:rsidR="00EE7834" w:rsidRPr="0051709F">
        <w:rPr>
          <w:rFonts w:eastAsia="Times New Roman" w:cstheme="minorHAnsi"/>
          <w:lang w:eastAsia="es-ES"/>
        </w:rPr>
        <w:t>autorregulación</w:t>
      </w:r>
      <w:r w:rsidRPr="0051709F">
        <w:rPr>
          <w:rFonts w:eastAsia="Times New Roman" w:cstheme="minorHAnsi"/>
          <w:lang w:eastAsia="es-ES"/>
        </w:rPr>
        <w:t xml:space="preserve">, informar de las consecuencias de los comportamientos y la práctica de habilidades (Williams y French, 2011). </w:t>
      </w:r>
    </w:p>
    <w:p w14:paraId="5E82CB1F" w14:textId="77777777" w:rsidR="007B102F" w:rsidRPr="0051709F" w:rsidRDefault="007B102F" w:rsidP="007B102F">
      <w:pPr>
        <w:shd w:val="clear" w:color="auto" w:fill="FFFFFF"/>
        <w:jc w:val="both"/>
        <w:rPr>
          <w:rFonts w:eastAsia="Times New Roman" w:cstheme="minorHAnsi"/>
          <w:lang w:eastAsia="es-ES"/>
        </w:rPr>
      </w:pPr>
    </w:p>
    <w:p w14:paraId="5AB75B9F" w14:textId="76389EC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La teoría de la autodeterminación (</w:t>
      </w:r>
      <w:proofErr w:type="spellStart"/>
      <w:r w:rsidRPr="0051709F">
        <w:rPr>
          <w:rFonts w:eastAsia="Times New Roman" w:cstheme="minorHAnsi"/>
          <w:lang w:eastAsia="es-ES"/>
        </w:rPr>
        <w:t>Deci</w:t>
      </w:r>
      <w:proofErr w:type="spellEnd"/>
      <w:r w:rsidRPr="0051709F">
        <w:rPr>
          <w:rFonts w:eastAsia="Times New Roman" w:cstheme="minorHAnsi"/>
          <w:lang w:eastAsia="es-ES"/>
        </w:rPr>
        <w:t xml:space="preserve"> y Ryan, 1980) basa la motivación del comportamiento humano en tres necesidades psicológicas básicas: autonomía, competencia y relación con los demás. Cubrir estas necesidades es clave a la hora de mejorar los niveles de motivación intrínseca en la actividad física de los niños (Ryan y </w:t>
      </w:r>
      <w:proofErr w:type="spellStart"/>
      <w:r w:rsidRPr="0051709F">
        <w:rPr>
          <w:rFonts w:eastAsia="Times New Roman" w:cstheme="minorHAnsi"/>
          <w:lang w:eastAsia="es-ES"/>
        </w:rPr>
        <w:t>Deci</w:t>
      </w:r>
      <w:proofErr w:type="spellEnd"/>
      <w:r w:rsidRPr="0051709F">
        <w:rPr>
          <w:rFonts w:eastAsia="Times New Roman" w:cstheme="minorHAnsi"/>
          <w:lang w:eastAsia="es-ES"/>
        </w:rPr>
        <w:t xml:space="preserve">, 2000). La satisfacción, en especial de la autonomía, está fuertemente asociada con la motivación intrínseca y la regulación identificada, lo que indica que pueden ser factores </w:t>
      </w:r>
      <w:proofErr w:type="gramStart"/>
      <w:r w:rsidRPr="0051709F">
        <w:rPr>
          <w:rFonts w:eastAsia="Times New Roman" w:cstheme="minorHAnsi"/>
          <w:lang w:eastAsia="es-ES"/>
        </w:rPr>
        <w:t>a</w:t>
      </w:r>
      <w:proofErr w:type="gramEnd"/>
      <w:r w:rsidRPr="0051709F">
        <w:rPr>
          <w:rFonts w:eastAsia="Times New Roman" w:cstheme="minorHAnsi"/>
          <w:lang w:eastAsia="es-ES"/>
        </w:rPr>
        <w:t xml:space="preserve"> tener en cuenta en futuras intervenciones (</w:t>
      </w:r>
      <w:proofErr w:type="spellStart"/>
      <w:r w:rsidRPr="0051709F">
        <w:rPr>
          <w:rFonts w:eastAsia="Times New Roman" w:cstheme="minorHAnsi"/>
          <w:lang w:eastAsia="es-ES"/>
        </w:rPr>
        <w:t>Sebire</w:t>
      </w:r>
      <w:proofErr w:type="spellEnd"/>
      <w:r w:rsidRPr="0051709F">
        <w:rPr>
          <w:rFonts w:eastAsia="Times New Roman" w:cstheme="minorHAnsi"/>
          <w:lang w:eastAsia="es-ES"/>
        </w:rPr>
        <w:t xml:space="preserve"> et al., 2013). Algunas estrategias eficaces para mejorar la autonomía en intervenciones escolares podrían incluir la provisión de elección dentro de una estructura clara y una justificación adecuada de cada actividad propuesta (</w:t>
      </w:r>
      <w:proofErr w:type="spellStart"/>
      <w:r w:rsidRPr="0051709F">
        <w:rPr>
          <w:rFonts w:eastAsia="Times New Roman" w:cstheme="minorHAnsi"/>
          <w:lang w:eastAsia="es-ES"/>
        </w:rPr>
        <w:t>Standage</w:t>
      </w:r>
      <w:proofErr w:type="spellEnd"/>
      <w:r w:rsidRPr="0051709F">
        <w:rPr>
          <w:rFonts w:eastAsia="Times New Roman" w:cstheme="minorHAnsi"/>
          <w:lang w:eastAsia="es-ES"/>
        </w:rPr>
        <w:t xml:space="preserve"> et al., 2007). Además, </w:t>
      </w:r>
      <w:proofErr w:type="gramStart"/>
      <w:r w:rsidRPr="0051709F">
        <w:rPr>
          <w:rFonts w:eastAsia="Times New Roman" w:cstheme="minorHAnsi"/>
          <w:lang w:eastAsia="es-ES"/>
        </w:rPr>
        <w:t>asegurar</w:t>
      </w:r>
      <w:proofErr w:type="gramEnd"/>
      <w:r w:rsidRPr="0051709F">
        <w:rPr>
          <w:rFonts w:eastAsia="Times New Roman" w:cstheme="minorHAnsi"/>
          <w:lang w:eastAsia="es-ES"/>
        </w:rPr>
        <w:t xml:space="preserve"> que los niños se sienten conectados y que recib</w:t>
      </w:r>
      <w:r w:rsidR="00EE7834">
        <w:rPr>
          <w:rFonts w:eastAsia="Times New Roman" w:cstheme="minorHAnsi"/>
          <w:lang w:eastAsia="es-ES"/>
        </w:rPr>
        <w:t>e</w:t>
      </w:r>
      <w:r w:rsidRPr="0051709F">
        <w:rPr>
          <w:rFonts w:eastAsia="Times New Roman" w:cstheme="minorHAnsi"/>
          <w:lang w:eastAsia="es-ES"/>
        </w:rPr>
        <w:t xml:space="preserve">n expresiones de empatía o reconocimiento de </w:t>
      </w:r>
      <w:r w:rsidRPr="0051709F">
        <w:rPr>
          <w:rFonts w:eastAsia="Times New Roman" w:cstheme="minorHAnsi"/>
          <w:lang w:eastAsia="es-ES"/>
        </w:rPr>
        <w:lastRenderedPageBreak/>
        <w:t>sus preocupaciones puede fomentar sentimientos de relación y motivación intrínseca hacia la actividad física (</w:t>
      </w:r>
      <w:proofErr w:type="spellStart"/>
      <w:r w:rsidRPr="0051709F">
        <w:rPr>
          <w:rFonts w:eastAsia="Times New Roman" w:cstheme="minorHAnsi"/>
          <w:lang w:eastAsia="es-ES"/>
        </w:rPr>
        <w:t>Standage</w:t>
      </w:r>
      <w:proofErr w:type="spellEnd"/>
      <w:r w:rsidRPr="0051709F">
        <w:rPr>
          <w:rFonts w:eastAsia="Times New Roman" w:cstheme="minorHAnsi"/>
          <w:lang w:eastAsia="es-ES"/>
        </w:rPr>
        <w:t xml:space="preserve"> et al., 2007). </w:t>
      </w:r>
    </w:p>
    <w:p w14:paraId="4742CA2A" w14:textId="77777777" w:rsidR="007B102F" w:rsidRPr="0051709F" w:rsidRDefault="007B102F" w:rsidP="007B102F">
      <w:pPr>
        <w:shd w:val="clear" w:color="auto" w:fill="FFFFFF"/>
        <w:jc w:val="both"/>
        <w:rPr>
          <w:rFonts w:eastAsia="Times New Roman" w:cstheme="minorHAnsi"/>
          <w:lang w:eastAsia="es-ES"/>
        </w:rPr>
      </w:pPr>
    </w:p>
    <w:p w14:paraId="68527A35"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Otra de las teorías de motivación relacionadas con la promoción del ejercicio es la del autoconcepto físico. Gran parte de la literatura ha evidenciado que la actividad físico-deportiva guarda una relación positiva con el autoconcepto físico (Moreno y Cervelló, 2010). Además, se han encontrado relaciones positivas entre actividad física y autoestima y entre actividad física e imagen corporal. Los trabajos de Burns (1982) y </w:t>
      </w:r>
      <w:proofErr w:type="spellStart"/>
      <w:r w:rsidRPr="0051709F">
        <w:rPr>
          <w:rFonts w:eastAsia="Times New Roman" w:cstheme="minorHAnsi"/>
          <w:lang w:eastAsia="es-ES"/>
        </w:rPr>
        <w:t>Gurney</w:t>
      </w:r>
      <w:proofErr w:type="spellEnd"/>
      <w:r w:rsidRPr="0051709F">
        <w:rPr>
          <w:rFonts w:eastAsia="Times New Roman" w:cstheme="minorHAnsi"/>
          <w:lang w:eastAsia="es-ES"/>
        </w:rPr>
        <w:t xml:space="preserve"> (1987) muestran evidencias de que el autoconcepto no es algo estable, sino susceptible de posibles cambios sobre todo durante los períodos de la infancia y la adolescencia. Por todo esto, es fundamental mejorar el autoconcepto físico en los niños con la intención de incrementar los niveles de su práctica deportiva. Para ello, es muy importante crear un ambiente de trabajo donde los estudiantes se perciban eficaces en sus realizaciones.</w:t>
      </w:r>
    </w:p>
    <w:p w14:paraId="3F273200" w14:textId="77777777" w:rsidR="007B102F" w:rsidRPr="0051709F" w:rsidRDefault="007B102F" w:rsidP="007B102F">
      <w:pPr>
        <w:shd w:val="clear" w:color="auto" w:fill="FFFFFF"/>
        <w:jc w:val="both"/>
        <w:rPr>
          <w:rFonts w:eastAsia="Times New Roman" w:cstheme="minorHAnsi"/>
          <w:lang w:eastAsia="es-ES"/>
        </w:rPr>
      </w:pPr>
    </w:p>
    <w:p w14:paraId="5DB5EF4F" w14:textId="3D8FD209" w:rsidR="007B102F" w:rsidRPr="0051709F" w:rsidRDefault="00EE7834" w:rsidP="007B102F">
      <w:pPr>
        <w:shd w:val="clear" w:color="auto" w:fill="FFFFFF"/>
        <w:jc w:val="both"/>
        <w:rPr>
          <w:rFonts w:eastAsia="Times New Roman" w:cstheme="minorHAnsi"/>
          <w:b/>
          <w:bCs/>
          <w:lang w:eastAsia="es-ES"/>
        </w:rPr>
      </w:pPr>
      <w:r>
        <w:rPr>
          <w:rFonts w:eastAsia="Times New Roman" w:cstheme="minorHAnsi"/>
          <w:b/>
          <w:bCs/>
          <w:lang w:eastAsia="es-ES"/>
        </w:rPr>
        <w:t xml:space="preserve">F) </w:t>
      </w:r>
      <w:r w:rsidR="007B102F" w:rsidRPr="0051709F">
        <w:rPr>
          <w:rFonts w:eastAsia="Times New Roman" w:cstheme="minorHAnsi"/>
          <w:b/>
          <w:bCs/>
          <w:lang w:eastAsia="es-ES"/>
        </w:rPr>
        <w:t>La forma de enseñar</w:t>
      </w:r>
    </w:p>
    <w:p w14:paraId="27AA8437" w14:textId="77777777" w:rsidR="007B102F" w:rsidRPr="0051709F" w:rsidRDefault="007B102F" w:rsidP="007B102F">
      <w:pPr>
        <w:shd w:val="clear" w:color="auto" w:fill="FFFFFF"/>
        <w:jc w:val="both"/>
        <w:rPr>
          <w:rFonts w:eastAsia="Times New Roman" w:cstheme="minorHAnsi"/>
          <w:lang w:eastAsia="es-ES"/>
        </w:rPr>
      </w:pPr>
    </w:p>
    <w:p w14:paraId="539EF5A4" w14:textId="752F39BC"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Un obstáculo adicional y de larga recorrido para la educación física incluye el predominio continuado del modelo tradicional de actividades múltiples (Kirk, 2010). Este es un modelo centrado en el deporte que implica priorizar la enseñanza del contenido, las técnicas y las habilidades de la actividad, generalmente a través de enfoques dirigidos por el maestro. Se dice que el privilegio de este enfoque proviene de los antecedentes y filosofías orientados al deporte y al rendimiento de los profesores de educación física (</w:t>
      </w:r>
      <w:proofErr w:type="spellStart"/>
      <w:r w:rsidRPr="0051709F">
        <w:rPr>
          <w:rFonts w:eastAsia="Times New Roman" w:cstheme="minorHAnsi"/>
          <w:lang w:eastAsia="es-ES"/>
        </w:rPr>
        <w:t>Alfrey</w:t>
      </w:r>
      <w:proofErr w:type="spellEnd"/>
      <w:r w:rsidRPr="0051709F">
        <w:rPr>
          <w:rFonts w:eastAsia="Times New Roman" w:cstheme="minorHAnsi"/>
          <w:lang w:eastAsia="es-ES"/>
        </w:rPr>
        <w:t xml:space="preserve"> y Welch, 2022; Green, 2009), pero ha sido ampliamente criticado por ser limitado, poco atractivo para muchos jóvenes y, por lo tanto, contraproducente para la promoción de un estilo de vida saludable y activo (</w:t>
      </w:r>
      <w:proofErr w:type="spellStart"/>
      <w:r w:rsidRPr="0051709F">
        <w:rPr>
          <w:rFonts w:eastAsia="Times New Roman" w:cstheme="minorHAnsi"/>
          <w:lang w:eastAsia="es-ES"/>
        </w:rPr>
        <w:t>Alfrey</w:t>
      </w:r>
      <w:proofErr w:type="spellEnd"/>
      <w:r w:rsidRPr="0051709F">
        <w:rPr>
          <w:rFonts w:eastAsia="Times New Roman" w:cstheme="minorHAnsi"/>
          <w:lang w:eastAsia="es-ES"/>
        </w:rPr>
        <w:t xml:space="preserve"> et al., 2012; Kirk, 2010; </w:t>
      </w:r>
      <w:proofErr w:type="spellStart"/>
      <w:r w:rsidRPr="0051709F">
        <w:rPr>
          <w:rFonts w:eastAsia="Times New Roman" w:cstheme="minorHAnsi"/>
          <w:lang w:eastAsia="es-ES"/>
        </w:rPr>
        <w:t>Trost</w:t>
      </w:r>
      <w:proofErr w:type="spellEnd"/>
      <w:r w:rsidRPr="0051709F">
        <w:rPr>
          <w:rFonts w:eastAsia="Times New Roman" w:cstheme="minorHAnsi"/>
          <w:lang w:eastAsia="es-ES"/>
        </w:rPr>
        <w:t>, 2006). </w:t>
      </w:r>
      <w:r w:rsidR="00EE7834">
        <w:rPr>
          <w:rFonts w:eastAsia="Times New Roman" w:cstheme="minorHAnsi"/>
          <w:lang w:eastAsia="es-ES"/>
        </w:rPr>
        <w:t>En este sentido, se destacan l</w:t>
      </w:r>
      <w:r w:rsidRPr="0051709F">
        <w:rPr>
          <w:rFonts w:eastAsia="Times New Roman" w:cstheme="minorHAnsi"/>
          <w:lang w:eastAsia="es-ES"/>
        </w:rPr>
        <w:t>os discursos de salud centrados en el riesgo, la mala salud, el cuerpo, la normalidad y la responsabilidad individual (</w:t>
      </w:r>
      <w:r w:rsidR="00EE7834">
        <w:rPr>
          <w:rFonts w:eastAsia="Times New Roman" w:cstheme="minorHAnsi"/>
          <w:lang w:eastAsia="es-ES"/>
        </w:rPr>
        <w:t>“</w:t>
      </w:r>
      <w:proofErr w:type="spellStart"/>
      <w:r w:rsidRPr="0051709F">
        <w:rPr>
          <w:rFonts w:eastAsia="Times New Roman" w:cstheme="minorHAnsi"/>
          <w:lang w:eastAsia="es-ES"/>
        </w:rPr>
        <w:t>saludismo</w:t>
      </w:r>
      <w:proofErr w:type="spellEnd"/>
      <w:r w:rsidR="00EE7834">
        <w:rPr>
          <w:rFonts w:eastAsia="Times New Roman" w:cstheme="minorHAnsi"/>
          <w:lang w:eastAsia="es-ES"/>
        </w:rPr>
        <w:t>”</w:t>
      </w:r>
      <w:r w:rsidRPr="0051709F">
        <w:rPr>
          <w:rFonts w:eastAsia="Times New Roman" w:cstheme="minorHAnsi"/>
          <w:lang w:eastAsia="es-ES"/>
        </w:rPr>
        <w:t>), que posicionan la salud como una responsabilidad moral y personal en lugar de centrarse en perspectivas más socioculturales, ecológicas y críticas a la salud y al desarrollo de los recursos necesarios para llevar una vida físicamente activa.</w:t>
      </w:r>
    </w:p>
    <w:p w14:paraId="14426F3F" w14:textId="77777777" w:rsidR="007B102F" w:rsidRPr="0051709F" w:rsidRDefault="007B102F" w:rsidP="007B102F">
      <w:pPr>
        <w:shd w:val="clear" w:color="auto" w:fill="FFFFFF"/>
        <w:jc w:val="both"/>
        <w:rPr>
          <w:rFonts w:eastAsia="Times New Roman" w:cstheme="minorHAnsi"/>
          <w:lang w:eastAsia="es-ES"/>
        </w:rPr>
      </w:pPr>
    </w:p>
    <w:p w14:paraId="53B26F1F" w14:textId="086155A6"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Por lo tanto, es importante continuar desafiando y cuestionando la práctica tradicional de educación física en términos de su compatibilidad con los objetivos de aprendizaje relacionados con la salud, los comportamientos y con la promoción efectiva de la actividad física específicamente. La educación física debe valorar e incorporar una amplia gama de actividades físicas “con un propósito” y aspectos del aprendizaje relacionados con la salud en el plan de estudios, ampliando así la visión y, en última instancia, el potencial para el tema. Según corresponda al contexto escolar, las actividades pueden incluir deportes de estilo de vida, practicar deportes y deportes competitivos, danza, actividades al aire libre y de aventura, y actividades individuales y nuevas centradas en la salud (</w:t>
      </w:r>
      <w:r w:rsidR="00EE7834">
        <w:rPr>
          <w:rFonts w:eastAsia="Times New Roman" w:cstheme="minorHAnsi"/>
          <w:lang w:eastAsia="es-ES"/>
        </w:rPr>
        <w:t>por ejemplo</w:t>
      </w:r>
      <w:r w:rsidR="00631C6B">
        <w:rPr>
          <w:rFonts w:eastAsia="Times New Roman" w:cstheme="minorHAnsi"/>
          <w:lang w:eastAsia="es-ES"/>
        </w:rPr>
        <w:t>,</w:t>
      </w:r>
      <w:r w:rsidRPr="0051709F">
        <w:rPr>
          <w:rFonts w:eastAsia="Times New Roman" w:cstheme="minorHAnsi"/>
          <w:lang w:eastAsia="es-ES"/>
        </w:rPr>
        <w:t xml:space="preserve"> ciclismo, patineta, golf, yoga, Pilates, actividades de atención plena, </w:t>
      </w:r>
      <w:proofErr w:type="gramStart"/>
      <w:r w:rsidRPr="0051709F">
        <w:rPr>
          <w:rFonts w:eastAsia="Times New Roman" w:cstheme="minorHAnsi"/>
          <w:lang w:eastAsia="es-ES"/>
        </w:rPr>
        <w:t>paddle</w:t>
      </w:r>
      <w:proofErr w:type="gramEnd"/>
      <w:r w:rsidRPr="0051709F">
        <w:rPr>
          <w:rFonts w:eastAsia="Times New Roman" w:cstheme="minorHAnsi"/>
          <w:lang w:eastAsia="es-ES"/>
        </w:rPr>
        <w:t xml:space="preserve"> surf, surf y kayak). Mientras tanto, el aprendizaje sobre la salud debe ser crítico y holístico y cubrir la salud y el bienestar mental, social, emocional y físico, así como las habilidades de gestión del estilo de vida.</w:t>
      </w:r>
    </w:p>
    <w:p w14:paraId="7F5DCAAE" w14:textId="77777777" w:rsidR="007B102F" w:rsidRPr="0051709F" w:rsidRDefault="007B102F" w:rsidP="007B102F">
      <w:pPr>
        <w:shd w:val="clear" w:color="auto" w:fill="FFFFFF"/>
        <w:jc w:val="both"/>
        <w:rPr>
          <w:rFonts w:eastAsia="Times New Roman" w:cstheme="minorHAnsi"/>
          <w:lang w:eastAsia="es-ES"/>
        </w:rPr>
      </w:pPr>
    </w:p>
    <w:p w14:paraId="4C356DEC" w14:textId="71AEA66F"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lastRenderedPageBreak/>
        <w:t>También es fundamental para avanzar en esta área continuar aún más en la comprensión de las pedagogías eficaces en relación con la enseñanza de la salud en la educación física (</w:t>
      </w:r>
      <w:proofErr w:type="spellStart"/>
      <w:r w:rsidRPr="0051709F">
        <w:rPr>
          <w:rFonts w:eastAsia="Times New Roman" w:cstheme="minorHAnsi"/>
          <w:lang w:eastAsia="es-ES"/>
        </w:rPr>
        <w:t>Armour</w:t>
      </w:r>
      <w:proofErr w:type="spellEnd"/>
      <w:r w:rsidRPr="0051709F">
        <w:rPr>
          <w:rFonts w:eastAsia="Times New Roman" w:cstheme="minorHAnsi"/>
          <w:lang w:eastAsia="es-ES"/>
        </w:rPr>
        <w:t xml:space="preserve"> y Harris, 2013), y ha habido algunos desarrollos prometedores a este respecto y sobre los cuales construir. Dos de estos enfoques pedagógicos han destacado</w:t>
      </w:r>
      <w:r w:rsidR="00EE7834">
        <w:rPr>
          <w:rFonts w:eastAsia="Times New Roman" w:cstheme="minorHAnsi"/>
          <w:lang w:eastAsia="es-ES"/>
        </w:rPr>
        <w:t>:</w:t>
      </w:r>
      <w:r w:rsidRPr="0051709F">
        <w:rPr>
          <w:rFonts w:eastAsia="Times New Roman" w:cstheme="minorHAnsi"/>
          <w:lang w:eastAsia="es-ES"/>
        </w:rPr>
        <w:t xml:space="preserve"> el proyecto PAL y el modelo </w:t>
      </w:r>
      <w:proofErr w:type="spellStart"/>
      <w:r w:rsidRPr="0051709F">
        <w:rPr>
          <w:rFonts w:eastAsia="Times New Roman" w:cstheme="minorHAnsi"/>
          <w:lang w:eastAsia="es-ES"/>
        </w:rPr>
        <w:t>HbPE</w:t>
      </w:r>
      <w:proofErr w:type="spellEnd"/>
      <w:r w:rsidRPr="0051709F">
        <w:rPr>
          <w:rFonts w:eastAsia="Times New Roman" w:cstheme="minorHAnsi"/>
          <w:lang w:eastAsia="es-ES"/>
        </w:rPr>
        <w:t xml:space="preserve">, los cuales han </w:t>
      </w:r>
      <w:r w:rsidR="00EE7834">
        <w:rPr>
          <w:rFonts w:eastAsia="Times New Roman" w:cstheme="minorHAnsi"/>
          <w:lang w:eastAsia="es-ES"/>
        </w:rPr>
        <w:t>obtenido</w:t>
      </w:r>
      <w:r w:rsidRPr="0051709F">
        <w:rPr>
          <w:rFonts w:eastAsia="Times New Roman" w:cstheme="minorHAnsi"/>
          <w:lang w:eastAsia="es-ES"/>
        </w:rPr>
        <w:t xml:space="preserve"> algunos resultados alentadores para profesores y estudiantes, incluidos cambios en las pedagogías de los profesores y mayores niveles de actividad física y respuestas positivas de los estudiantes (</w:t>
      </w:r>
      <w:proofErr w:type="spellStart"/>
      <w:r w:rsidRPr="0051709F">
        <w:rPr>
          <w:rFonts w:eastAsia="Times New Roman" w:cstheme="minorHAnsi"/>
          <w:lang w:eastAsia="es-ES"/>
        </w:rPr>
        <w:t>Bowler</w:t>
      </w:r>
      <w:proofErr w:type="spellEnd"/>
      <w:r w:rsidRPr="0051709F">
        <w:rPr>
          <w:rFonts w:eastAsia="Times New Roman" w:cstheme="minorHAnsi"/>
          <w:lang w:eastAsia="es-ES"/>
        </w:rPr>
        <w:t xml:space="preserve">, 2019). De relevancia adicional en el fomento de estilos de vida saludables y activos en y a través de la educación física son el dominio afectivo y las pedagogías del afecto (Kirk et al., 2018; </w:t>
      </w:r>
      <w:proofErr w:type="spellStart"/>
      <w:r w:rsidRPr="0051709F">
        <w:rPr>
          <w:rFonts w:eastAsia="Times New Roman" w:cstheme="minorHAnsi"/>
          <w:lang w:eastAsia="es-ES"/>
        </w:rPr>
        <w:t>Thorburn</w:t>
      </w:r>
      <w:proofErr w:type="spellEnd"/>
      <w:r w:rsidRPr="0051709F">
        <w:rPr>
          <w:rFonts w:eastAsia="Times New Roman" w:cstheme="minorHAnsi"/>
          <w:lang w:eastAsia="es-ES"/>
        </w:rPr>
        <w:t xml:space="preserve"> 2018), que involucran explícitamente la construcción de atributos afectivos de los jóvenes como la confianza, la motivación, la determinación, la autoestima y la resiliencia a través de la educación física. Es agradable ver que se les presta más atención tanto en la investigación como en la práctica, lo que sugiere un cambio importante hacia un enfoque más amplio y holístico del aprendizaje.</w:t>
      </w:r>
    </w:p>
    <w:p w14:paraId="38C6C230" w14:textId="77777777" w:rsidR="007B102F" w:rsidRPr="0051709F" w:rsidRDefault="007B102F" w:rsidP="007B102F">
      <w:pPr>
        <w:shd w:val="clear" w:color="auto" w:fill="FFFFFF"/>
        <w:jc w:val="both"/>
        <w:rPr>
          <w:rFonts w:eastAsia="Times New Roman" w:cstheme="minorHAnsi"/>
          <w:lang w:eastAsia="es-ES"/>
        </w:rPr>
      </w:pPr>
    </w:p>
    <w:p w14:paraId="3C1481E8" w14:textId="1B16DFB3"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Jess et al. (2023) respecto a la educación física y la salud afirman que un nuevo conjunto de condiciones está ayudando actualmente tanto a integrar la educación física y la salud como a reposicionar el tema como una característica más central dentro de la educación. Estas condiciones incluyen lo siguiente: (i) un cambio en el pensamiento (para ir más allá de un simple enfoque de 'talla única' para ver diferentes formas de pensar y practicar juntas en educación, educación física y salud); (</w:t>
      </w:r>
      <w:proofErr w:type="spellStart"/>
      <w:r w:rsidRPr="0051709F">
        <w:rPr>
          <w:rFonts w:eastAsia="Times New Roman" w:cstheme="minorHAnsi"/>
          <w:lang w:eastAsia="es-ES"/>
        </w:rPr>
        <w:t>ii</w:t>
      </w:r>
      <w:proofErr w:type="spellEnd"/>
      <w:r w:rsidRPr="0051709F">
        <w:rPr>
          <w:rFonts w:eastAsia="Times New Roman" w:cstheme="minorHAnsi"/>
          <w:lang w:eastAsia="es-ES"/>
        </w:rPr>
        <w:t xml:space="preserve">) enfoques holísticos de la educación física (como la educación física significativa, el aprendizaje basado en fortalezas y el modelo </w:t>
      </w:r>
      <w:proofErr w:type="spellStart"/>
      <w:r w:rsidRPr="0051709F">
        <w:rPr>
          <w:rFonts w:eastAsia="Times New Roman" w:cstheme="minorHAnsi"/>
          <w:lang w:eastAsia="es-ES"/>
        </w:rPr>
        <w:t>HbPE</w:t>
      </w:r>
      <w:proofErr w:type="spellEnd"/>
      <w:r w:rsidRPr="0051709F">
        <w:rPr>
          <w:rFonts w:eastAsia="Times New Roman" w:cstheme="minorHAnsi"/>
          <w:lang w:eastAsia="es-ES"/>
        </w:rPr>
        <w:t xml:space="preserve"> destacado anteriormente que se enfoca no s</w:t>
      </w:r>
      <w:r w:rsidR="00EE7834">
        <w:rPr>
          <w:rFonts w:eastAsia="Times New Roman" w:cstheme="minorHAnsi"/>
          <w:lang w:eastAsia="es-ES"/>
        </w:rPr>
        <w:t>ó</w:t>
      </w:r>
      <w:r w:rsidRPr="0051709F">
        <w:rPr>
          <w:rFonts w:eastAsia="Times New Roman" w:cstheme="minorHAnsi"/>
          <w:lang w:eastAsia="es-ES"/>
        </w:rPr>
        <w:t>lo en el aprendizaje físico sino también en los dominios cognitivo, social y emocional); (</w:t>
      </w:r>
      <w:proofErr w:type="spellStart"/>
      <w:r w:rsidRPr="0051709F">
        <w:rPr>
          <w:rFonts w:eastAsia="Times New Roman" w:cstheme="minorHAnsi"/>
          <w:lang w:eastAsia="es-ES"/>
        </w:rPr>
        <w:t>iii</w:t>
      </w:r>
      <w:proofErr w:type="spellEnd"/>
      <w:r w:rsidRPr="0051709F">
        <w:rPr>
          <w:rFonts w:eastAsia="Times New Roman" w:cstheme="minorHAnsi"/>
          <w:lang w:eastAsia="es-ES"/>
        </w:rPr>
        <w:t xml:space="preserve">) enfoques holísticos de la educación para la salud (ir más allá del enfoque en la enfermedad física hacia enfoques más </w:t>
      </w:r>
      <w:r w:rsidR="00EE7834">
        <w:rPr>
          <w:rFonts w:eastAsia="Times New Roman" w:cstheme="minorHAnsi"/>
          <w:lang w:eastAsia="es-ES"/>
        </w:rPr>
        <w:t>amplios</w:t>
      </w:r>
      <w:r w:rsidRPr="0051709F">
        <w:rPr>
          <w:rFonts w:eastAsia="Times New Roman" w:cstheme="minorHAnsi"/>
          <w:lang w:eastAsia="es-ES"/>
        </w:rPr>
        <w:t>, ecológicos</w:t>
      </w:r>
      <w:r w:rsidR="00320330">
        <w:rPr>
          <w:rFonts w:eastAsia="Times New Roman" w:cstheme="minorHAnsi"/>
          <w:lang w:eastAsia="es-ES"/>
        </w:rPr>
        <w:t xml:space="preserve"> e </w:t>
      </w:r>
      <w:proofErr w:type="spellStart"/>
      <w:r w:rsidR="00320330">
        <w:rPr>
          <w:rFonts w:eastAsia="Times New Roman" w:cstheme="minorHAnsi"/>
          <w:lang w:eastAsia="es-ES"/>
        </w:rPr>
        <w:t>inclusi</w:t>
      </w:r>
      <w:proofErr w:type="spellEnd"/>
      <w:r w:rsidRPr="0051709F">
        <w:rPr>
          <w:rFonts w:eastAsia="Times New Roman" w:cstheme="minorHAnsi"/>
          <w:lang w:eastAsia="es-ES"/>
        </w:rPr>
        <w:t xml:space="preserve"> perspectivas </w:t>
      </w:r>
      <w:proofErr w:type="spellStart"/>
      <w:r w:rsidRPr="0051709F">
        <w:rPr>
          <w:rFonts w:eastAsia="Times New Roman" w:cstheme="minorHAnsi"/>
          <w:lang w:eastAsia="es-ES"/>
        </w:rPr>
        <w:t>socioecológicas</w:t>
      </w:r>
      <w:proofErr w:type="spellEnd"/>
      <w:r w:rsidRPr="0051709F">
        <w:rPr>
          <w:rFonts w:eastAsia="Times New Roman" w:cstheme="minorHAnsi"/>
          <w:lang w:eastAsia="es-ES"/>
        </w:rPr>
        <w:t>); (</w:t>
      </w:r>
      <w:proofErr w:type="spellStart"/>
      <w:r w:rsidRPr="0051709F">
        <w:rPr>
          <w:rFonts w:eastAsia="Times New Roman" w:cstheme="minorHAnsi"/>
          <w:lang w:eastAsia="es-ES"/>
        </w:rPr>
        <w:t>iv</w:t>
      </w:r>
      <w:proofErr w:type="spellEnd"/>
      <w:r w:rsidRPr="0051709F">
        <w:rPr>
          <w:rFonts w:eastAsia="Times New Roman" w:cstheme="minorHAnsi"/>
          <w:lang w:eastAsia="es-ES"/>
        </w:rPr>
        <w:t>) beneficios holísticos de la actividad física (reconociendo los beneficios sociales, emocionales y mentales asociados con el estilo de vida individual, la salud y el bienestar, junto con los beneficios físicos); y (v) más partes interesadas (como políticos, legisladores, organizaciones nacionales, líderes escolares, profesionales de la salud, entrenadores deportivos, padres/cuidadores, los medios de comunicación y el público).</w:t>
      </w:r>
    </w:p>
    <w:p w14:paraId="79C86C48" w14:textId="77777777" w:rsidR="007B102F" w:rsidRPr="0051709F" w:rsidRDefault="007B102F" w:rsidP="007B102F">
      <w:pPr>
        <w:shd w:val="clear" w:color="auto" w:fill="FFFFFF"/>
        <w:jc w:val="both"/>
        <w:rPr>
          <w:rFonts w:eastAsia="Times New Roman" w:cstheme="minorHAnsi"/>
          <w:lang w:eastAsia="es-ES"/>
        </w:rPr>
      </w:pPr>
    </w:p>
    <w:p w14:paraId="18EEFF8B" w14:textId="5FFBBB79"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Gray et al. (2022), por ejemplo, destacan cómo</w:t>
      </w:r>
      <w:r w:rsidR="000F691B">
        <w:rPr>
          <w:rFonts w:eastAsia="Times New Roman" w:cstheme="minorHAnsi"/>
          <w:lang w:eastAsia="es-ES"/>
        </w:rPr>
        <w:t xml:space="preserve"> </w:t>
      </w:r>
      <w:r w:rsidRPr="0051709F">
        <w:rPr>
          <w:rFonts w:eastAsia="Times New Roman" w:cstheme="minorHAnsi"/>
          <w:lang w:eastAsia="es-ES"/>
        </w:rPr>
        <w:t>los desarrollos curriculares recientes en el Reino Unido (en Irlanda del Norte, Escocia y Gales</w:t>
      </w:r>
      <w:r w:rsidR="00320330">
        <w:rPr>
          <w:rFonts w:eastAsia="Times New Roman" w:cstheme="minorHAnsi"/>
          <w:lang w:eastAsia="es-ES"/>
        </w:rPr>
        <w:t>, excepto Inglaterra</w:t>
      </w:r>
      <w:r w:rsidRPr="0051709F">
        <w:rPr>
          <w:rFonts w:eastAsia="Times New Roman" w:cstheme="minorHAnsi"/>
          <w:lang w:eastAsia="es-ES"/>
        </w:rPr>
        <w:t xml:space="preserve">) conceptualizan la salud y el bienestar de manera holística, teniendo en cuenta los aspectos sociales, emocionales y mentales, así como el bienestar físico. Además, estos desarrollos parecen haber seguido el ejemplo de otros países como Australia y Nueva Zelanda. El plan de estudios de Australia está respaldado por cinco propuestas interrelacionadas que incluyen un enfoque en los resultados educativos; adoptar un enfoque basado en las fortalezas; el desarrollo de habilidades de alfabetización en salud; valorar el aprendizaje en, sobre y a través del movimiento; y un enfoque basado en la investigación crítica </w:t>
      </w:r>
      <w:r w:rsidRPr="0051709F">
        <w:rPr>
          <w:rFonts w:cstheme="minorHAnsi"/>
          <w:shd w:val="clear" w:color="auto" w:fill="FFFFFF"/>
        </w:rPr>
        <w:t xml:space="preserve">(ACARA, 2012). </w:t>
      </w:r>
      <w:r w:rsidRPr="0051709F">
        <w:rPr>
          <w:rFonts w:eastAsia="Times New Roman" w:cstheme="minorHAnsi"/>
          <w:lang w:eastAsia="es-ES"/>
        </w:rPr>
        <w:t xml:space="preserve">Mientras tanto, el plan de estudios de Salud y Educación Física de Nueva Zelanda se centra en el bienestar, con cuatro conceptos subyacentes que guían el aprendizaje, incluidas las actitudes y los valores, </w:t>
      </w:r>
      <w:proofErr w:type="spellStart"/>
      <w:r w:rsidRPr="0051709F">
        <w:rPr>
          <w:rFonts w:eastAsia="Times New Roman" w:cstheme="minorHAnsi"/>
          <w:lang w:eastAsia="es-ES"/>
        </w:rPr>
        <w:t>Hauora</w:t>
      </w:r>
      <w:proofErr w:type="spellEnd"/>
      <w:r w:rsidRPr="0051709F">
        <w:rPr>
          <w:rFonts w:eastAsia="Times New Roman" w:cstheme="minorHAnsi"/>
          <w:lang w:eastAsia="es-ES"/>
        </w:rPr>
        <w:t xml:space="preserve"> (una filosofía maorí del </w:t>
      </w:r>
      <w:r w:rsidRPr="0051709F">
        <w:rPr>
          <w:rFonts w:eastAsia="Times New Roman" w:cstheme="minorHAnsi"/>
          <w:lang w:eastAsia="es-ES"/>
        </w:rPr>
        <w:lastRenderedPageBreak/>
        <w:t>bienestar), la promoción de la salud y una perspectiva socioecológica (</w:t>
      </w:r>
      <w:proofErr w:type="spellStart"/>
      <w:r w:rsidRPr="0051709F">
        <w:rPr>
          <w:rFonts w:eastAsia="Times New Roman" w:cstheme="minorHAnsi"/>
          <w:lang w:eastAsia="es-ES"/>
        </w:rPr>
        <w:t>Dyson</w:t>
      </w:r>
      <w:proofErr w:type="spellEnd"/>
      <w:r w:rsidRPr="0051709F">
        <w:rPr>
          <w:rFonts w:eastAsia="Times New Roman" w:cstheme="minorHAnsi"/>
          <w:lang w:eastAsia="es-ES"/>
        </w:rPr>
        <w:t xml:space="preserve"> et al., 2018).</w:t>
      </w:r>
    </w:p>
    <w:p w14:paraId="23CE34DD" w14:textId="77777777" w:rsidR="007B102F" w:rsidRPr="0051709F" w:rsidRDefault="007B102F" w:rsidP="007B102F">
      <w:pPr>
        <w:shd w:val="clear" w:color="auto" w:fill="FFFFFF"/>
        <w:jc w:val="both"/>
        <w:rPr>
          <w:rFonts w:eastAsia="Times New Roman" w:cstheme="minorHAnsi"/>
          <w:lang w:eastAsia="es-ES"/>
        </w:rPr>
      </w:pPr>
    </w:p>
    <w:p w14:paraId="38CED30F" w14:textId="4232945C" w:rsidR="007B102F" w:rsidRPr="0051709F" w:rsidRDefault="00320330" w:rsidP="007B102F">
      <w:pPr>
        <w:shd w:val="clear" w:color="auto" w:fill="FFFFFF"/>
        <w:jc w:val="both"/>
        <w:rPr>
          <w:rFonts w:eastAsia="Times New Roman" w:cstheme="minorHAnsi"/>
          <w:b/>
          <w:bCs/>
          <w:lang w:eastAsia="es-ES"/>
        </w:rPr>
      </w:pPr>
      <w:r>
        <w:rPr>
          <w:rFonts w:eastAsia="Times New Roman" w:cstheme="minorHAnsi"/>
          <w:b/>
          <w:bCs/>
          <w:lang w:eastAsia="es-ES"/>
        </w:rPr>
        <w:t xml:space="preserve">G) </w:t>
      </w:r>
      <w:r w:rsidR="007B102F" w:rsidRPr="0051709F">
        <w:rPr>
          <w:rFonts w:eastAsia="Times New Roman" w:cstheme="minorHAnsi"/>
          <w:b/>
          <w:bCs/>
          <w:lang w:eastAsia="es-ES"/>
        </w:rPr>
        <w:t>Intervenciones escolares de componentes múltiples</w:t>
      </w:r>
    </w:p>
    <w:p w14:paraId="7183B8F1" w14:textId="77777777" w:rsidR="007B102F" w:rsidRPr="0051709F" w:rsidRDefault="007B102F" w:rsidP="007B102F">
      <w:pPr>
        <w:shd w:val="clear" w:color="auto" w:fill="FFFFFF"/>
        <w:jc w:val="both"/>
        <w:rPr>
          <w:rFonts w:eastAsia="Times New Roman" w:cstheme="minorHAnsi"/>
          <w:lang w:eastAsia="es-ES"/>
        </w:rPr>
      </w:pPr>
    </w:p>
    <w:p w14:paraId="655AF53A"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Teniendo en cuenta que el niño pasa la mayor parte del tiempo en la escuela y que fuera de la misma, las oportunidades para hacer ejercicio regular en su tiempo libre se reducen, parece obvio pensar que la mejor forma de promocionar actividad física sea a través de intervenciones escolares. Se presentan a continuación las estrategias que mejor han funcionado en el contexto escolar para valorarlas y disponer de recursos a la hora de diseñar un programa de actividad física eficiente. </w:t>
      </w:r>
    </w:p>
    <w:p w14:paraId="6D7E9FB0" w14:textId="77777777" w:rsidR="007B102F" w:rsidRPr="0051709F" w:rsidRDefault="007B102F" w:rsidP="007B102F">
      <w:pPr>
        <w:shd w:val="clear" w:color="auto" w:fill="FFFFFF"/>
        <w:jc w:val="both"/>
        <w:rPr>
          <w:rFonts w:eastAsia="Times New Roman" w:cstheme="minorHAnsi"/>
          <w:lang w:eastAsia="es-ES"/>
        </w:rPr>
      </w:pPr>
    </w:p>
    <w:p w14:paraId="2DC1192D" w14:textId="57540AA4"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La literatura ofrece gran variedad de métodos y componentes que se han probado en los centros educativos y que mejoran la eficacia de las intervenciones. El componente curricular, la formación del personal (</w:t>
      </w:r>
      <w:proofErr w:type="spellStart"/>
      <w:r w:rsidRPr="0051709F">
        <w:rPr>
          <w:rFonts w:eastAsia="Times New Roman" w:cstheme="minorHAnsi"/>
          <w:lang w:eastAsia="es-ES"/>
        </w:rPr>
        <w:t>Dobbins</w:t>
      </w:r>
      <w:proofErr w:type="spellEnd"/>
      <w:r w:rsidRPr="0051709F">
        <w:rPr>
          <w:rFonts w:eastAsia="Times New Roman" w:cstheme="minorHAnsi"/>
          <w:lang w:eastAsia="es-ES"/>
        </w:rPr>
        <w:t xml:space="preserve"> et al., 2009) y los períodos de recreo (</w:t>
      </w:r>
      <w:proofErr w:type="spellStart"/>
      <w:r w:rsidRPr="0051709F">
        <w:rPr>
          <w:rFonts w:eastAsia="Times New Roman" w:cstheme="minorHAnsi"/>
          <w:lang w:eastAsia="es-ES"/>
        </w:rPr>
        <w:t>Ickes</w:t>
      </w:r>
      <w:proofErr w:type="spellEnd"/>
      <w:r w:rsidRPr="0051709F">
        <w:rPr>
          <w:rFonts w:eastAsia="Times New Roman" w:cstheme="minorHAnsi"/>
          <w:lang w:eastAsia="es-ES"/>
        </w:rPr>
        <w:t xml:space="preserve"> et al., 2012) han sido los puntos de referencia en muchos programas de actividad física. Varios estudios han confirmado la importancia del componente curricular y han añadido la participación de la familia y el entorno escolar como elementos importantes en las intervenciones (Anderson et al., 2009; </w:t>
      </w:r>
      <w:proofErr w:type="spellStart"/>
      <w:r w:rsidRPr="0051709F">
        <w:rPr>
          <w:rFonts w:eastAsia="Times New Roman" w:cstheme="minorHAnsi"/>
          <w:lang w:eastAsia="es-ES"/>
        </w:rPr>
        <w:t>Kriemler</w:t>
      </w:r>
      <w:proofErr w:type="spellEnd"/>
      <w:r w:rsidRPr="0051709F">
        <w:rPr>
          <w:rFonts w:eastAsia="Times New Roman" w:cstheme="minorHAnsi"/>
          <w:lang w:eastAsia="es-ES"/>
        </w:rPr>
        <w:t xml:space="preserve"> et al., 2011). La integración de actividades en toda la escuela y no sólo en la clase de educación física o lecciones teóricas de salud en el </w:t>
      </w:r>
      <w:r w:rsidRPr="00D513DF">
        <w:rPr>
          <w:rFonts w:eastAsia="Times New Roman" w:cstheme="minorHAnsi"/>
          <w:lang w:eastAsia="es-ES"/>
        </w:rPr>
        <w:t>aula (</w:t>
      </w:r>
      <w:proofErr w:type="spellStart"/>
      <w:r w:rsidRPr="00D513DF">
        <w:rPr>
          <w:rFonts w:eastAsia="Times New Roman" w:cstheme="minorHAnsi"/>
          <w:lang w:eastAsia="es-ES"/>
        </w:rPr>
        <w:t>Deschesnes</w:t>
      </w:r>
      <w:proofErr w:type="spellEnd"/>
      <w:r w:rsidRPr="00D513DF">
        <w:rPr>
          <w:rFonts w:eastAsia="Times New Roman" w:cstheme="minorHAnsi"/>
          <w:lang w:eastAsia="es-ES"/>
        </w:rPr>
        <w:t xml:space="preserve"> et al., 2003)</w:t>
      </w:r>
      <w:r w:rsidRPr="0051709F">
        <w:rPr>
          <w:rFonts w:eastAsia="Times New Roman" w:cstheme="minorHAnsi"/>
          <w:lang w:eastAsia="es-ES"/>
        </w:rPr>
        <w:t xml:space="preserve"> puede ser </w:t>
      </w:r>
      <w:proofErr w:type="gramStart"/>
      <w:r w:rsidRPr="0051709F">
        <w:rPr>
          <w:rFonts w:eastAsia="Times New Roman" w:cstheme="minorHAnsi"/>
          <w:lang w:eastAsia="es-ES"/>
        </w:rPr>
        <w:t xml:space="preserve">otra estrategia metodológica a </w:t>
      </w:r>
      <w:r w:rsidR="00320330">
        <w:rPr>
          <w:rFonts w:eastAsia="Times New Roman" w:cstheme="minorHAnsi"/>
          <w:lang w:eastAsia="es-ES"/>
        </w:rPr>
        <w:t>incorporar</w:t>
      </w:r>
      <w:proofErr w:type="gramEnd"/>
      <w:r w:rsidRPr="0051709F">
        <w:rPr>
          <w:rFonts w:eastAsia="Times New Roman" w:cstheme="minorHAnsi"/>
          <w:lang w:eastAsia="es-ES"/>
        </w:rPr>
        <w:t xml:space="preserve">. Algunos modelos de intervención la han probado. Esta metodología permite maximizar y reforzar las oportunidades de actividad física a través del currículum, el entorno escolar, vínculos con la comunidad, políticas de la escuela y la cultura escolar (Cale, 2000; Fox et al., 2004; Fox, y Harris, 2003). El programa RESCATE, que incluye componentes de actividad física con lecciones teóricas, ejercicio en los descansos, a través del currículo de educación física y en la familia, es una herramienta efectiva para aumentar la actividad física moderada y reducir actividades sedentarias en niños mejicanos de bajo estatus socioeconómico (Colín-Ramírez et al., 2010). </w:t>
      </w:r>
    </w:p>
    <w:p w14:paraId="63EF9F19"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 </w:t>
      </w:r>
    </w:p>
    <w:p w14:paraId="7AB7746B" w14:textId="25581252"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El currículo está considerado como el punto central para la promoción de actividad física en los niños dentro del ámbito escolar (Centers </w:t>
      </w:r>
      <w:proofErr w:type="spellStart"/>
      <w:r w:rsidR="00C5453F" w:rsidRPr="0051709F">
        <w:rPr>
          <w:rFonts w:eastAsia="Times New Roman" w:cstheme="minorHAnsi"/>
          <w:lang w:eastAsia="es-ES"/>
        </w:rPr>
        <w:t>f</w:t>
      </w:r>
      <w:r w:rsidRPr="0051709F">
        <w:rPr>
          <w:rFonts w:eastAsia="Times New Roman" w:cstheme="minorHAnsi"/>
          <w:lang w:eastAsia="es-ES"/>
        </w:rPr>
        <w:t>or</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Disease</w:t>
      </w:r>
      <w:proofErr w:type="spellEnd"/>
      <w:r w:rsidRPr="0051709F">
        <w:rPr>
          <w:rFonts w:eastAsia="Times New Roman" w:cstheme="minorHAnsi"/>
          <w:lang w:eastAsia="es-ES"/>
        </w:rPr>
        <w:t xml:space="preserve"> Control and </w:t>
      </w:r>
      <w:proofErr w:type="spellStart"/>
      <w:r w:rsidRPr="0051709F">
        <w:rPr>
          <w:rFonts w:eastAsia="Times New Roman" w:cstheme="minorHAnsi"/>
          <w:lang w:eastAsia="es-ES"/>
        </w:rPr>
        <w:t>Prevention</w:t>
      </w:r>
      <w:proofErr w:type="spellEnd"/>
      <w:r w:rsidRPr="0051709F">
        <w:rPr>
          <w:rFonts w:eastAsia="Times New Roman" w:cstheme="minorHAnsi"/>
          <w:lang w:eastAsia="es-ES"/>
        </w:rPr>
        <w:t>, 2011). La importancia de esta clase va más allá de la promoción del ejercicio</w:t>
      </w:r>
      <w:r w:rsidR="00320330">
        <w:rPr>
          <w:rFonts w:eastAsia="Times New Roman" w:cstheme="minorHAnsi"/>
          <w:lang w:eastAsia="es-ES"/>
        </w:rPr>
        <w:t>,</w:t>
      </w:r>
      <w:r w:rsidRPr="0051709F">
        <w:rPr>
          <w:rFonts w:eastAsia="Times New Roman" w:cstheme="minorHAnsi"/>
          <w:lang w:eastAsia="es-ES"/>
        </w:rPr>
        <w:t xml:space="preserve"> ya que además facilita la adquisición de hábitos de vida activos y saludables en la juventud (</w:t>
      </w:r>
      <w:proofErr w:type="spellStart"/>
      <w:r w:rsidRPr="0051709F">
        <w:rPr>
          <w:rFonts w:eastAsia="Times New Roman" w:cstheme="minorHAnsi"/>
          <w:lang w:eastAsia="es-ES"/>
        </w:rPr>
        <w:t>World</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Health</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Organization</w:t>
      </w:r>
      <w:proofErr w:type="spellEnd"/>
      <w:r w:rsidRPr="0051709F">
        <w:rPr>
          <w:rFonts w:eastAsia="Times New Roman" w:cstheme="minorHAnsi"/>
          <w:lang w:eastAsia="es-ES"/>
        </w:rPr>
        <w:t>, 2002). En muchas intervenciones escolares se ha incrementado el tiempo de educación física en el horario escolar. Este aumento, permite mejorar los niveles de ejercicio en los niños (</w:t>
      </w:r>
      <w:proofErr w:type="spellStart"/>
      <w:r w:rsidRPr="0051709F">
        <w:rPr>
          <w:rFonts w:eastAsia="Times New Roman" w:cstheme="minorHAnsi"/>
          <w:lang w:eastAsia="es-ES"/>
        </w:rPr>
        <w:t>Kriemler</w:t>
      </w:r>
      <w:proofErr w:type="spellEnd"/>
      <w:r w:rsidRPr="0051709F">
        <w:rPr>
          <w:rFonts w:eastAsia="Times New Roman" w:cstheme="minorHAnsi"/>
          <w:lang w:eastAsia="es-ES"/>
        </w:rPr>
        <w:t xml:space="preserve"> et al., 2010). Además, las intervenciones que modifican el currículo de la educación física, la frecuencia y duración de las clases, han demostrado ser eficaces en el aumento de la actividad física durante las clases (</w:t>
      </w:r>
      <w:proofErr w:type="spellStart"/>
      <w:r w:rsidRPr="0051709F">
        <w:rPr>
          <w:rFonts w:eastAsia="Times New Roman" w:cstheme="minorHAnsi"/>
          <w:lang w:eastAsia="es-ES"/>
        </w:rPr>
        <w:t>Hoehner</w:t>
      </w:r>
      <w:proofErr w:type="spellEnd"/>
      <w:r w:rsidRPr="0051709F">
        <w:rPr>
          <w:rFonts w:eastAsia="Times New Roman" w:cstheme="minorHAnsi"/>
          <w:lang w:eastAsia="es-ES"/>
        </w:rPr>
        <w:t xml:space="preserve"> et al., 2008; Kahn et al., 2002). Estas evidencias refuerzan la necesidad de aplicar programas de actividad física con una carga curricular importante.</w:t>
      </w:r>
    </w:p>
    <w:p w14:paraId="6AFA341D" w14:textId="77777777" w:rsidR="007B102F" w:rsidRPr="0051709F" w:rsidRDefault="007B102F" w:rsidP="007B102F">
      <w:pPr>
        <w:shd w:val="clear" w:color="auto" w:fill="FFFFFF"/>
        <w:jc w:val="both"/>
        <w:rPr>
          <w:rFonts w:eastAsia="Times New Roman" w:cstheme="minorHAnsi"/>
          <w:lang w:eastAsia="es-ES"/>
        </w:rPr>
      </w:pPr>
    </w:p>
    <w:p w14:paraId="1BAE377F" w14:textId="15FB8313"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Debido a que un gran número de niños no cumple con las recomendaciones de actividad física regular (</w:t>
      </w:r>
      <w:proofErr w:type="spellStart"/>
      <w:r w:rsidRPr="0051709F">
        <w:rPr>
          <w:rFonts w:eastAsia="Times New Roman" w:cstheme="minorHAnsi"/>
          <w:lang w:eastAsia="es-ES"/>
        </w:rPr>
        <w:t>Trost</w:t>
      </w:r>
      <w:proofErr w:type="spellEnd"/>
      <w:r w:rsidRPr="0051709F">
        <w:rPr>
          <w:rFonts w:eastAsia="Times New Roman" w:cstheme="minorHAnsi"/>
          <w:lang w:eastAsia="es-ES"/>
        </w:rPr>
        <w:t xml:space="preserve"> et al., 2008), capturar el tiempo libre de los períodos de recreo en horario escolar puede ser una oportunidad realmente importante para mejorar su participación en el ejercicio (</w:t>
      </w:r>
      <w:proofErr w:type="spellStart"/>
      <w:r w:rsidRPr="0051709F">
        <w:rPr>
          <w:rFonts w:eastAsia="Times New Roman" w:cstheme="minorHAnsi"/>
          <w:lang w:eastAsia="es-ES"/>
        </w:rPr>
        <w:t>Huberty</w:t>
      </w:r>
      <w:proofErr w:type="spellEnd"/>
      <w:r w:rsidRPr="0051709F">
        <w:rPr>
          <w:rFonts w:eastAsia="Times New Roman" w:cstheme="minorHAnsi"/>
          <w:lang w:eastAsia="es-ES"/>
        </w:rPr>
        <w:t xml:space="preserve"> et al., 2011;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 y con ello, lograr el cumplimiento de las recomendaciones sobre el ejercicio físico </w:t>
      </w:r>
      <w:r w:rsidRPr="0051709F">
        <w:rPr>
          <w:rFonts w:eastAsia="Times New Roman" w:cstheme="minorHAnsi"/>
          <w:lang w:eastAsia="es-ES"/>
        </w:rPr>
        <w:lastRenderedPageBreak/>
        <w:t>en</w:t>
      </w:r>
      <w:r w:rsidR="00320330">
        <w:rPr>
          <w:rFonts w:eastAsia="Times New Roman" w:cstheme="minorHAnsi"/>
          <w:lang w:eastAsia="es-ES"/>
        </w:rPr>
        <w:t>tre</w:t>
      </w:r>
      <w:r w:rsidRPr="0051709F">
        <w:rPr>
          <w:rFonts w:eastAsia="Times New Roman" w:cstheme="minorHAnsi"/>
          <w:lang w:eastAsia="es-ES"/>
        </w:rPr>
        <w:t xml:space="preserve"> esta población. El tiempo de recreo ofrece a los niños una oportunidad para ser físicamente activo y cumplir con las recomendaciones saludables de ejercicio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2007). El tiempo de recreo debería considerarse como elemento clave en las intervenciones escolares que promuevan el ejercicio. </w:t>
      </w:r>
      <w:proofErr w:type="gramStart"/>
      <w:r w:rsidRPr="0051709F">
        <w:rPr>
          <w:rFonts w:eastAsia="Times New Roman" w:cstheme="minorHAnsi"/>
          <w:lang w:eastAsia="es-ES"/>
        </w:rPr>
        <w:t>A día de hoy</w:t>
      </w:r>
      <w:proofErr w:type="gramEnd"/>
      <w:r w:rsidRPr="0051709F">
        <w:rPr>
          <w:rFonts w:eastAsia="Times New Roman" w:cstheme="minorHAnsi"/>
          <w:lang w:eastAsia="es-ES"/>
        </w:rPr>
        <w:t>, existen evidencias científicas acerca de la eficacia del tiempo de recreo a la hora de incrementar los niveles del ejercicio (Salmon et al., 2007). Además, las intervenciones escolares de actividad física que se llevan a cabo en el tiempo de descanso y almuerzo pueden aumentar con éxito el ejercicio realizado durante esos períodos en las escuelas primarias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w:t>
      </w:r>
    </w:p>
    <w:p w14:paraId="0593B977" w14:textId="77777777" w:rsidR="007B102F" w:rsidRPr="0051709F" w:rsidRDefault="007B102F" w:rsidP="007B102F">
      <w:pPr>
        <w:shd w:val="clear" w:color="auto" w:fill="FFFFFF"/>
        <w:jc w:val="both"/>
        <w:rPr>
          <w:rFonts w:eastAsia="Times New Roman" w:cstheme="minorHAnsi"/>
          <w:lang w:eastAsia="es-ES"/>
        </w:rPr>
      </w:pPr>
    </w:p>
    <w:p w14:paraId="0F3EB1CC"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Durante la jornada escolar, coexisten una serie de factores que tienen un impacto positivo en el ejercicio de los niños. Uno de los más importantes, es el papel que puede ejercer el docente a la hora de supervisar el comportamiento de sus estudiantes. Este hecho puede estimularlos a ser físicamente activos en la escuela durante el tiempo libre (Saint-Maurice et al., 2011; </w:t>
      </w:r>
      <w:proofErr w:type="spellStart"/>
      <w:r w:rsidRPr="0051709F">
        <w:rPr>
          <w:rFonts w:eastAsia="Times New Roman" w:cstheme="minorHAnsi"/>
          <w:lang w:eastAsia="es-ES"/>
        </w:rPr>
        <w:t>Sallis</w:t>
      </w:r>
      <w:proofErr w:type="spellEnd"/>
      <w:r w:rsidRPr="0051709F">
        <w:rPr>
          <w:rFonts w:eastAsia="Times New Roman" w:cstheme="minorHAnsi"/>
          <w:lang w:eastAsia="es-ES"/>
        </w:rPr>
        <w:t>, Conway et al., 2001). Además, es importante animarlos a tener un comportamiento más activo. Son diversos los estudios que han probado la importancia que puede tener el estímulo de parte de los adultos para que los niños sean físicamente activos (McKenzie et al., 1997; Pate et al., 2003). En una intervención escolar, en la que se registraron aumentos significativos del nivel de actividad física de los niños, los maestros estimularon y animaron a los estudiantes a hacer actividad física en el tiempo de recreo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 Otra de las acciones que puede ejercer el educador es la planificación de juegos que permita a los estudiantes involucrarse en la actividad física de manera inconsciente y compartiendo un rato agradable con sus amigos. En otra intervención escolar, se mostró la eficacia que tiene la presencia de un coordinador de juegos que guíe a los estudiantes durante este período (Chin y Ludwig, 2013). Este docente tendría que disponer de conocimientos suficientes para diseñar actividades y juegos que motiven la participación del mayor número de estudiantes posible. </w:t>
      </w:r>
      <w:proofErr w:type="spellStart"/>
      <w:r w:rsidRPr="0051709F">
        <w:rPr>
          <w:rFonts w:eastAsia="Times New Roman" w:cstheme="minorHAnsi"/>
          <w:lang w:eastAsia="es-ES"/>
        </w:rPr>
        <w:t>Huberty</w:t>
      </w:r>
      <w:proofErr w:type="spellEnd"/>
      <w:r w:rsidRPr="0051709F">
        <w:rPr>
          <w:rFonts w:eastAsia="Times New Roman" w:cstheme="minorHAnsi"/>
          <w:lang w:eastAsia="es-ES"/>
        </w:rPr>
        <w:t xml:space="preserve"> et al. (2011), afirman que la formación de maestros y directores, para poder diseñar actividades adecuadas y crear zonas de juegos en el tiempo de recreo puede aumentar la actividad física moderada y vigorosa durante este período y la jornada escolar. Otros han sugerido que la formación y participación del personal con los niños en el patio durante el tiempo de descanso pueden aumentar la actividad de éstos (</w:t>
      </w:r>
      <w:proofErr w:type="spellStart"/>
      <w:r w:rsidRPr="0051709F">
        <w:rPr>
          <w:rFonts w:eastAsia="Times New Roman" w:cstheme="minorHAnsi"/>
          <w:lang w:eastAsia="es-ES"/>
        </w:rPr>
        <w:t>Cardon</w:t>
      </w:r>
      <w:proofErr w:type="spellEnd"/>
      <w:r w:rsidRPr="0051709F">
        <w:rPr>
          <w:rFonts w:eastAsia="Times New Roman" w:cstheme="minorHAnsi"/>
          <w:lang w:eastAsia="es-ES"/>
        </w:rPr>
        <w:t xml:space="preserve"> et al., 2008). </w:t>
      </w:r>
    </w:p>
    <w:p w14:paraId="73378EFC" w14:textId="77777777" w:rsidR="007B102F" w:rsidRPr="0051709F" w:rsidRDefault="007B102F" w:rsidP="007B102F">
      <w:pPr>
        <w:shd w:val="clear" w:color="auto" w:fill="FFFFFF"/>
        <w:jc w:val="both"/>
        <w:rPr>
          <w:rFonts w:eastAsia="Times New Roman" w:cstheme="minorHAnsi"/>
          <w:lang w:eastAsia="es-ES"/>
        </w:rPr>
      </w:pPr>
    </w:p>
    <w:p w14:paraId="35755C5F" w14:textId="4E290ED1"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Según Ernst y </w:t>
      </w:r>
      <w:proofErr w:type="spellStart"/>
      <w:r w:rsidRPr="0051709F">
        <w:rPr>
          <w:rFonts w:eastAsia="Times New Roman" w:cstheme="minorHAnsi"/>
          <w:lang w:eastAsia="es-ES"/>
        </w:rPr>
        <w:t>Pangrazi</w:t>
      </w:r>
      <w:proofErr w:type="spellEnd"/>
      <w:r w:rsidRPr="0051709F">
        <w:rPr>
          <w:rFonts w:eastAsia="Times New Roman" w:cstheme="minorHAnsi"/>
          <w:lang w:eastAsia="es-ES"/>
        </w:rPr>
        <w:t xml:space="preserve"> (1999) las actividades organizadas y estructuradas pueden favorecer la actividad física en el tiempo de recreo. Se ha demostrado que el tiempo estructurado se asocia con niveles más altos de actividad física (Saint-Maurice et al., 2011;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et al., 2001), sobre todo en los niños más pequeños (</w:t>
      </w:r>
      <w:proofErr w:type="spellStart"/>
      <w:r w:rsidRPr="0051709F">
        <w:rPr>
          <w:rFonts w:eastAsia="Times New Roman" w:cstheme="minorHAnsi"/>
          <w:lang w:eastAsia="es-ES"/>
        </w:rPr>
        <w:t>Stellino</w:t>
      </w:r>
      <w:proofErr w:type="spellEnd"/>
      <w:r w:rsidRPr="0051709F">
        <w:rPr>
          <w:rFonts w:eastAsia="Times New Roman" w:cstheme="minorHAnsi"/>
          <w:lang w:eastAsia="es-ES"/>
        </w:rPr>
        <w:t xml:space="preserve"> et al., 2010). Además, es importante contar con actividades suficientemente motivantes como para hacer que los niños jueguen y practiquen actividad física sin darse cuenta. Esto tiene mucho que ver con los gustos e intereses de los estudiantes. Además de contar con actividades entretenidas, es fundamental que los niños puedan elegir entre un conjunto de ellas. Esta libertad a la hora de elegir y jugar les puede facilitar la participación en las mismas a lo largo del tiempo. Se ha demostrado </w:t>
      </w:r>
      <w:r w:rsidR="00320330" w:rsidRPr="0051709F">
        <w:rPr>
          <w:rFonts w:eastAsia="Times New Roman" w:cstheme="minorHAnsi"/>
          <w:lang w:eastAsia="es-ES"/>
        </w:rPr>
        <w:t>que,</w:t>
      </w:r>
      <w:r w:rsidRPr="0051709F">
        <w:rPr>
          <w:rFonts w:eastAsia="Times New Roman" w:cstheme="minorHAnsi"/>
          <w:lang w:eastAsia="es-ES"/>
        </w:rPr>
        <w:t xml:space="preserve"> si los niños no pueden elegir sus actividades favoritas, el tiempo de participación en actividad física durante el recreo se reduce en un 20% (</w:t>
      </w:r>
      <w:proofErr w:type="spellStart"/>
      <w:r w:rsidRPr="0051709F">
        <w:rPr>
          <w:rFonts w:eastAsia="Times New Roman" w:cstheme="minorHAnsi"/>
          <w:lang w:eastAsia="es-ES"/>
        </w:rPr>
        <w:t>Sallis</w:t>
      </w:r>
      <w:proofErr w:type="spellEnd"/>
      <w:r w:rsidRPr="0051709F">
        <w:rPr>
          <w:rFonts w:eastAsia="Times New Roman" w:cstheme="minorHAnsi"/>
          <w:lang w:eastAsia="es-ES"/>
        </w:rPr>
        <w:t xml:space="preserve"> y Patrick, 1994). Por tanto, sería muy interesante conocer </w:t>
      </w:r>
      <w:r w:rsidRPr="0051709F">
        <w:rPr>
          <w:rFonts w:eastAsia="Times New Roman" w:cstheme="minorHAnsi"/>
          <w:lang w:eastAsia="es-ES"/>
        </w:rPr>
        <w:lastRenderedPageBreak/>
        <w:t xml:space="preserve">aquello que más les estimule para poder incrementar con éxito sus niveles de ejercicio en el periodo de recreo. </w:t>
      </w:r>
    </w:p>
    <w:p w14:paraId="7265880B" w14:textId="77777777" w:rsidR="007B102F" w:rsidRPr="0051709F" w:rsidRDefault="007B102F" w:rsidP="007B102F">
      <w:pPr>
        <w:shd w:val="clear" w:color="auto" w:fill="FFFFFF"/>
        <w:jc w:val="both"/>
        <w:rPr>
          <w:rFonts w:eastAsia="Times New Roman" w:cstheme="minorHAnsi"/>
          <w:lang w:eastAsia="es-ES"/>
        </w:rPr>
      </w:pPr>
    </w:p>
    <w:p w14:paraId="3C20FE8A"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Uno de los aspectos más referenciados en la literatura son las marcas pintadas en los patios. Una revisión concluye que esta simple estrategia (</w:t>
      </w:r>
      <w:proofErr w:type="spellStart"/>
      <w:r w:rsidRPr="0051709F">
        <w:rPr>
          <w:rFonts w:eastAsia="Times New Roman" w:cstheme="minorHAnsi"/>
          <w:lang w:eastAsia="es-ES"/>
        </w:rPr>
        <w:t>Cardon</w:t>
      </w:r>
      <w:proofErr w:type="spellEnd"/>
      <w:r w:rsidRPr="0051709F">
        <w:rPr>
          <w:rFonts w:eastAsia="Times New Roman" w:cstheme="minorHAnsi"/>
          <w:lang w:eastAsia="es-ES"/>
        </w:rPr>
        <w:t xml:space="preserve"> et al., 2009;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2007) resulta efectiva en el incremento del ejercicio en niños durante el recreo. Una intervención escolar, indica que las marcas pintadas en los patios y el diseño de zonas recreativas, entre otros elementos, representan estrategias simples y baratas para aumentar la participación de actividad física en los niños a corto plazo y, al mismo tiempo, reducir el sedentarismo en el recreo (</w:t>
      </w:r>
      <w:proofErr w:type="spellStart"/>
      <w:r w:rsidRPr="0051709F">
        <w:rPr>
          <w:rFonts w:eastAsia="Times New Roman" w:cstheme="minorHAnsi"/>
          <w:lang w:eastAsia="es-ES"/>
        </w:rPr>
        <w:t>Blaes</w:t>
      </w:r>
      <w:proofErr w:type="spellEnd"/>
      <w:r w:rsidRPr="0051709F">
        <w:rPr>
          <w:rFonts w:eastAsia="Times New Roman" w:cstheme="minorHAnsi"/>
          <w:lang w:eastAsia="es-ES"/>
        </w:rPr>
        <w:t xml:space="preserve"> et al., 2013). Sin embargo, aunque las marcas de las zonas de juegos en los parques infantiles pueden tener efectos prometedores, los niveles de evidencia no son suficientes para establecer efectos concluyentes (</w:t>
      </w:r>
      <w:proofErr w:type="spellStart"/>
      <w:r w:rsidRPr="0051709F">
        <w:rPr>
          <w:rFonts w:eastAsia="Times New Roman" w:cstheme="minorHAnsi"/>
          <w:lang w:eastAsia="es-ES"/>
        </w:rPr>
        <w:t>Parrish</w:t>
      </w:r>
      <w:proofErr w:type="spellEnd"/>
      <w:r w:rsidRPr="0051709F">
        <w:rPr>
          <w:rFonts w:eastAsia="Times New Roman" w:cstheme="minorHAnsi"/>
          <w:lang w:eastAsia="es-ES"/>
        </w:rPr>
        <w:t xml:space="preserve"> et al., 2013). Por esta razón, es preciso disponer de más estrategias como el equipamiento adicional de juego y la formación del personal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2010).</w:t>
      </w:r>
    </w:p>
    <w:p w14:paraId="58D1C761" w14:textId="77777777" w:rsidR="007B102F" w:rsidRPr="0051709F" w:rsidRDefault="007B102F" w:rsidP="007B102F">
      <w:pPr>
        <w:shd w:val="clear" w:color="auto" w:fill="FFFFFF"/>
        <w:jc w:val="both"/>
        <w:rPr>
          <w:rFonts w:eastAsia="Times New Roman" w:cstheme="minorHAnsi"/>
          <w:lang w:eastAsia="es-ES"/>
        </w:rPr>
      </w:pPr>
    </w:p>
    <w:p w14:paraId="02DAA683" w14:textId="2A1557C3"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El equipamiento de juego adicional es otro factor </w:t>
      </w:r>
      <w:r w:rsidR="00EE45F9">
        <w:rPr>
          <w:rFonts w:eastAsia="Times New Roman" w:cstheme="minorHAnsi"/>
          <w:lang w:eastAsia="es-ES"/>
        </w:rPr>
        <w:t>clave</w:t>
      </w:r>
      <w:r w:rsidRPr="0051709F">
        <w:rPr>
          <w:rFonts w:eastAsia="Times New Roman" w:cstheme="minorHAnsi"/>
          <w:lang w:eastAsia="es-ES"/>
        </w:rPr>
        <w:t xml:space="preserve"> en el tiempo de recreo. Las evidencias afirman que puede aumentar el ejercicio en los niños en el tiempo de descanso (</w:t>
      </w:r>
      <w:proofErr w:type="spellStart"/>
      <w:r w:rsidRPr="0051709F">
        <w:rPr>
          <w:rFonts w:eastAsia="Times New Roman" w:cstheme="minorHAnsi"/>
          <w:lang w:eastAsia="es-ES"/>
        </w:rPr>
        <w:t>Cardon</w:t>
      </w:r>
      <w:proofErr w:type="spellEnd"/>
      <w:r w:rsidRPr="0051709F">
        <w:rPr>
          <w:rFonts w:eastAsia="Times New Roman" w:cstheme="minorHAnsi"/>
          <w:lang w:eastAsia="es-ES"/>
        </w:rPr>
        <w:t xml:space="preserve"> et al., 2009;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2007;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 Se ha mostrado su funcionalidad a la hora de aumentar los niveles de actividad física de los niños y reducir su sedentarismo en el recreo (</w:t>
      </w:r>
      <w:proofErr w:type="spellStart"/>
      <w:r w:rsidRPr="0051709F">
        <w:rPr>
          <w:rFonts w:eastAsia="Times New Roman" w:cstheme="minorHAnsi"/>
          <w:lang w:eastAsia="es-ES"/>
        </w:rPr>
        <w:t>Blaes</w:t>
      </w:r>
      <w:proofErr w:type="spellEnd"/>
      <w:r w:rsidRPr="0051709F">
        <w:rPr>
          <w:rFonts w:eastAsia="Times New Roman" w:cstheme="minorHAnsi"/>
          <w:lang w:eastAsia="es-ES"/>
        </w:rPr>
        <w:t xml:space="preserve"> et al., 2013). El equipamiento o material de juego puede variar según las características de las </w:t>
      </w:r>
      <w:r w:rsidR="00EE45F9" w:rsidRPr="0051709F">
        <w:rPr>
          <w:rFonts w:eastAsia="Times New Roman" w:cstheme="minorHAnsi"/>
          <w:lang w:eastAsia="es-ES"/>
        </w:rPr>
        <w:t>actividades,</w:t>
      </w:r>
      <w:r w:rsidRPr="0051709F">
        <w:rPr>
          <w:rFonts w:eastAsia="Times New Roman" w:cstheme="minorHAnsi"/>
          <w:lang w:eastAsia="es-ES"/>
        </w:rPr>
        <w:t xml:space="preserve"> pero basta con utilizar algunos elementos sencillos como cuerdas para saltar y paletas de playa entre otros, junto con tarjetas que describan cómo usarlos para incrementar la actividad física infantil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w:t>
      </w:r>
    </w:p>
    <w:p w14:paraId="1932B401" w14:textId="77777777" w:rsidR="007B102F" w:rsidRPr="0051709F" w:rsidRDefault="007B102F" w:rsidP="007B102F">
      <w:pPr>
        <w:shd w:val="clear" w:color="auto" w:fill="FFFFFF"/>
        <w:jc w:val="both"/>
        <w:rPr>
          <w:rFonts w:eastAsia="Times New Roman" w:cstheme="minorHAnsi"/>
          <w:lang w:eastAsia="es-ES"/>
        </w:rPr>
      </w:pPr>
    </w:p>
    <w:p w14:paraId="4930379F" w14:textId="6F18CE8A"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Aunque algunos estudios afirmen que los cambios que se producen en las intervenciones durante el recreo son pequeños y se dan a corto plazo (</w:t>
      </w:r>
      <w:proofErr w:type="spellStart"/>
      <w:r w:rsidRPr="0051709F">
        <w:rPr>
          <w:rFonts w:eastAsia="Times New Roman" w:cstheme="minorHAnsi"/>
          <w:lang w:eastAsia="es-ES"/>
        </w:rPr>
        <w:t>Stellino</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Ridgers</w:t>
      </w:r>
      <w:proofErr w:type="spellEnd"/>
      <w:r w:rsidRPr="0051709F">
        <w:rPr>
          <w:rFonts w:eastAsia="Times New Roman" w:cstheme="minorHAnsi"/>
          <w:lang w:eastAsia="es-ES"/>
        </w:rPr>
        <w:t xml:space="preserve"> et al., 2010; </w:t>
      </w:r>
      <w:proofErr w:type="spellStart"/>
      <w:r w:rsidRPr="0051709F">
        <w:rPr>
          <w:rFonts w:eastAsia="Times New Roman" w:cstheme="minorHAnsi"/>
          <w:lang w:eastAsia="es-ES"/>
        </w:rPr>
        <w:t>Verstraete</w:t>
      </w:r>
      <w:proofErr w:type="spellEnd"/>
      <w:r w:rsidRPr="0051709F">
        <w:rPr>
          <w:rFonts w:eastAsia="Times New Roman" w:cstheme="minorHAnsi"/>
          <w:lang w:eastAsia="es-ES"/>
        </w:rPr>
        <w:t xml:space="preserve"> et al., 2006), </w:t>
      </w:r>
      <w:r w:rsidR="00EE45F9">
        <w:rPr>
          <w:rFonts w:eastAsia="Times New Roman" w:cstheme="minorHAnsi"/>
          <w:lang w:eastAsia="es-ES"/>
        </w:rPr>
        <w:t>supone éste</w:t>
      </w:r>
      <w:r w:rsidRPr="0051709F">
        <w:rPr>
          <w:rFonts w:eastAsia="Times New Roman" w:cstheme="minorHAnsi"/>
          <w:lang w:eastAsia="es-ES"/>
        </w:rPr>
        <w:t xml:space="preserve"> un campo de acción que permit</w:t>
      </w:r>
      <w:r w:rsidR="00EE45F9">
        <w:rPr>
          <w:rFonts w:eastAsia="Times New Roman" w:cstheme="minorHAnsi"/>
          <w:lang w:eastAsia="es-ES"/>
        </w:rPr>
        <w:t>a</w:t>
      </w:r>
      <w:r w:rsidRPr="0051709F">
        <w:rPr>
          <w:rFonts w:eastAsia="Times New Roman" w:cstheme="minorHAnsi"/>
          <w:lang w:eastAsia="es-ES"/>
        </w:rPr>
        <w:t xml:space="preserve"> </w:t>
      </w:r>
      <w:r w:rsidR="00EE45F9">
        <w:rPr>
          <w:rFonts w:eastAsia="Times New Roman" w:cstheme="minorHAnsi"/>
          <w:lang w:eastAsia="es-ES"/>
        </w:rPr>
        <w:t>usa</w:t>
      </w:r>
      <w:r w:rsidR="00EE45F9" w:rsidRPr="0051709F">
        <w:rPr>
          <w:rFonts w:eastAsia="Times New Roman" w:cstheme="minorHAnsi"/>
          <w:lang w:eastAsia="es-ES"/>
        </w:rPr>
        <w:t>r</w:t>
      </w:r>
      <w:r w:rsidRPr="0051709F">
        <w:rPr>
          <w:rFonts w:eastAsia="Times New Roman" w:cstheme="minorHAnsi"/>
          <w:lang w:eastAsia="es-ES"/>
        </w:rPr>
        <w:t xml:space="preserve"> muchas estrategias a la hora de incrementar la actividad física de los estudiantes y conseguir efectos a lo largo del tiempo.</w:t>
      </w:r>
    </w:p>
    <w:p w14:paraId="59D2B483" w14:textId="77777777" w:rsidR="007B102F" w:rsidRPr="0051709F" w:rsidRDefault="007B102F" w:rsidP="007B102F">
      <w:pPr>
        <w:rPr>
          <w:rFonts w:eastAsia="Times New Roman" w:cstheme="minorHAnsi"/>
          <w:lang w:eastAsia="es-ES"/>
        </w:rPr>
      </w:pPr>
    </w:p>
    <w:p w14:paraId="0363F90F" w14:textId="24604F3E" w:rsidR="007B102F" w:rsidRPr="0051709F" w:rsidRDefault="007B102F" w:rsidP="00426D7B">
      <w:pPr>
        <w:pStyle w:val="Ttulo2"/>
        <w:numPr>
          <w:ilvl w:val="0"/>
          <w:numId w:val="0"/>
        </w:numPr>
        <w:ind w:left="576" w:hanging="576"/>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sz w:val="24"/>
          <w:szCs w:val="24"/>
          <w:lang w:val="es-ES" w:eastAsia="es-ES"/>
        </w:rPr>
        <w:t xml:space="preserve">Propuesta preliminar de actuaciones coordinadas </w:t>
      </w:r>
    </w:p>
    <w:p w14:paraId="2D566468" w14:textId="77777777" w:rsidR="007B102F" w:rsidRPr="0051709F" w:rsidRDefault="007B102F" w:rsidP="007B102F">
      <w:pPr>
        <w:shd w:val="clear" w:color="auto" w:fill="FFFFFF"/>
        <w:jc w:val="both"/>
        <w:rPr>
          <w:rFonts w:eastAsia="Times New Roman" w:cstheme="minorHAnsi"/>
          <w:b/>
          <w:bCs/>
          <w:lang w:eastAsia="es-ES"/>
        </w:rPr>
      </w:pPr>
    </w:p>
    <w:p w14:paraId="6656A6D9" w14:textId="77777777"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En este apartado se presentan las actuaciones que pueden dar lugar a una estrategia a nivel educativo en España, identificando los agentes que son necesarios implicar.</w:t>
      </w:r>
    </w:p>
    <w:p w14:paraId="254BAE19" w14:textId="77777777" w:rsidR="007B102F" w:rsidRPr="0051709F" w:rsidRDefault="007B102F" w:rsidP="007B102F">
      <w:pPr>
        <w:shd w:val="clear" w:color="auto" w:fill="FFFFFF"/>
        <w:jc w:val="both"/>
        <w:rPr>
          <w:rFonts w:eastAsia="Times New Roman" w:cstheme="minorHAnsi"/>
          <w:lang w:eastAsia="es-ES"/>
        </w:rPr>
      </w:pPr>
    </w:p>
    <w:p w14:paraId="6362B1B2" w14:textId="25B8641E"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La identificación de los factores que determinan la participación en la actividad física y los procesos por los cuales afectan la acción es primordial para proporcionar evidencia formativa sobre la cual basar intervenciones conductuales efectivas (Sheeran et al., 2017). La aplicación de las teorías de la motivación y las actitudes ha estado a la vanguardia de proporcionar una base de pruebas para los factores que impulsan la participación en la actividad física (</w:t>
      </w:r>
      <w:proofErr w:type="spellStart"/>
      <w:r w:rsidRPr="0051709F">
        <w:rPr>
          <w:rFonts w:asciiTheme="minorHAnsi" w:hAnsiTheme="minorHAnsi" w:cstheme="minorHAnsi"/>
        </w:rPr>
        <w:t>Glanz</w:t>
      </w:r>
      <w:proofErr w:type="spellEnd"/>
      <w:r w:rsidRPr="0051709F">
        <w:rPr>
          <w:rFonts w:asciiTheme="minorHAnsi" w:hAnsiTheme="minorHAnsi" w:cstheme="minorHAnsi"/>
        </w:rPr>
        <w:t xml:space="preserve"> y </w:t>
      </w:r>
      <w:proofErr w:type="spellStart"/>
      <w:r w:rsidRPr="0051709F">
        <w:rPr>
          <w:rFonts w:asciiTheme="minorHAnsi" w:hAnsiTheme="minorHAnsi" w:cstheme="minorHAnsi"/>
        </w:rPr>
        <w:t>Bishop</w:t>
      </w:r>
      <w:proofErr w:type="spellEnd"/>
      <w:r w:rsidRPr="0051709F">
        <w:rPr>
          <w:rFonts w:asciiTheme="minorHAnsi" w:hAnsiTheme="minorHAnsi" w:cstheme="minorHAnsi"/>
        </w:rPr>
        <w:t xml:space="preserve">, 2010; </w:t>
      </w:r>
      <w:proofErr w:type="spellStart"/>
      <w:r w:rsidRPr="0051709F">
        <w:rPr>
          <w:rFonts w:asciiTheme="minorHAnsi" w:hAnsiTheme="minorHAnsi" w:cstheme="minorHAnsi"/>
        </w:rPr>
        <w:t>Hagger</w:t>
      </w:r>
      <w:proofErr w:type="spellEnd"/>
      <w:r w:rsidRPr="0051709F">
        <w:rPr>
          <w:rFonts w:asciiTheme="minorHAnsi" w:hAnsiTheme="minorHAnsi" w:cstheme="minorHAnsi"/>
        </w:rPr>
        <w:t xml:space="preserve"> y </w:t>
      </w:r>
      <w:proofErr w:type="spellStart"/>
      <w:r w:rsidRPr="0051709F">
        <w:rPr>
          <w:rFonts w:asciiTheme="minorHAnsi" w:hAnsiTheme="minorHAnsi" w:cstheme="minorHAnsi"/>
        </w:rPr>
        <w:t>Chatzisarantis</w:t>
      </w:r>
      <w:proofErr w:type="spellEnd"/>
      <w:r w:rsidRPr="0051709F">
        <w:rPr>
          <w:rFonts w:asciiTheme="minorHAnsi" w:hAnsiTheme="minorHAnsi" w:cstheme="minorHAnsi"/>
        </w:rPr>
        <w:t>, 2016).</w:t>
      </w:r>
    </w:p>
    <w:p w14:paraId="5C47F7D8" w14:textId="77777777" w:rsidR="007B102F" w:rsidRPr="0051709F" w:rsidRDefault="007B102F" w:rsidP="007B102F">
      <w:pPr>
        <w:pStyle w:val="NormalWeb"/>
        <w:shd w:val="clear" w:color="auto" w:fill="FFFFFF"/>
        <w:spacing w:before="0" w:beforeAutospacing="0" w:after="0" w:afterAutospacing="0"/>
        <w:rPr>
          <w:rFonts w:asciiTheme="minorHAnsi" w:hAnsiTheme="minorHAnsi" w:cstheme="minorHAnsi"/>
        </w:rPr>
      </w:pPr>
    </w:p>
    <w:p w14:paraId="4FFBEED0" w14:textId="50198271"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La teoría de la autodeterminación, como ya se ha indicado anteriormente, es una teoría destacada de la motivación que se ha aplicado para comprender la participación en conductas de salud como la actividad física (Ryan y </w:t>
      </w:r>
      <w:proofErr w:type="spellStart"/>
      <w:r w:rsidRPr="0051709F">
        <w:rPr>
          <w:rFonts w:asciiTheme="minorHAnsi" w:hAnsiTheme="minorHAnsi" w:cstheme="minorHAnsi"/>
        </w:rPr>
        <w:t>Deci</w:t>
      </w:r>
      <w:proofErr w:type="spellEnd"/>
      <w:r w:rsidRPr="0051709F">
        <w:rPr>
          <w:rFonts w:asciiTheme="minorHAnsi" w:hAnsiTheme="minorHAnsi" w:cstheme="minorHAnsi"/>
        </w:rPr>
        <w:t>, 2000, 2017). </w:t>
      </w:r>
      <w:r w:rsidR="002D4FFC">
        <w:rPr>
          <w:rFonts w:asciiTheme="minorHAnsi" w:hAnsiTheme="minorHAnsi" w:cstheme="minorHAnsi"/>
        </w:rPr>
        <w:t>Clave en esta</w:t>
      </w:r>
      <w:r w:rsidRPr="0051709F">
        <w:rPr>
          <w:rFonts w:asciiTheme="minorHAnsi" w:hAnsiTheme="minorHAnsi" w:cstheme="minorHAnsi"/>
        </w:rPr>
        <w:t xml:space="preserve"> </w:t>
      </w:r>
      <w:r w:rsidRPr="0051709F">
        <w:rPr>
          <w:rFonts w:asciiTheme="minorHAnsi" w:hAnsiTheme="minorHAnsi" w:cstheme="minorHAnsi"/>
        </w:rPr>
        <w:lastRenderedPageBreak/>
        <w:t>teoría es la construcción de la autodeterminación o motivación autónoma. Esta forma de motivación refleja la reflexión general de una persona sobre las causas de su acción. La gente autodeterminada o autónoma se involucra en acciones como la actividad física por interés, elección y el sentido de participación personal que siente cuando participa en las actividades físicas. Por el contrario, las personas que sienten que sus acciones son menos autodeterminadas probablemente sientan que sus acciones están controladas por contingencias externas y participen en actividades porque se sienten presionados, forzados u obligados a hacerlo. Las investigaciones han indicado que las personas con motivación autónoma tienen más probabilidades de persistir en las actividades y de obtener resultados positivos o adaptativos (Ryan, 2012). Cada vez hay más investigaciones que demuestran que la motivación autónoma está relacionada con la aceptación y la persistencia de comportamientos saludables (Ng et al., 2012), en particular, la actividad física (</w:t>
      </w:r>
      <w:proofErr w:type="spellStart"/>
      <w:r w:rsidRPr="0051709F">
        <w:rPr>
          <w:rFonts w:asciiTheme="minorHAnsi" w:hAnsiTheme="minorHAnsi" w:cstheme="minorHAnsi"/>
        </w:rPr>
        <w:t>Hagger</w:t>
      </w:r>
      <w:proofErr w:type="spellEnd"/>
      <w:r w:rsidRPr="0051709F">
        <w:rPr>
          <w:rFonts w:asciiTheme="minorHAnsi" w:hAnsiTheme="minorHAnsi" w:cstheme="minorHAnsi"/>
        </w:rPr>
        <w:t xml:space="preserve"> y </w:t>
      </w:r>
      <w:proofErr w:type="spellStart"/>
      <w:r w:rsidRPr="0051709F">
        <w:rPr>
          <w:rFonts w:asciiTheme="minorHAnsi" w:hAnsiTheme="minorHAnsi" w:cstheme="minorHAnsi"/>
        </w:rPr>
        <w:t>Chatzisarantis</w:t>
      </w:r>
      <w:proofErr w:type="spellEnd"/>
      <w:r w:rsidRPr="0051709F">
        <w:rPr>
          <w:rFonts w:asciiTheme="minorHAnsi" w:hAnsiTheme="minorHAnsi" w:cstheme="minorHAnsi"/>
        </w:rPr>
        <w:t>, 2015). El mecanismo propuesto por el cual la motivación autónoma conduce a resultados de adaptación es a través de un mayor interés, esfuerzo y participación en la tarea.</w:t>
      </w:r>
    </w:p>
    <w:p w14:paraId="0F057722" w14:textId="77777777" w:rsidR="007B102F" w:rsidRPr="0051709F" w:rsidRDefault="007B102F" w:rsidP="007B102F">
      <w:pPr>
        <w:pStyle w:val="NormalWeb"/>
        <w:shd w:val="clear" w:color="auto" w:fill="FFFFFF"/>
        <w:spacing w:before="0" w:beforeAutospacing="0" w:after="0" w:afterAutospacing="0"/>
        <w:rPr>
          <w:rFonts w:asciiTheme="minorHAnsi" w:hAnsiTheme="minorHAnsi" w:cstheme="minorHAnsi"/>
        </w:rPr>
      </w:pPr>
    </w:p>
    <w:p w14:paraId="5FB81776" w14:textId="7DAE1638"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Dado que se ha demostrado que la motivación autónoma está relacionada con la persistencia en comportamientos adaptativos, los investigadores e intervencionistas han buscado identificar los contextos y condiciones que promueven y dan lugar a la motivación autónoma. En particular, se ha demostrado que el enfoque en el “ambiente” o “clima” motivacional proporcionado por las acciones de otras personas significativas con roles de liderazgo (por ejemplo, entrenadores, maestros, instructores, padres) influye en el desarrollo de la motivación autónoma. Específicamente, se ha demostrado que los comportamientos de apoyo a la autonomía de las figuras de autoridad, como la provisión de opciones y el apoyo a la acción autodirigida, promueven la motivación autónoma y la persistencia en las personas que operan en ese entorno (Reeve y </w:t>
      </w:r>
      <w:proofErr w:type="spellStart"/>
      <w:r w:rsidRPr="0051709F">
        <w:rPr>
          <w:rFonts w:asciiTheme="minorHAnsi" w:hAnsiTheme="minorHAnsi" w:cstheme="minorHAnsi"/>
        </w:rPr>
        <w:t>Jang</w:t>
      </w:r>
      <w:proofErr w:type="spellEnd"/>
      <w:r w:rsidRPr="0051709F">
        <w:rPr>
          <w:rFonts w:asciiTheme="minorHAnsi" w:hAnsiTheme="minorHAnsi" w:cstheme="minorHAnsi"/>
        </w:rPr>
        <w:t>, 2006; Su y Reeve, 2011). Además, se ha demostrado que la percepción de que otras personas significativas en su entorno apoyan la autonomía está fuertemente relacionada con la motivación autónoma, así como con otros resultados adaptativos en múltiples contextos (Ferguson et al., 2011; Ng et al., 2012). En contextos educativos, por lo tanto, los profesores pueden asumir el papel principal en el fomento de la motivación autónoma hacia las actividades de aprendizaje en el aula mediante la adopción de comportamientos de apoyo a la autonomía. El apoyo a la autonomía se centra en el estilo y la entrega del contenido de la lección en lugar del contenido en sí. Se ha encontrado que las intervenciones que han adoptado técnicas de apoyo a la autonomía y estilos interactivos son efectivas en múltiples contextos para producir resultados motivacionales y conductuales positivos. Es importante destacar que existe evidencia de que las intervenciones de apoyo a la autonomía pueden producir cambios a largo plazo en la motivación y el comportamiento en entornos académicos (</w:t>
      </w:r>
      <w:proofErr w:type="spellStart"/>
      <w:r w:rsidRPr="0051709F">
        <w:rPr>
          <w:rFonts w:asciiTheme="minorHAnsi" w:hAnsiTheme="minorHAnsi" w:cstheme="minorHAnsi"/>
        </w:rPr>
        <w:t>Cheon</w:t>
      </w:r>
      <w:proofErr w:type="spellEnd"/>
      <w:r w:rsidRPr="0051709F">
        <w:rPr>
          <w:rFonts w:asciiTheme="minorHAnsi" w:hAnsiTheme="minorHAnsi" w:cstheme="minorHAnsi"/>
        </w:rPr>
        <w:t xml:space="preserve"> y Reeve, 2013; Williams et al., 2006).</w:t>
      </w:r>
    </w:p>
    <w:p w14:paraId="3468E7FA" w14:textId="77777777" w:rsidR="007B102F" w:rsidRPr="0051709F" w:rsidRDefault="007B102F" w:rsidP="007B102F">
      <w:pPr>
        <w:pStyle w:val="NormalWeb"/>
        <w:shd w:val="clear" w:color="auto" w:fill="FFFFFF"/>
        <w:spacing w:before="0" w:beforeAutospacing="0" w:after="0" w:afterAutospacing="0"/>
        <w:rPr>
          <w:rFonts w:asciiTheme="minorHAnsi" w:hAnsiTheme="minorHAnsi" w:cstheme="minorHAnsi"/>
        </w:rPr>
      </w:pPr>
    </w:p>
    <w:p w14:paraId="3798410E" w14:textId="1B27740B"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La teoría reciente ha propuesto los mecanismos potenciales por los cuales el apoyo a la autonomía en un contexto educativo como la educación física puede conducir a la participación en actividades físicas fuera de la escuela. Aprovechando múltiples teorías de la motivación, particularmente la teoría de la autodeterminación y la teoría del comportamiento planificado, se desarrolló el modelo </w:t>
      </w:r>
      <w:proofErr w:type="spellStart"/>
      <w:r w:rsidRPr="0051709F">
        <w:rPr>
          <w:rFonts w:asciiTheme="minorHAnsi" w:hAnsiTheme="minorHAnsi" w:cstheme="minorHAnsi"/>
        </w:rPr>
        <w:t>transcontextual</w:t>
      </w:r>
      <w:proofErr w:type="spellEnd"/>
      <w:r w:rsidRPr="0051709F">
        <w:rPr>
          <w:rFonts w:asciiTheme="minorHAnsi" w:hAnsiTheme="minorHAnsi" w:cstheme="minorHAnsi"/>
        </w:rPr>
        <w:t xml:space="preserve"> (TCM) (</w:t>
      </w:r>
      <w:proofErr w:type="spellStart"/>
      <w:r w:rsidRPr="0051709F">
        <w:rPr>
          <w:rFonts w:asciiTheme="minorHAnsi" w:hAnsiTheme="minorHAnsi" w:cstheme="minorHAnsi"/>
        </w:rPr>
        <w:t>Hagger</w:t>
      </w:r>
      <w:proofErr w:type="spellEnd"/>
      <w:r w:rsidRPr="0051709F">
        <w:rPr>
          <w:rFonts w:asciiTheme="minorHAnsi" w:hAnsiTheme="minorHAnsi" w:cstheme="minorHAnsi"/>
        </w:rPr>
        <w:t xml:space="preserve"> et al., 2003). El modelo (Figura 1</w:t>
      </w:r>
      <w:r w:rsidR="0040157F" w:rsidRPr="0051709F">
        <w:rPr>
          <w:rFonts w:asciiTheme="minorHAnsi" w:hAnsiTheme="minorHAnsi" w:cstheme="minorHAnsi"/>
        </w:rPr>
        <w:t>2</w:t>
      </w:r>
      <w:r w:rsidRPr="0051709F">
        <w:rPr>
          <w:rFonts w:asciiTheme="minorHAnsi" w:hAnsiTheme="minorHAnsi" w:cstheme="minorHAnsi"/>
        </w:rPr>
        <w:t xml:space="preserve">) describe cómo el apoyo a la autonomía de los docentes </w:t>
      </w:r>
      <w:r w:rsidRPr="0051709F">
        <w:rPr>
          <w:rFonts w:asciiTheme="minorHAnsi" w:hAnsiTheme="minorHAnsi" w:cstheme="minorHAnsi"/>
        </w:rPr>
        <w:lastRenderedPageBreak/>
        <w:t xml:space="preserve">para las actividades en clase en el contexto de la educación física se transfiere a la motivación autónoma y las intenciones futuras de participar en actividad física en el tiempo libre en un contexto fuera de la escuela. De acuerdo con el modelo, la promoción por parte de los docentes de la motivación autónoma de los estudiantes hacia las actividades físicas en educación física llevará a las personas a alinear estratégicamente su motivación, creencias e intenciones hacia actividades similares en contextos relacionados con esos motivos. Una revisión y un </w:t>
      </w:r>
      <w:r w:rsidR="000F691B" w:rsidRPr="0051709F">
        <w:rPr>
          <w:rFonts w:asciiTheme="minorHAnsi" w:hAnsiTheme="minorHAnsi" w:cstheme="minorHAnsi"/>
        </w:rPr>
        <w:t>meta</w:t>
      </w:r>
      <w:r w:rsidR="000F691B">
        <w:rPr>
          <w:rFonts w:asciiTheme="minorHAnsi" w:hAnsiTheme="minorHAnsi" w:cstheme="minorHAnsi"/>
        </w:rPr>
        <w:t>análisis</w:t>
      </w:r>
      <w:r w:rsidRPr="0051709F">
        <w:rPr>
          <w:rFonts w:asciiTheme="minorHAnsi" w:hAnsiTheme="minorHAnsi" w:cstheme="minorHAnsi"/>
        </w:rPr>
        <w:t xml:space="preserve"> de los estudios que adoptaron el modelo respaldan las predicciones del modelo en varios estudios (</w:t>
      </w:r>
      <w:proofErr w:type="spellStart"/>
      <w:r w:rsidRPr="0051709F">
        <w:rPr>
          <w:rFonts w:asciiTheme="minorHAnsi" w:hAnsiTheme="minorHAnsi" w:cstheme="minorHAnsi"/>
        </w:rPr>
        <w:t>Hagger</w:t>
      </w:r>
      <w:proofErr w:type="spellEnd"/>
      <w:r w:rsidRPr="0051709F">
        <w:rPr>
          <w:rFonts w:asciiTheme="minorHAnsi" w:hAnsiTheme="minorHAnsi" w:cstheme="minorHAnsi"/>
        </w:rPr>
        <w:t xml:space="preserve"> y </w:t>
      </w:r>
      <w:proofErr w:type="spellStart"/>
      <w:r w:rsidRPr="0051709F">
        <w:rPr>
          <w:rFonts w:asciiTheme="minorHAnsi" w:hAnsiTheme="minorHAnsi" w:cstheme="minorHAnsi"/>
        </w:rPr>
        <w:t>Chatzisarantis</w:t>
      </w:r>
      <w:proofErr w:type="spellEnd"/>
      <w:r w:rsidRPr="0051709F">
        <w:rPr>
          <w:rFonts w:asciiTheme="minorHAnsi" w:hAnsiTheme="minorHAnsi" w:cstheme="minorHAnsi"/>
        </w:rPr>
        <w:t xml:space="preserve">, 2016). Además, la investigación ha apoyado los vínculos </w:t>
      </w:r>
      <w:proofErr w:type="spellStart"/>
      <w:r w:rsidRPr="0051709F">
        <w:rPr>
          <w:rFonts w:asciiTheme="minorHAnsi" w:hAnsiTheme="minorHAnsi" w:cstheme="minorHAnsi"/>
        </w:rPr>
        <w:t>transcontextuales</w:t>
      </w:r>
      <w:proofErr w:type="spellEnd"/>
      <w:r w:rsidRPr="0051709F">
        <w:rPr>
          <w:rFonts w:asciiTheme="minorHAnsi" w:hAnsiTheme="minorHAnsi" w:cstheme="minorHAnsi"/>
        </w:rPr>
        <w:t xml:space="preserve"> entre la motivación autónoma en la escuela y la motivación autónoma, las creencias (actitudes, normas subjetivas y control conductual percibido) y las intenciones hacia la participación en actividad física fuera de la escuela y la participación real en actividad física fuera de la escuela.</w:t>
      </w:r>
    </w:p>
    <w:p w14:paraId="11689C9B" w14:textId="77777777" w:rsidR="00BB3E66" w:rsidRPr="0051709F" w:rsidRDefault="00BB3E66" w:rsidP="007B102F">
      <w:pPr>
        <w:pStyle w:val="NormalWeb"/>
        <w:shd w:val="clear" w:color="auto" w:fill="FFFFFF"/>
        <w:spacing w:before="0" w:beforeAutospacing="0" w:after="0" w:afterAutospacing="0"/>
        <w:jc w:val="both"/>
        <w:rPr>
          <w:rFonts w:asciiTheme="minorHAnsi" w:hAnsiTheme="minorHAnsi" w:cstheme="minorHAnsi"/>
        </w:rPr>
      </w:pPr>
    </w:p>
    <w:p w14:paraId="67048AC1" w14:textId="77777777" w:rsidR="007B102F" w:rsidRPr="0051709F" w:rsidRDefault="007B102F" w:rsidP="007B102F">
      <w:pPr>
        <w:shd w:val="clear" w:color="auto" w:fill="FFFFFF"/>
        <w:jc w:val="center"/>
        <w:rPr>
          <w:rFonts w:cstheme="minorHAnsi"/>
          <w:b/>
          <w:bCs/>
        </w:rPr>
      </w:pPr>
    </w:p>
    <w:p w14:paraId="6083FC80" w14:textId="77777777" w:rsidR="007B102F" w:rsidRPr="0051709F" w:rsidRDefault="007B102F" w:rsidP="007B102F">
      <w:pPr>
        <w:shd w:val="clear" w:color="auto" w:fill="FFFFFF"/>
        <w:jc w:val="center"/>
        <w:rPr>
          <w:rFonts w:cstheme="minorHAnsi"/>
          <w:b/>
          <w:bCs/>
        </w:rPr>
      </w:pPr>
    </w:p>
    <w:p w14:paraId="427A953D" w14:textId="77777777"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noProof/>
          <w:lang w:val="en-GB" w:eastAsia="en-GB"/>
        </w:rPr>
        <w:drawing>
          <wp:inline distT="0" distB="0" distL="0" distR="0" wp14:anchorId="67CAA5E8" wp14:editId="4BEB2E53">
            <wp:extent cx="5405582" cy="2584174"/>
            <wp:effectExtent l="0" t="0" r="508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67644" cy="2613843"/>
                    </a:xfrm>
                    <a:prstGeom prst="rect">
                      <a:avLst/>
                    </a:prstGeom>
                    <a:noFill/>
                  </pic:spPr>
                </pic:pic>
              </a:graphicData>
            </a:graphic>
          </wp:inline>
        </w:drawing>
      </w:r>
    </w:p>
    <w:p w14:paraId="6D0CF706" w14:textId="77777777" w:rsidR="00BB3E66" w:rsidRPr="0051709F" w:rsidRDefault="00BB3E66" w:rsidP="00BB3E66">
      <w:pPr>
        <w:shd w:val="clear" w:color="auto" w:fill="FFFFFF"/>
        <w:jc w:val="center"/>
        <w:rPr>
          <w:rFonts w:cstheme="minorHAnsi"/>
          <w:bCs/>
        </w:rPr>
      </w:pPr>
    </w:p>
    <w:p w14:paraId="7577EE3F" w14:textId="5A43F184" w:rsidR="00BB3E66" w:rsidRPr="007B667D" w:rsidRDefault="00BB3E66" w:rsidP="00BB3E66">
      <w:pPr>
        <w:shd w:val="clear" w:color="auto" w:fill="FFFFFF"/>
        <w:jc w:val="center"/>
        <w:rPr>
          <w:rFonts w:cstheme="minorHAnsi"/>
          <w:bCs/>
          <w:i/>
          <w:iCs/>
          <w:sz w:val="22"/>
          <w:szCs w:val="22"/>
        </w:rPr>
      </w:pPr>
      <w:r w:rsidRPr="007B667D">
        <w:rPr>
          <w:rFonts w:cstheme="minorHAnsi"/>
          <w:bCs/>
          <w:i/>
          <w:iCs/>
          <w:sz w:val="22"/>
          <w:szCs w:val="22"/>
        </w:rPr>
        <w:t>Figura 1</w:t>
      </w:r>
      <w:r w:rsidR="0040157F" w:rsidRPr="007B667D">
        <w:rPr>
          <w:rFonts w:cstheme="minorHAnsi"/>
          <w:bCs/>
          <w:i/>
          <w:iCs/>
          <w:sz w:val="22"/>
          <w:szCs w:val="22"/>
        </w:rPr>
        <w:t>2</w:t>
      </w:r>
      <w:r w:rsidRPr="007B667D">
        <w:rPr>
          <w:rFonts w:cstheme="minorHAnsi"/>
          <w:bCs/>
          <w:i/>
          <w:iCs/>
          <w:sz w:val="22"/>
          <w:szCs w:val="22"/>
        </w:rPr>
        <w:t xml:space="preserve">. Modelo </w:t>
      </w:r>
      <w:proofErr w:type="spellStart"/>
      <w:r w:rsidRPr="007B667D">
        <w:rPr>
          <w:rFonts w:cstheme="minorHAnsi"/>
          <w:bCs/>
          <w:i/>
          <w:iCs/>
          <w:sz w:val="22"/>
          <w:szCs w:val="22"/>
        </w:rPr>
        <w:t>transcontextual</w:t>
      </w:r>
      <w:proofErr w:type="spellEnd"/>
      <w:r w:rsidR="00145599" w:rsidRPr="007B667D">
        <w:rPr>
          <w:rFonts w:cstheme="minorHAnsi"/>
          <w:bCs/>
          <w:i/>
          <w:iCs/>
          <w:sz w:val="22"/>
          <w:szCs w:val="22"/>
        </w:rPr>
        <w:t>.</w:t>
      </w:r>
    </w:p>
    <w:p w14:paraId="73BC1DB9" w14:textId="77777777"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p>
    <w:p w14:paraId="78CC8A3E" w14:textId="77777777" w:rsidR="00BB3E66" w:rsidRPr="0051709F" w:rsidRDefault="00BB3E66" w:rsidP="007B102F">
      <w:pPr>
        <w:pStyle w:val="NormalWeb"/>
        <w:shd w:val="clear" w:color="auto" w:fill="FFFFFF"/>
        <w:spacing w:before="0" w:beforeAutospacing="0" w:after="0" w:afterAutospacing="0"/>
        <w:jc w:val="both"/>
        <w:rPr>
          <w:rFonts w:asciiTheme="minorHAnsi" w:hAnsiTheme="minorHAnsi" w:cstheme="minorHAnsi"/>
        </w:rPr>
      </w:pPr>
    </w:p>
    <w:p w14:paraId="12CD36E0" w14:textId="0F88385D" w:rsidR="007B102F" w:rsidRPr="0051709F" w:rsidRDefault="007B102F" w:rsidP="007B102F">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El modelo </w:t>
      </w:r>
      <w:proofErr w:type="spellStart"/>
      <w:r w:rsidRPr="0051709F">
        <w:rPr>
          <w:rFonts w:asciiTheme="minorHAnsi" w:hAnsiTheme="minorHAnsi" w:cstheme="minorHAnsi"/>
        </w:rPr>
        <w:t>transcontextual</w:t>
      </w:r>
      <w:proofErr w:type="spellEnd"/>
      <w:r w:rsidRPr="0051709F">
        <w:rPr>
          <w:rFonts w:asciiTheme="minorHAnsi" w:hAnsiTheme="minorHAnsi" w:cstheme="minorHAnsi"/>
        </w:rPr>
        <w:t xml:space="preserve"> proporciona un marco teórico para desarrollar intervenciones en contextos educativos como la educación física escolar </w:t>
      </w:r>
      <w:r w:rsidR="002D4FFC">
        <w:rPr>
          <w:rFonts w:asciiTheme="minorHAnsi" w:hAnsiTheme="minorHAnsi" w:cstheme="minorHAnsi"/>
        </w:rPr>
        <w:t>que promuevan</w:t>
      </w:r>
      <w:r w:rsidRPr="0051709F">
        <w:rPr>
          <w:rFonts w:asciiTheme="minorHAnsi" w:hAnsiTheme="minorHAnsi" w:cstheme="minorHAnsi"/>
        </w:rPr>
        <w:t xml:space="preserve"> la motivación y la participación real en actividades relacionadas como la actividad física fuera de la escuela. El modelo implica que las estrategias destinadas a fomentar la motivación autónoma promoverán la motivación autónoma hacia la actividad física dentro y fuera de la escuela, y promoverán creencias e intenciones adaptativas hacia la actividad física fuera de la escuela y la participación real en la actividad física. </w:t>
      </w:r>
      <w:r w:rsidR="002D4FFC" w:rsidRPr="0051709F" w:rsidDel="002D4FFC">
        <w:rPr>
          <w:rFonts w:asciiTheme="minorHAnsi" w:hAnsiTheme="minorHAnsi" w:cstheme="minorHAnsi"/>
        </w:rPr>
        <w:t xml:space="preserve"> </w:t>
      </w:r>
      <w:r w:rsidRPr="0051709F">
        <w:rPr>
          <w:rFonts w:asciiTheme="minorHAnsi" w:hAnsiTheme="minorHAnsi" w:cstheme="minorHAnsi"/>
        </w:rPr>
        <w:t xml:space="preserve">El medio más efectivo para apoyar la motivación autónoma en la escuela es que los maestros muestren comportamientos de apoyo a la autonomía durante las lecciones de educación física. De acuerdo con el modelo, se espera que los efectos de las intervenciones dirigidas a promover el apoyo a la autonomía en los estudiantes sobre la actividad física extraescolar estén mediados por la motivación autónoma en ambos contextos, creencias e intenciones. Juntos, estos mediadores </w:t>
      </w:r>
      <w:r w:rsidRPr="0051709F">
        <w:rPr>
          <w:rFonts w:asciiTheme="minorHAnsi" w:hAnsiTheme="minorHAnsi" w:cstheme="minorHAnsi"/>
        </w:rPr>
        <w:lastRenderedPageBreak/>
        <w:t xml:space="preserve">proporcionan una demostración de cómo funciona la intervención en la promoción del comportamiento de actividad física. En otras palabras, proporciona un marco </w:t>
      </w:r>
      <w:r w:rsidRPr="0051709F">
        <w:rPr>
          <w:rFonts w:asciiTheme="minorHAnsi" w:hAnsiTheme="minorHAnsi" w:cstheme="minorHAnsi"/>
          <w:i/>
          <w:iCs/>
        </w:rPr>
        <w:t>sobre cómo</w:t>
      </w:r>
      <w:r w:rsidRPr="0051709F">
        <w:rPr>
          <w:rFonts w:asciiTheme="minorHAnsi" w:hAnsiTheme="minorHAnsi" w:cstheme="minorHAnsi"/>
        </w:rPr>
        <w:t> funciona la intervención.</w:t>
      </w:r>
    </w:p>
    <w:p w14:paraId="65BEDBCE" w14:textId="77777777" w:rsidR="007B102F" w:rsidRPr="0051709F" w:rsidRDefault="007B102F" w:rsidP="007B102F">
      <w:pPr>
        <w:shd w:val="clear" w:color="auto" w:fill="FFFFFF"/>
        <w:jc w:val="both"/>
        <w:rPr>
          <w:rFonts w:eastAsia="Times New Roman" w:cstheme="minorHAnsi"/>
          <w:lang w:eastAsia="es-ES"/>
        </w:rPr>
      </w:pPr>
    </w:p>
    <w:p w14:paraId="66036306" w14:textId="01D062A8"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 xml:space="preserve">Teniendo como el modelo </w:t>
      </w:r>
      <w:r w:rsidR="002D4FFC">
        <w:rPr>
          <w:rFonts w:eastAsia="Times New Roman" w:cstheme="minorHAnsi"/>
          <w:lang w:eastAsia="es-ES"/>
        </w:rPr>
        <w:t>éste último</w:t>
      </w:r>
      <w:r w:rsidR="000F691B">
        <w:rPr>
          <w:rFonts w:eastAsia="Times New Roman" w:cstheme="minorHAnsi"/>
          <w:lang w:eastAsia="es-ES"/>
        </w:rPr>
        <w:t xml:space="preserve"> </w:t>
      </w:r>
      <w:r w:rsidRPr="0051709F">
        <w:rPr>
          <w:rFonts w:eastAsia="Times New Roman" w:cstheme="minorHAnsi"/>
          <w:lang w:eastAsia="es-ES"/>
        </w:rPr>
        <w:t>presentado, para desarrollar una estrategia a nivel educativo para aumentar la adherencia al ejercicio físico en el contexto deportivo y familiar, se pueden considerar las siguientes actuaciones y agentes implicados:</w:t>
      </w:r>
    </w:p>
    <w:p w14:paraId="2AFABA51" w14:textId="77777777" w:rsidR="007B102F" w:rsidRPr="0051709F" w:rsidRDefault="007B102F" w:rsidP="007B102F">
      <w:pPr>
        <w:shd w:val="clear" w:color="auto" w:fill="FFFFFF"/>
        <w:jc w:val="both"/>
        <w:rPr>
          <w:rFonts w:eastAsia="Times New Roman" w:cstheme="minorHAnsi"/>
          <w:lang w:eastAsia="es-ES"/>
        </w:rPr>
      </w:pPr>
    </w:p>
    <w:p w14:paraId="6FCA86CC"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Integración curricular del ejercicio físico.</w:t>
      </w:r>
      <w:r w:rsidRPr="0051709F">
        <w:rPr>
          <w:rFonts w:asciiTheme="minorHAnsi" w:eastAsia="Times New Roman" w:hAnsiTheme="minorHAnsi" w:cstheme="minorHAnsi"/>
          <w:sz w:val="24"/>
          <w:szCs w:val="24"/>
          <w:lang w:val="es-ES" w:eastAsia="es-ES"/>
        </w:rPr>
        <w:t xml:space="preserve"> Incorporar el ejercicio físico como parte integral del currículo escolar, asignando tiempo específico para la actividad física y el deporte en el horario escolar. Esto implica la colaboración de los responsables de la política educativa y los directores de los centros escolares.</w:t>
      </w:r>
    </w:p>
    <w:p w14:paraId="47A223FD" w14:textId="77777777" w:rsidR="007B102F" w:rsidRPr="0051709F" w:rsidRDefault="007B102F" w:rsidP="007B102F">
      <w:pPr>
        <w:shd w:val="clear" w:color="auto" w:fill="FFFFFF"/>
        <w:jc w:val="both"/>
        <w:rPr>
          <w:rFonts w:eastAsia="Times New Roman" w:cstheme="minorHAnsi"/>
          <w:lang w:eastAsia="es-ES"/>
        </w:rPr>
      </w:pPr>
    </w:p>
    <w:p w14:paraId="324B7FB2"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Formación de profesores.</w:t>
      </w:r>
      <w:r w:rsidRPr="0051709F">
        <w:rPr>
          <w:rFonts w:asciiTheme="minorHAnsi" w:eastAsia="Times New Roman" w:hAnsiTheme="minorHAnsi" w:cstheme="minorHAnsi"/>
          <w:sz w:val="24"/>
          <w:szCs w:val="24"/>
          <w:lang w:val="es-ES" w:eastAsia="es-ES"/>
        </w:rPr>
        <w:t xml:space="preserve"> Proporcionar formación y capacitación a los profesores de educación física para que puedan diseñar e implementar programas de ejercicio físico atractivos y efectivos utilizando las estrategias motivacionales de apoyo a la autonomía que han demostrado ser efectivas para generar hábitos deportivos. También se puede promover la formación de otros profesores en temas relacionados con la importancia del ejercicio físico y su integración en diferentes áreas curriculares.</w:t>
      </w:r>
    </w:p>
    <w:p w14:paraId="156EA0E4" w14:textId="77777777" w:rsidR="007B102F" w:rsidRPr="0051709F" w:rsidRDefault="007B102F" w:rsidP="007B102F">
      <w:pPr>
        <w:shd w:val="clear" w:color="auto" w:fill="FFFFFF"/>
        <w:jc w:val="both"/>
        <w:rPr>
          <w:rFonts w:eastAsia="Times New Roman" w:cstheme="minorHAnsi"/>
          <w:lang w:eastAsia="es-ES"/>
        </w:rPr>
      </w:pPr>
    </w:p>
    <w:p w14:paraId="501EFA68"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Infraestructuras deportivas.</w:t>
      </w:r>
      <w:r w:rsidRPr="0051709F">
        <w:rPr>
          <w:rFonts w:asciiTheme="minorHAnsi" w:eastAsia="Times New Roman" w:hAnsiTheme="minorHAnsi" w:cstheme="minorHAnsi"/>
          <w:sz w:val="24"/>
          <w:szCs w:val="24"/>
          <w:lang w:val="es-ES" w:eastAsia="es-ES"/>
        </w:rPr>
        <w:t xml:space="preserve"> Promover la construcción y mejora de instalaciones deportivas en los centros educativos, así como su acceso a la comunidad local fuera del horario escolar. Esto requiere la participación de los responsables de infraestructuras educativas y deportivas.</w:t>
      </w:r>
    </w:p>
    <w:p w14:paraId="4F794EBB" w14:textId="77777777" w:rsidR="007B102F" w:rsidRPr="0051709F" w:rsidRDefault="007B102F" w:rsidP="007B102F">
      <w:pPr>
        <w:shd w:val="clear" w:color="auto" w:fill="FFFFFF"/>
        <w:jc w:val="both"/>
        <w:rPr>
          <w:rFonts w:eastAsia="Times New Roman" w:cstheme="minorHAnsi"/>
          <w:lang w:eastAsia="es-ES"/>
        </w:rPr>
      </w:pPr>
    </w:p>
    <w:p w14:paraId="7BCE4BCC"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Programas extracurriculares.</w:t>
      </w:r>
      <w:r w:rsidRPr="0051709F">
        <w:rPr>
          <w:rFonts w:asciiTheme="minorHAnsi" w:eastAsia="Times New Roman" w:hAnsiTheme="minorHAnsi" w:cstheme="minorHAnsi"/>
          <w:sz w:val="24"/>
          <w:szCs w:val="24"/>
          <w:lang w:val="es-ES" w:eastAsia="es-ES"/>
        </w:rPr>
        <w:t xml:space="preserve"> Fomentar la oferta de actividades físicas y deportivas extracurriculares variadas y atractivas, en colaboración con clubes deportivos locales, asociaciones deportivas y entidades del ámbito deportivo. Se pueden establecer convenios de colaboración para la utilización de sus instalaciones y recursos.</w:t>
      </w:r>
    </w:p>
    <w:p w14:paraId="343ED895" w14:textId="77777777" w:rsidR="007B102F" w:rsidRPr="0051709F" w:rsidRDefault="007B102F" w:rsidP="007B102F">
      <w:pPr>
        <w:shd w:val="clear" w:color="auto" w:fill="FFFFFF"/>
        <w:jc w:val="both"/>
        <w:rPr>
          <w:rFonts w:eastAsia="Times New Roman" w:cstheme="minorHAnsi"/>
          <w:lang w:eastAsia="es-ES"/>
        </w:rPr>
      </w:pPr>
    </w:p>
    <w:p w14:paraId="6A078F30"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Campañas de concienciación.</w:t>
      </w:r>
      <w:r w:rsidRPr="0051709F">
        <w:rPr>
          <w:rFonts w:asciiTheme="minorHAnsi" w:eastAsia="Times New Roman" w:hAnsiTheme="minorHAnsi" w:cstheme="minorHAnsi"/>
          <w:sz w:val="24"/>
          <w:szCs w:val="24"/>
          <w:lang w:val="es-ES" w:eastAsia="es-ES"/>
        </w:rPr>
        <w:t xml:space="preserve"> Llevar a cabo campañas de concienciación dirigidas a estudiantes, padres, madres y familiares sobre la importancia del ejercicio físico y sus beneficios para la salud y el bienestar. Estas campañas pueden ser impulsadas por el Ministerio de Educación, el Ministerio de Sanidad y otras organizaciones relacionadas con la promoción de la salud.</w:t>
      </w:r>
    </w:p>
    <w:p w14:paraId="3F0D1415" w14:textId="77777777" w:rsidR="007B102F" w:rsidRPr="0051709F" w:rsidRDefault="007B102F" w:rsidP="007B102F">
      <w:pPr>
        <w:shd w:val="clear" w:color="auto" w:fill="FFFFFF"/>
        <w:jc w:val="both"/>
        <w:rPr>
          <w:rFonts w:eastAsia="Times New Roman" w:cstheme="minorHAnsi"/>
          <w:lang w:eastAsia="es-ES"/>
        </w:rPr>
      </w:pPr>
    </w:p>
    <w:p w14:paraId="73C835D4" w14:textId="77E70C44"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Participación de la familia.</w:t>
      </w:r>
      <w:r w:rsidRPr="0051709F">
        <w:rPr>
          <w:rFonts w:asciiTheme="minorHAnsi" w:eastAsia="Times New Roman" w:hAnsiTheme="minorHAnsi" w:cstheme="minorHAnsi"/>
          <w:sz w:val="24"/>
          <w:szCs w:val="24"/>
          <w:lang w:val="es-ES" w:eastAsia="es-ES"/>
        </w:rPr>
        <w:t xml:space="preserve"> Fomentar la </w:t>
      </w:r>
      <w:proofErr w:type="gramStart"/>
      <w:r w:rsidRPr="0051709F">
        <w:rPr>
          <w:rFonts w:asciiTheme="minorHAnsi" w:eastAsia="Times New Roman" w:hAnsiTheme="minorHAnsi" w:cstheme="minorHAnsi"/>
          <w:sz w:val="24"/>
          <w:szCs w:val="24"/>
          <w:lang w:val="es-ES" w:eastAsia="es-ES"/>
        </w:rPr>
        <w:t>participación activa</w:t>
      </w:r>
      <w:proofErr w:type="gramEnd"/>
      <w:r w:rsidRPr="0051709F">
        <w:rPr>
          <w:rFonts w:asciiTheme="minorHAnsi" w:eastAsia="Times New Roman" w:hAnsiTheme="minorHAnsi" w:cstheme="minorHAnsi"/>
          <w:sz w:val="24"/>
          <w:szCs w:val="24"/>
          <w:lang w:val="es-ES" w:eastAsia="es-ES"/>
        </w:rPr>
        <w:t xml:space="preserve"> de las familias en la promoción del ejercicio físico a través de actividades conjuntas, como jornadas deportivas familiares, charlas informativas y talleres sobre estilos de vida saludables. También se pueden promover guías y recursos para que las familias apoyen la práctica regular de ejercicio físico en el hogar.</w:t>
      </w:r>
    </w:p>
    <w:p w14:paraId="62C5FBCD" w14:textId="77777777" w:rsidR="007B102F" w:rsidRPr="0051709F" w:rsidRDefault="007B102F" w:rsidP="007B102F">
      <w:pPr>
        <w:shd w:val="clear" w:color="auto" w:fill="FFFFFF"/>
        <w:jc w:val="both"/>
        <w:rPr>
          <w:rFonts w:eastAsia="Times New Roman" w:cstheme="minorHAnsi"/>
          <w:lang w:eastAsia="es-ES"/>
        </w:rPr>
      </w:pPr>
    </w:p>
    <w:p w14:paraId="6059D5FE" w14:textId="77777777" w:rsidR="007B102F" w:rsidRPr="0051709F" w:rsidRDefault="007B102F" w:rsidP="00D14ACA">
      <w:pPr>
        <w:pStyle w:val="Prrafodelista"/>
        <w:numPr>
          <w:ilvl w:val="0"/>
          <w:numId w:val="57"/>
        </w:numPr>
        <w:shd w:val="clear" w:color="auto" w:fill="FFFFFF"/>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Colaboración intersectorial.</w:t>
      </w:r>
      <w:r w:rsidRPr="0051709F">
        <w:rPr>
          <w:rFonts w:asciiTheme="minorHAnsi" w:eastAsia="Times New Roman" w:hAnsiTheme="minorHAnsi" w:cstheme="minorHAnsi"/>
          <w:sz w:val="24"/>
          <w:szCs w:val="24"/>
          <w:lang w:val="es-ES" w:eastAsia="es-ES"/>
        </w:rPr>
        <w:t xml:space="preserve"> Establecer alianzas y colaboraciones entre el sector educativo, el sector deportivo, el sector sanitario y otras entidades relevantes para desarrollar estrategias integrales de promoción del ejercicio físico. Esto </w:t>
      </w:r>
      <w:r w:rsidRPr="0051709F">
        <w:rPr>
          <w:rFonts w:asciiTheme="minorHAnsi" w:eastAsia="Times New Roman" w:hAnsiTheme="minorHAnsi" w:cstheme="minorHAnsi"/>
          <w:sz w:val="24"/>
          <w:szCs w:val="24"/>
          <w:lang w:val="es-ES" w:eastAsia="es-ES"/>
        </w:rPr>
        <w:lastRenderedPageBreak/>
        <w:t>implica la coordinación entre los diferentes agentes y la planificación conjunta de actividades y programas.</w:t>
      </w:r>
    </w:p>
    <w:p w14:paraId="7173480A" w14:textId="77777777" w:rsidR="007B102F" w:rsidRPr="0051709F" w:rsidRDefault="007B102F" w:rsidP="007B102F">
      <w:pPr>
        <w:shd w:val="clear" w:color="auto" w:fill="FFFFFF"/>
        <w:jc w:val="both"/>
        <w:rPr>
          <w:rFonts w:eastAsia="Times New Roman" w:cstheme="minorHAnsi"/>
          <w:lang w:eastAsia="es-ES"/>
        </w:rPr>
      </w:pPr>
    </w:p>
    <w:p w14:paraId="7A2AFA33" w14:textId="40470A56" w:rsidR="007B102F" w:rsidRPr="0051709F" w:rsidRDefault="007B102F" w:rsidP="007B102F">
      <w:pPr>
        <w:shd w:val="clear" w:color="auto" w:fill="FFFFFF"/>
        <w:jc w:val="both"/>
        <w:rPr>
          <w:rFonts w:eastAsia="Times New Roman" w:cstheme="minorHAnsi"/>
          <w:lang w:eastAsia="es-ES"/>
        </w:rPr>
      </w:pPr>
      <w:r w:rsidRPr="0051709F">
        <w:rPr>
          <w:rFonts w:eastAsia="Times New Roman" w:cstheme="minorHAnsi"/>
          <w:lang w:eastAsia="es-ES"/>
        </w:rPr>
        <w:t>En resumen, una estrategia a nivel educativo en España para aumentar la adherencia al ejercicio físico requiere la participación de agentes clave como los responsables de la política educativa, directores de centros escolares, profesores, padres y madres, entidades deportivas, organismos de salud y otros actores relevantes en la promoción del ejercicio físico y la salud. La colaboración intersectorial y la integración del ejercicio físico en el currículo escolar son elementos fundamentales para lograr resultados efectivos.</w:t>
      </w:r>
    </w:p>
    <w:p w14:paraId="3B9894CB" w14:textId="77777777" w:rsidR="00BB3E66" w:rsidRPr="0051709F" w:rsidRDefault="00BB3E66" w:rsidP="007B102F">
      <w:pPr>
        <w:shd w:val="clear" w:color="auto" w:fill="FFFFFF"/>
        <w:jc w:val="both"/>
        <w:rPr>
          <w:rFonts w:eastAsia="Times New Roman" w:cstheme="minorHAnsi"/>
          <w:lang w:eastAsia="es-ES"/>
        </w:rPr>
      </w:pPr>
    </w:p>
    <w:p w14:paraId="5DCD62CC" w14:textId="065B745F" w:rsidR="007B102F" w:rsidRPr="0051709F" w:rsidRDefault="007B102F" w:rsidP="00D623A5">
      <w:pPr>
        <w:pStyle w:val="Ttulo2"/>
        <w:numPr>
          <w:ilvl w:val="0"/>
          <w:numId w:val="0"/>
        </w:numPr>
        <w:jc w:val="both"/>
        <w:rPr>
          <w:rFonts w:asciiTheme="minorHAnsi" w:hAnsiTheme="minorHAnsi" w:cstheme="minorHAnsi"/>
          <w:sz w:val="24"/>
          <w:szCs w:val="24"/>
          <w:lang w:val="es-ES"/>
        </w:rPr>
      </w:pPr>
      <w:proofErr w:type="gramStart"/>
      <w:r w:rsidRPr="0051709F">
        <w:rPr>
          <w:rFonts w:asciiTheme="minorHAnsi" w:hAnsiTheme="minorHAnsi" w:cstheme="minorHAnsi"/>
          <w:sz w:val="24"/>
          <w:szCs w:val="24"/>
          <w:lang w:val="es-ES"/>
        </w:rPr>
        <w:t>Indicadores a integrar</w:t>
      </w:r>
      <w:proofErr w:type="gramEnd"/>
      <w:r w:rsidRPr="0051709F">
        <w:rPr>
          <w:rFonts w:asciiTheme="minorHAnsi" w:hAnsiTheme="minorHAnsi" w:cstheme="minorHAnsi"/>
          <w:sz w:val="24"/>
          <w:szCs w:val="24"/>
          <w:lang w:val="es-ES"/>
        </w:rPr>
        <w:t xml:space="preserve"> en la implementación para la monitorización y evaluación del impacto</w:t>
      </w:r>
    </w:p>
    <w:p w14:paraId="2B541815" w14:textId="77777777" w:rsidR="007B102F" w:rsidRPr="0051709F" w:rsidRDefault="007B102F" w:rsidP="007B102F">
      <w:pPr>
        <w:shd w:val="clear" w:color="auto" w:fill="FFFFFF" w:themeFill="background1"/>
        <w:jc w:val="both"/>
        <w:rPr>
          <w:rFonts w:eastAsia="Times New Roman" w:cstheme="minorHAnsi"/>
          <w:b/>
          <w:bCs/>
          <w:lang w:eastAsia="es-ES"/>
        </w:rPr>
      </w:pPr>
    </w:p>
    <w:p w14:paraId="542CADA7" w14:textId="77777777" w:rsidR="007B102F" w:rsidRPr="0051709F" w:rsidRDefault="007B102F" w:rsidP="007B102F">
      <w:pPr>
        <w:shd w:val="clear" w:color="auto" w:fill="FFFFFF" w:themeFill="background1"/>
        <w:jc w:val="both"/>
        <w:rPr>
          <w:rFonts w:eastAsia="Times New Roman" w:cstheme="minorHAnsi"/>
          <w:lang w:eastAsia="es-ES"/>
        </w:rPr>
      </w:pPr>
      <w:r w:rsidRPr="0051709F">
        <w:rPr>
          <w:rFonts w:eastAsia="Times New Roman" w:cstheme="minorHAnsi"/>
          <w:lang w:eastAsia="es-ES"/>
        </w:rPr>
        <w:t>Aunque tradicionalmente la mayoría de las intervenciones son desarrolladas y evaluadas por investigadores en condiciones relativamente controladas, la implementación exitosa y la ampliación dependen de cómo los líderes escolares, los maestros y otras partes interesadas perciban la intervención. Por lo tanto, es aconsejable abordar desde el principio los requisitos para una intervención exitosa de actividad física desde la perspectiva de los científicos y de las partes interesadas. Sería necesario obtener información sobre qué capacitación, herramientas y recursos podrían ayudar a los profesionales en la generación de un entorno de apoyo y oportunidades para la actividad física. Para realizar la monitorización y evaluación del impacto del ejercicio físico a nivel educativo, es importante integrar una serie de indicadores que permitan medir y analizar los resultados. A continuación, se presentan algunos indicadores clave que se pueden considerar en este contexto:</w:t>
      </w:r>
    </w:p>
    <w:p w14:paraId="510EB935" w14:textId="77777777" w:rsidR="007B102F" w:rsidRPr="0051709F" w:rsidRDefault="007B102F" w:rsidP="007B102F">
      <w:pPr>
        <w:shd w:val="clear" w:color="auto" w:fill="FFFFFF" w:themeFill="background1"/>
        <w:jc w:val="both"/>
        <w:rPr>
          <w:rFonts w:eastAsia="Times New Roman" w:cstheme="minorHAnsi"/>
          <w:lang w:eastAsia="es-ES"/>
        </w:rPr>
      </w:pPr>
    </w:p>
    <w:p w14:paraId="3CE4026B"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Participación en actividades físicas.</w:t>
      </w:r>
      <w:r w:rsidRPr="0051709F">
        <w:rPr>
          <w:rFonts w:asciiTheme="minorHAnsi" w:eastAsia="Times New Roman" w:hAnsiTheme="minorHAnsi" w:cstheme="minorHAnsi"/>
          <w:sz w:val="24"/>
          <w:szCs w:val="24"/>
          <w:lang w:val="es-ES" w:eastAsia="es-ES"/>
        </w:rPr>
        <w:t xml:space="preserve"> Registrar el número de estudiantes que participan en actividades físicas y deportivas dentro y fuera del horario escolar. Es importante en este registro, que a través de algún indicador se compruebe como se reducen las barreras (reales y percibidas) para ser físicamente activo (cómo se influye en las actitudes, intenciones, confianza y motivación para ser físicamente activo). Esto puede incluir la asistencia a clases de educación física, la participación en equipos deportivos escolares, la asistencia a eventos deportivos y la participación en programas extracurriculares relacionados con el ejercicio físico.</w:t>
      </w:r>
    </w:p>
    <w:p w14:paraId="123D8662" w14:textId="77777777" w:rsidR="007B102F" w:rsidRPr="0051709F" w:rsidRDefault="007B102F" w:rsidP="007B102F">
      <w:pPr>
        <w:shd w:val="clear" w:color="auto" w:fill="FFFFFF" w:themeFill="background1"/>
        <w:jc w:val="both"/>
        <w:rPr>
          <w:rFonts w:eastAsia="Times New Roman" w:cstheme="minorHAnsi"/>
          <w:lang w:eastAsia="es-ES"/>
        </w:rPr>
      </w:pPr>
    </w:p>
    <w:p w14:paraId="5D592A54"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Nivel de actividad física.</w:t>
      </w:r>
      <w:r w:rsidRPr="0051709F">
        <w:rPr>
          <w:rFonts w:asciiTheme="minorHAnsi" w:eastAsia="Times New Roman" w:hAnsiTheme="minorHAnsi" w:cstheme="minorHAnsi"/>
          <w:sz w:val="24"/>
          <w:szCs w:val="24"/>
          <w:lang w:val="es-ES" w:eastAsia="es-ES"/>
        </w:rPr>
        <w:t xml:space="preserve"> Medir el nivel de actividad física de los estudiantes mediante la utilización de cuestionarios o dispositivos de seguimiento, como acelerómetros, podómetros o monitores de actividad. Esto permite obtener datos sobre la cantidad de tiempo dedicado a la actividad física, la intensidad de </w:t>
      </w:r>
      <w:proofErr w:type="gramStart"/>
      <w:r w:rsidRPr="0051709F">
        <w:rPr>
          <w:rFonts w:asciiTheme="minorHAnsi" w:eastAsia="Times New Roman" w:hAnsiTheme="minorHAnsi" w:cstheme="minorHAnsi"/>
          <w:sz w:val="24"/>
          <w:szCs w:val="24"/>
          <w:lang w:val="es-ES" w:eastAsia="es-ES"/>
        </w:rPr>
        <w:t>la misma</w:t>
      </w:r>
      <w:proofErr w:type="gramEnd"/>
      <w:r w:rsidRPr="0051709F">
        <w:rPr>
          <w:rFonts w:asciiTheme="minorHAnsi" w:eastAsia="Times New Roman" w:hAnsiTheme="minorHAnsi" w:cstheme="minorHAnsi"/>
          <w:sz w:val="24"/>
          <w:szCs w:val="24"/>
          <w:lang w:val="es-ES" w:eastAsia="es-ES"/>
        </w:rPr>
        <w:t xml:space="preserve"> y los comportamientos sedentarios.</w:t>
      </w:r>
    </w:p>
    <w:p w14:paraId="40B9B25B" w14:textId="77777777" w:rsidR="007B102F" w:rsidRPr="0051709F" w:rsidRDefault="007B102F" w:rsidP="007B102F">
      <w:pPr>
        <w:shd w:val="clear" w:color="auto" w:fill="FFFFFF" w:themeFill="background1"/>
        <w:jc w:val="both"/>
        <w:rPr>
          <w:rFonts w:eastAsia="Times New Roman" w:cstheme="minorHAnsi"/>
          <w:lang w:eastAsia="es-ES"/>
        </w:rPr>
      </w:pPr>
    </w:p>
    <w:p w14:paraId="2EFC1EBB"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Mejora de la condición física.</w:t>
      </w:r>
      <w:r w:rsidRPr="0051709F">
        <w:rPr>
          <w:rFonts w:asciiTheme="minorHAnsi" w:eastAsia="Times New Roman" w:hAnsiTheme="minorHAnsi" w:cstheme="minorHAnsi"/>
          <w:sz w:val="24"/>
          <w:szCs w:val="24"/>
          <w:lang w:val="es-ES" w:eastAsia="es-ES"/>
        </w:rPr>
        <w:t xml:space="preserve"> Evaluar los cambios en la condición física de los estudiantes a lo largo del tiempo. Esto puede incluir pruebas de resistencia cardiovascular, fuerza muscular, flexibilidad y composición corporal. Se pueden </w:t>
      </w:r>
      <w:r w:rsidRPr="0051709F">
        <w:rPr>
          <w:rFonts w:asciiTheme="minorHAnsi" w:eastAsia="Times New Roman" w:hAnsiTheme="minorHAnsi" w:cstheme="minorHAnsi"/>
          <w:sz w:val="24"/>
          <w:szCs w:val="24"/>
          <w:lang w:val="es-ES" w:eastAsia="es-ES"/>
        </w:rPr>
        <w:lastRenderedPageBreak/>
        <w:t>utilizar pruebas estandarizadas o adaptadas a las características de la población estudiantil.</w:t>
      </w:r>
    </w:p>
    <w:p w14:paraId="1933C553" w14:textId="77777777" w:rsidR="007B102F" w:rsidRPr="0051709F" w:rsidRDefault="007B102F" w:rsidP="007B102F">
      <w:pPr>
        <w:shd w:val="clear" w:color="auto" w:fill="FFFFFF" w:themeFill="background1"/>
        <w:jc w:val="both"/>
        <w:rPr>
          <w:rFonts w:eastAsia="Times New Roman" w:cstheme="minorHAnsi"/>
          <w:lang w:eastAsia="es-ES"/>
        </w:rPr>
      </w:pPr>
    </w:p>
    <w:p w14:paraId="7225CF60"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 xml:space="preserve">Salud y bienestar. </w:t>
      </w:r>
      <w:r w:rsidRPr="0051709F">
        <w:rPr>
          <w:rFonts w:asciiTheme="minorHAnsi" w:eastAsia="Times New Roman" w:hAnsiTheme="minorHAnsi" w:cstheme="minorHAnsi"/>
          <w:sz w:val="24"/>
          <w:szCs w:val="24"/>
          <w:lang w:val="es-ES" w:eastAsia="es-ES"/>
        </w:rPr>
        <w:t>Recopilar datos sobre el estado de salud y bienestar de los estudiantes, incluyendo aspectos como la autoevaluación de la salud, la calidad del sueño, el estrés percibido y los hábitos alimentarios. También comprobar cómo se da el aumento de la conciencia y el conocimiento de las pautas de actividad física para cómo lograr las pautas de actividad física adaptadas a las circunstancias de cada subgrupo (personas con discapacidad) o influencias culturales (grupos étnicos). Estos indicadores proporcionan información relevante sobre los efectos del ejercicio físico en la salud general de los estudiantes.</w:t>
      </w:r>
    </w:p>
    <w:p w14:paraId="2F9187FE" w14:textId="77777777" w:rsidR="007B102F" w:rsidRPr="0051709F" w:rsidRDefault="007B102F" w:rsidP="007B102F">
      <w:pPr>
        <w:shd w:val="clear" w:color="auto" w:fill="FFFFFF" w:themeFill="background1"/>
        <w:jc w:val="both"/>
        <w:rPr>
          <w:rFonts w:eastAsia="Times New Roman" w:cstheme="minorHAnsi"/>
          <w:lang w:eastAsia="es-ES"/>
        </w:rPr>
      </w:pPr>
    </w:p>
    <w:p w14:paraId="7D1AE752"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Rendimiento académico.</w:t>
      </w:r>
      <w:r w:rsidRPr="0051709F">
        <w:rPr>
          <w:rFonts w:asciiTheme="minorHAnsi" w:eastAsia="Times New Roman" w:hAnsiTheme="minorHAnsi" w:cstheme="minorHAnsi"/>
          <w:sz w:val="24"/>
          <w:szCs w:val="24"/>
          <w:lang w:val="es-ES" w:eastAsia="es-ES"/>
        </w:rPr>
        <w:t xml:space="preserve"> Analizar el impacto del ejercicio físico en el rendimiento académico de los estudiantes, utilizando indicadores como las calificaciones, los resultados de exámenes estandarizados o las tasas de promoción escolar. Se pueden comparar los resultados de aquellos estudiantes que participan regularmente en actividades físicas con aquellos que no lo hacen.</w:t>
      </w:r>
    </w:p>
    <w:p w14:paraId="0C294302" w14:textId="77777777" w:rsidR="007B102F" w:rsidRPr="0051709F" w:rsidRDefault="007B102F" w:rsidP="007B102F">
      <w:pPr>
        <w:shd w:val="clear" w:color="auto" w:fill="FFFFFF" w:themeFill="background1"/>
        <w:jc w:val="both"/>
        <w:rPr>
          <w:rFonts w:eastAsia="Times New Roman" w:cstheme="minorHAnsi"/>
          <w:lang w:eastAsia="es-ES"/>
        </w:rPr>
      </w:pPr>
    </w:p>
    <w:p w14:paraId="25FC4DEA"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Cambios en los comportamientos sedentarios.</w:t>
      </w:r>
      <w:r w:rsidRPr="0051709F">
        <w:rPr>
          <w:rFonts w:asciiTheme="minorHAnsi" w:eastAsia="Times New Roman" w:hAnsiTheme="minorHAnsi" w:cstheme="minorHAnsi"/>
          <w:sz w:val="24"/>
          <w:szCs w:val="24"/>
          <w:lang w:val="es-ES" w:eastAsia="es-ES"/>
        </w:rPr>
        <w:t xml:space="preserve"> Evaluar los cambios en los comportamientos sedentarios, como el tiempo dedicado a actividades sedentarias (ver televisión, usar dispositivos electrónicos) y el tiempo dedicado a actividades activas. Se pueden utilizar cuestionarios de </w:t>
      </w:r>
      <w:proofErr w:type="spellStart"/>
      <w:r w:rsidRPr="0051709F">
        <w:rPr>
          <w:rFonts w:asciiTheme="minorHAnsi" w:eastAsia="Times New Roman" w:hAnsiTheme="minorHAnsi" w:cstheme="minorHAnsi"/>
          <w:sz w:val="24"/>
          <w:szCs w:val="24"/>
          <w:lang w:val="es-ES" w:eastAsia="es-ES"/>
        </w:rPr>
        <w:t>autoreporte</w:t>
      </w:r>
      <w:proofErr w:type="spellEnd"/>
      <w:r w:rsidRPr="0051709F">
        <w:rPr>
          <w:rFonts w:asciiTheme="minorHAnsi" w:eastAsia="Times New Roman" w:hAnsiTheme="minorHAnsi" w:cstheme="minorHAnsi"/>
          <w:sz w:val="24"/>
          <w:szCs w:val="24"/>
          <w:lang w:val="es-ES" w:eastAsia="es-ES"/>
        </w:rPr>
        <w:t xml:space="preserve"> o registros de uso de dispositivos electrónicos para recopilar estos datos.</w:t>
      </w:r>
    </w:p>
    <w:p w14:paraId="5B45C799" w14:textId="77777777" w:rsidR="007B102F" w:rsidRPr="0051709F" w:rsidRDefault="007B102F" w:rsidP="007B102F">
      <w:pPr>
        <w:shd w:val="clear" w:color="auto" w:fill="FFFFFF" w:themeFill="background1"/>
        <w:jc w:val="both"/>
        <w:rPr>
          <w:rFonts w:eastAsia="Times New Roman" w:cstheme="minorHAnsi"/>
          <w:lang w:eastAsia="es-ES"/>
        </w:rPr>
      </w:pPr>
    </w:p>
    <w:p w14:paraId="1F071E43" w14:textId="77777777" w:rsidR="007B102F" w:rsidRPr="0051709F" w:rsidRDefault="007B102F" w:rsidP="00D14ACA">
      <w:pPr>
        <w:pStyle w:val="Prrafodelista"/>
        <w:numPr>
          <w:ilvl w:val="0"/>
          <w:numId w:val="58"/>
        </w:numPr>
        <w:shd w:val="clear" w:color="auto" w:fill="FFFFFF" w:themeFill="background1"/>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i/>
          <w:iCs/>
          <w:sz w:val="24"/>
          <w:szCs w:val="24"/>
          <w:lang w:val="es-ES" w:eastAsia="es-ES"/>
        </w:rPr>
        <w:t>Satisfacción y percepción de los estudiantes</w:t>
      </w:r>
      <w:r w:rsidRPr="0051709F">
        <w:rPr>
          <w:rFonts w:asciiTheme="minorHAnsi" w:eastAsia="Times New Roman" w:hAnsiTheme="minorHAnsi" w:cstheme="minorHAnsi"/>
          <w:sz w:val="24"/>
          <w:szCs w:val="24"/>
          <w:lang w:val="es-ES" w:eastAsia="es-ES"/>
        </w:rPr>
        <w:t>. Obtener información sobre la satisfacción de los estudiantes con las actividades físicas y deportivas ofrecidas, así como su percepción sobre los beneficios del ejercicio físico en su vida diaria. Se pueden utilizar encuestas o entrevistas para recopilar estas opiniones.</w:t>
      </w:r>
    </w:p>
    <w:p w14:paraId="6F20B678" w14:textId="77777777" w:rsidR="007B102F" w:rsidRPr="0051709F" w:rsidRDefault="007B102F" w:rsidP="007B102F">
      <w:pPr>
        <w:shd w:val="clear" w:color="auto" w:fill="FFFFFF" w:themeFill="background1"/>
        <w:jc w:val="both"/>
        <w:rPr>
          <w:rFonts w:eastAsia="Times New Roman" w:cstheme="minorHAnsi"/>
          <w:lang w:eastAsia="es-ES"/>
        </w:rPr>
      </w:pPr>
    </w:p>
    <w:p w14:paraId="55051A65" w14:textId="77777777" w:rsidR="007B102F" w:rsidRPr="0051709F" w:rsidRDefault="007B102F" w:rsidP="007B102F">
      <w:pPr>
        <w:shd w:val="clear" w:color="auto" w:fill="FFFFFF" w:themeFill="background1"/>
        <w:jc w:val="both"/>
        <w:rPr>
          <w:rFonts w:eastAsia="Times New Roman" w:cstheme="minorHAnsi"/>
          <w:lang w:eastAsia="es-ES"/>
        </w:rPr>
      </w:pPr>
      <w:r w:rsidRPr="0051709F">
        <w:rPr>
          <w:rFonts w:eastAsia="Times New Roman" w:cstheme="minorHAnsi"/>
          <w:lang w:eastAsia="es-ES"/>
        </w:rPr>
        <w:t xml:space="preserve">Es importante adaptar los indicadores a las características y objetivos específicos de cada programa o intervención. Además, es recomendable establecer líneas de base al comienzo de la implementación para poder realizar comparaciones y evaluar el impacto a lo largo del tiempo. </w:t>
      </w:r>
    </w:p>
    <w:p w14:paraId="3FD277D2" w14:textId="77777777" w:rsidR="007B102F" w:rsidRPr="0051709F" w:rsidRDefault="007B102F" w:rsidP="007B102F">
      <w:pPr>
        <w:rPr>
          <w:rFonts w:eastAsia="Times New Roman" w:cstheme="minorHAnsi"/>
          <w:lang w:eastAsia="es-ES"/>
        </w:rPr>
      </w:pPr>
    </w:p>
    <w:p w14:paraId="27013552" w14:textId="77777777" w:rsidR="002748F4" w:rsidRDefault="002748F4" w:rsidP="00DF3DF5">
      <w:pPr>
        <w:pStyle w:val="Ttulo1"/>
        <w:rPr>
          <w:rFonts w:asciiTheme="minorHAnsi" w:hAnsiTheme="minorHAnsi" w:cstheme="minorHAnsi"/>
          <w:sz w:val="24"/>
          <w:szCs w:val="24"/>
        </w:rPr>
      </w:pPr>
    </w:p>
    <w:p w14:paraId="6223460C" w14:textId="77777777" w:rsidR="002748F4" w:rsidRDefault="002748F4" w:rsidP="00DF3DF5">
      <w:pPr>
        <w:pStyle w:val="Ttulo1"/>
        <w:rPr>
          <w:rFonts w:asciiTheme="minorHAnsi" w:hAnsiTheme="minorHAnsi" w:cstheme="minorHAnsi"/>
          <w:sz w:val="24"/>
          <w:szCs w:val="24"/>
        </w:rPr>
      </w:pPr>
    </w:p>
    <w:p w14:paraId="6E7639AE" w14:textId="77777777" w:rsidR="002748F4" w:rsidRDefault="002748F4" w:rsidP="002748F4"/>
    <w:p w14:paraId="4C847939" w14:textId="77777777" w:rsidR="002748F4" w:rsidRDefault="002748F4" w:rsidP="002748F4"/>
    <w:p w14:paraId="486D3224" w14:textId="77777777" w:rsidR="002748F4" w:rsidRDefault="002748F4" w:rsidP="002748F4"/>
    <w:p w14:paraId="70D8A376" w14:textId="77777777" w:rsidR="002748F4" w:rsidRDefault="002748F4" w:rsidP="002748F4"/>
    <w:p w14:paraId="28F1C5A2" w14:textId="77777777" w:rsidR="002748F4" w:rsidRDefault="002748F4" w:rsidP="002748F4"/>
    <w:p w14:paraId="15F6EF86" w14:textId="77777777" w:rsidR="002748F4" w:rsidRDefault="002748F4" w:rsidP="002748F4"/>
    <w:p w14:paraId="33E5E959" w14:textId="77777777" w:rsidR="002748F4" w:rsidRDefault="002748F4" w:rsidP="002748F4"/>
    <w:p w14:paraId="294B75A7" w14:textId="77777777" w:rsidR="002748F4" w:rsidRDefault="002748F4" w:rsidP="002748F4"/>
    <w:p w14:paraId="7EB22439" w14:textId="77777777" w:rsidR="002748F4" w:rsidRDefault="002748F4" w:rsidP="002748F4"/>
    <w:p w14:paraId="7BB267D7" w14:textId="77777777" w:rsidR="002748F4" w:rsidRDefault="002748F4" w:rsidP="002748F4"/>
    <w:p w14:paraId="5B7BA77B" w14:textId="77777777" w:rsidR="002748F4" w:rsidRDefault="002748F4" w:rsidP="002748F4"/>
    <w:p w14:paraId="54B12945" w14:textId="77777777" w:rsidR="002748F4" w:rsidRDefault="002748F4" w:rsidP="002748F4"/>
    <w:p w14:paraId="453415CA" w14:textId="77777777" w:rsidR="002748F4" w:rsidRDefault="002748F4" w:rsidP="002748F4"/>
    <w:p w14:paraId="54DEBAF5" w14:textId="77777777" w:rsidR="002748F4" w:rsidRDefault="002748F4" w:rsidP="002748F4"/>
    <w:p w14:paraId="2EA6D6D1" w14:textId="77777777" w:rsidR="002748F4" w:rsidRDefault="002748F4" w:rsidP="002748F4"/>
    <w:p w14:paraId="7CCAF5F2" w14:textId="77777777" w:rsidR="002748F4" w:rsidRDefault="002748F4" w:rsidP="002748F4"/>
    <w:p w14:paraId="6A1C1A0A" w14:textId="77777777" w:rsidR="00B90BC1" w:rsidRDefault="00B90BC1" w:rsidP="002748F4"/>
    <w:p w14:paraId="0B59B2BF" w14:textId="77777777" w:rsidR="00B90BC1" w:rsidRDefault="00B90BC1" w:rsidP="002748F4"/>
    <w:p w14:paraId="0AC08122" w14:textId="77777777" w:rsidR="00B90BC1" w:rsidRDefault="00B90BC1" w:rsidP="002748F4"/>
    <w:p w14:paraId="65CB4BCE" w14:textId="77777777" w:rsidR="00B90BC1" w:rsidRDefault="00B90BC1" w:rsidP="002748F4"/>
    <w:p w14:paraId="7115E558" w14:textId="77777777" w:rsidR="00B90BC1" w:rsidRDefault="00B90BC1" w:rsidP="002748F4"/>
    <w:p w14:paraId="218C19B0" w14:textId="77777777" w:rsidR="00B90BC1" w:rsidRDefault="00B90BC1" w:rsidP="002748F4"/>
    <w:p w14:paraId="346F5B55" w14:textId="77777777" w:rsidR="00B90BC1" w:rsidRDefault="00B90BC1" w:rsidP="002748F4"/>
    <w:p w14:paraId="04A0692D" w14:textId="77777777" w:rsidR="00B90BC1" w:rsidRDefault="00B90BC1" w:rsidP="002748F4"/>
    <w:p w14:paraId="3C4B9960" w14:textId="77777777" w:rsidR="00B90BC1" w:rsidRDefault="00B90BC1" w:rsidP="002748F4"/>
    <w:p w14:paraId="4AE3C692" w14:textId="77777777" w:rsidR="00B90BC1" w:rsidRDefault="00B90BC1" w:rsidP="002748F4"/>
    <w:p w14:paraId="4D0DE130" w14:textId="77777777" w:rsidR="00B90BC1" w:rsidRDefault="00B90BC1" w:rsidP="002748F4"/>
    <w:p w14:paraId="098E1743" w14:textId="77777777" w:rsidR="00B90BC1" w:rsidRDefault="00B90BC1" w:rsidP="002748F4"/>
    <w:p w14:paraId="6210A6B8" w14:textId="77777777" w:rsidR="00B90BC1" w:rsidRDefault="00B90BC1" w:rsidP="002748F4"/>
    <w:p w14:paraId="1DCC0E3F" w14:textId="77777777" w:rsidR="00B90BC1" w:rsidRDefault="00B90BC1" w:rsidP="002748F4"/>
    <w:p w14:paraId="3C12F08A" w14:textId="77777777" w:rsidR="00B90BC1" w:rsidRDefault="00B90BC1" w:rsidP="002748F4"/>
    <w:p w14:paraId="26619E2A" w14:textId="77777777" w:rsidR="00B90BC1" w:rsidRDefault="00B90BC1" w:rsidP="002748F4"/>
    <w:p w14:paraId="17EC1A7C" w14:textId="77777777" w:rsidR="00B90BC1" w:rsidRDefault="00B90BC1" w:rsidP="002748F4"/>
    <w:p w14:paraId="19DFBFE9" w14:textId="77777777" w:rsidR="00B90BC1" w:rsidRDefault="00B90BC1" w:rsidP="002748F4"/>
    <w:p w14:paraId="1272C68B" w14:textId="77777777" w:rsidR="00B90BC1" w:rsidRDefault="00B90BC1" w:rsidP="002748F4"/>
    <w:p w14:paraId="64567060" w14:textId="77777777" w:rsidR="00B90BC1" w:rsidRDefault="00B90BC1" w:rsidP="002748F4"/>
    <w:p w14:paraId="5DEDD9D7" w14:textId="77777777" w:rsidR="00B90BC1" w:rsidRDefault="00B90BC1" w:rsidP="002748F4"/>
    <w:p w14:paraId="6D270B45" w14:textId="77777777" w:rsidR="00B90BC1" w:rsidRDefault="00B90BC1" w:rsidP="002748F4"/>
    <w:p w14:paraId="2411B486" w14:textId="77777777" w:rsidR="00B90BC1" w:rsidRDefault="00B90BC1" w:rsidP="002748F4"/>
    <w:p w14:paraId="06A90759" w14:textId="77777777" w:rsidR="00B90BC1" w:rsidRDefault="00B90BC1" w:rsidP="002748F4"/>
    <w:p w14:paraId="4388C43F" w14:textId="2A318CB3" w:rsidR="00B90BC1" w:rsidRPr="00B90BC1" w:rsidRDefault="00B90BC1" w:rsidP="00B90BC1">
      <w:pPr>
        <w:pStyle w:val="Ttulo1"/>
        <w:jc w:val="right"/>
        <w:rPr>
          <w:rFonts w:asciiTheme="minorHAnsi" w:hAnsiTheme="minorHAnsi" w:cstheme="minorHAnsi"/>
        </w:rPr>
      </w:pPr>
      <w:r w:rsidRPr="00B90BC1">
        <w:rPr>
          <w:rFonts w:asciiTheme="minorHAnsi" w:hAnsiTheme="minorHAnsi" w:cstheme="minorHAnsi"/>
        </w:rPr>
        <w:t>#</w:t>
      </w:r>
      <w:r w:rsidR="00143228">
        <w:rPr>
          <w:rFonts w:asciiTheme="minorHAnsi" w:hAnsiTheme="minorHAnsi" w:cstheme="minorHAnsi"/>
        </w:rPr>
        <w:t>5</w:t>
      </w:r>
      <w:r w:rsidRPr="00B90BC1">
        <w:rPr>
          <w:rFonts w:asciiTheme="minorHAnsi" w:hAnsiTheme="minorHAnsi" w:cstheme="minorHAnsi"/>
        </w:rPr>
        <w:t>.</w:t>
      </w:r>
      <w:r w:rsidR="00143228">
        <w:rPr>
          <w:rFonts w:asciiTheme="minorHAnsi" w:hAnsiTheme="minorHAnsi" w:cstheme="minorHAnsi"/>
        </w:rPr>
        <w:t>3</w:t>
      </w:r>
      <w:r w:rsidRPr="00B90BC1">
        <w:rPr>
          <w:rFonts w:asciiTheme="minorHAnsi" w:hAnsiTheme="minorHAnsi" w:cstheme="minorHAnsi"/>
        </w:rPr>
        <w:t xml:space="preserve"> Área de acción 2: </w:t>
      </w:r>
    </w:p>
    <w:p w14:paraId="6D433784" w14:textId="46B5B25F" w:rsidR="00B90BC1" w:rsidRPr="00B90BC1" w:rsidRDefault="00B90BC1" w:rsidP="00B90BC1">
      <w:pPr>
        <w:pStyle w:val="Ttulo1"/>
        <w:jc w:val="right"/>
        <w:rPr>
          <w:rFonts w:asciiTheme="minorHAnsi" w:hAnsiTheme="minorHAnsi" w:cstheme="minorHAnsi"/>
        </w:rPr>
      </w:pPr>
      <w:r w:rsidRPr="00B90BC1">
        <w:rPr>
          <w:rFonts w:asciiTheme="minorHAnsi" w:hAnsiTheme="minorHAnsi" w:cstheme="minorHAnsi"/>
        </w:rPr>
        <w:t xml:space="preserve">Intervenciones en el ámbito de la Salud </w:t>
      </w:r>
    </w:p>
    <w:p w14:paraId="10FDA22C" w14:textId="77777777" w:rsidR="00B90BC1" w:rsidRDefault="00B90BC1" w:rsidP="002748F4"/>
    <w:p w14:paraId="67283A37" w14:textId="77777777" w:rsidR="002748F4" w:rsidRDefault="002748F4" w:rsidP="002748F4"/>
    <w:p w14:paraId="29E17EDE" w14:textId="77777777" w:rsidR="00B90BC1" w:rsidRDefault="00B90BC1" w:rsidP="002748F4"/>
    <w:p w14:paraId="2D80EDF6" w14:textId="77777777" w:rsidR="00B90BC1" w:rsidRDefault="00B90BC1" w:rsidP="002748F4"/>
    <w:p w14:paraId="1545A3AF" w14:textId="77777777" w:rsidR="00B90BC1" w:rsidRDefault="00B90BC1" w:rsidP="002748F4"/>
    <w:p w14:paraId="7C309830" w14:textId="77777777" w:rsidR="00B90BC1" w:rsidRDefault="00B90BC1" w:rsidP="002748F4"/>
    <w:p w14:paraId="3C821A7E" w14:textId="77777777" w:rsidR="00B90BC1" w:rsidRDefault="00B90BC1" w:rsidP="002748F4"/>
    <w:p w14:paraId="2194A866" w14:textId="77777777" w:rsidR="00B90BC1" w:rsidRDefault="00B90BC1" w:rsidP="002748F4"/>
    <w:p w14:paraId="12E95645" w14:textId="77777777" w:rsidR="00B90BC1" w:rsidRDefault="00B90BC1" w:rsidP="002748F4"/>
    <w:p w14:paraId="25D14C9E" w14:textId="77777777" w:rsidR="00B90BC1" w:rsidRDefault="00B90BC1" w:rsidP="002748F4"/>
    <w:p w14:paraId="4C1B00BF" w14:textId="77777777" w:rsidR="00B90BC1" w:rsidRDefault="00B90BC1" w:rsidP="002748F4"/>
    <w:p w14:paraId="545D5491" w14:textId="77777777" w:rsidR="00B90BC1" w:rsidRDefault="00B90BC1" w:rsidP="002748F4"/>
    <w:p w14:paraId="67A020E2" w14:textId="77777777" w:rsidR="00B90BC1" w:rsidRPr="002748F4" w:rsidRDefault="00B90BC1" w:rsidP="002748F4"/>
    <w:p w14:paraId="6FAE6B1A" w14:textId="5A9C8E82" w:rsidR="00380C49" w:rsidRPr="0088331D" w:rsidRDefault="00380C49" w:rsidP="00DF3DF5">
      <w:pPr>
        <w:pStyle w:val="Ttulo1"/>
        <w:rPr>
          <w:rFonts w:asciiTheme="minorHAnsi" w:hAnsiTheme="minorHAnsi" w:cstheme="minorHAnsi"/>
          <w:sz w:val="28"/>
          <w:szCs w:val="28"/>
        </w:rPr>
      </w:pPr>
      <w:r w:rsidRPr="0088331D">
        <w:rPr>
          <w:rFonts w:asciiTheme="minorHAnsi" w:hAnsiTheme="minorHAnsi" w:cstheme="minorHAnsi"/>
          <w:sz w:val="28"/>
          <w:szCs w:val="28"/>
        </w:rPr>
        <w:t>#</w:t>
      </w:r>
      <w:r w:rsidR="00143228">
        <w:rPr>
          <w:rFonts w:asciiTheme="minorHAnsi" w:hAnsiTheme="minorHAnsi" w:cstheme="minorHAnsi"/>
          <w:sz w:val="28"/>
          <w:szCs w:val="28"/>
        </w:rPr>
        <w:t>5</w:t>
      </w:r>
      <w:r w:rsidRPr="0088331D">
        <w:rPr>
          <w:rFonts w:asciiTheme="minorHAnsi" w:hAnsiTheme="minorHAnsi" w:cstheme="minorHAnsi"/>
          <w:sz w:val="28"/>
          <w:szCs w:val="28"/>
        </w:rPr>
        <w:t>.</w:t>
      </w:r>
      <w:r w:rsidR="00143228">
        <w:rPr>
          <w:rFonts w:asciiTheme="minorHAnsi" w:hAnsiTheme="minorHAnsi" w:cstheme="minorHAnsi"/>
          <w:sz w:val="28"/>
          <w:szCs w:val="28"/>
        </w:rPr>
        <w:t>3</w:t>
      </w:r>
      <w:r w:rsidRPr="0088331D">
        <w:rPr>
          <w:rFonts w:asciiTheme="minorHAnsi" w:hAnsiTheme="minorHAnsi" w:cstheme="minorHAnsi"/>
          <w:sz w:val="28"/>
          <w:szCs w:val="28"/>
        </w:rPr>
        <w:t xml:space="preserve"> Área de acción </w:t>
      </w:r>
      <w:r w:rsidR="00CA2C82" w:rsidRPr="0088331D">
        <w:rPr>
          <w:rFonts w:asciiTheme="minorHAnsi" w:hAnsiTheme="minorHAnsi" w:cstheme="minorHAnsi"/>
          <w:sz w:val="28"/>
          <w:szCs w:val="28"/>
        </w:rPr>
        <w:t>2</w:t>
      </w:r>
      <w:r w:rsidRPr="0088331D">
        <w:rPr>
          <w:rFonts w:asciiTheme="minorHAnsi" w:hAnsiTheme="minorHAnsi" w:cstheme="minorHAnsi"/>
          <w:sz w:val="28"/>
          <w:szCs w:val="28"/>
        </w:rPr>
        <w:t xml:space="preserve">: </w:t>
      </w:r>
      <w:r w:rsidR="009D6296" w:rsidRPr="0088331D">
        <w:rPr>
          <w:rFonts w:asciiTheme="minorHAnsi" w:hAnsiTheme="minorHAnsi" w:cstheme="minorHAnsi"/>
          <w:sz w:val="28"/>
          <w:szCs w:val="28"/>
        </w:rPr>
        <w:t>I</w:t>
      </w:r>
      <w:r w:rsidR="009B1F89" w:rsidRPr="0088331D">
        <w:rPr>
          <w:rFonts w:asciiTheme="minorHAnsi" w:hAnsiTheme="minorHAnsi" w:cstheme="minorHAnsi"/>
          <w:sz w:val="28"/>
          <w:szCs w:val="28"/>
        </w:rPr>
        <w:t xml:space="preserve">ntervenciones en el ámbito de la </w:t>
      </w:r>
      <w:r w:rsidRPr="0088331D">
        <w:rPr>
          <w:rFonts w:asciiTheme="minorHAnsi" w:hAnsiTheme="minorHAnsi" w:cstheme="minorHAnsi"/>
          <w:sz w:val="28"/>
          <w:szCs w:val="28"/>
        </w:rPr>
        <w:t xml:space="preserve">Salud </w:t>
      </w:r>
    </w:p>
    <w:p w14:paraId="6FED12D9" w14:textId="77777777" w:rsidR="00403C72" w:rsidRPr="0051709F" w:rsidRDefault="00403C72" w:rsidP="00403C72">
      <w:pPr>
        <w:rPr>
          <w:rFonts w:cstheme="minorHAnsi"/>
          <w:lang w:val="es-ES_tradnl"/>
        </w:rPr>
      </w:pPr>
    </w:p>
    <w:p w14:paraId="2D2ABC98" w14:textId="36C63902" w:rsidR="00403C72" w:rsidRPr="0051709F" w:rsidRDefault="0088331D" w:rsidP="009B1F89">
      <w:pPr>
        <w:jc w:val="both"/>
        <w:rPr>
          <w:rFonts w:cstheme="minorHAnsi"/>
          <w:color w:val="333333"/>
        </w:rPr>
      </w:pPr>
      <w:r>
        <w:rPr>
          <w:rFonts w:cstheme="minorHAnsi"/>
          <w:color w:val="333333"/>
        </w:rPr>
        <w:t xml:space="preserve">Un elemento transversal de alto valor en el desarrollo de estrategias nacionales es el hecho confirmado en distintos países de nuestro entorno, y que podría resumirse en la </w:t>
      </w:r>
      <w:r w:rsidRPr="0088331D">
        <w:rPr>
          <w:rFonts w:cstheme="minorHAnsi"/>
          <w:b/>
          <w:bCs/>
          <w:color w:val="333333"/>
        </w:rPr>
        <w:t>participación proactiva de todos los agentes</w:t>
      </w:r>
      <w:r>
        <w:rPr>
          <w:rFonts w:cstheme="minorHAnsi"/>
          <w:color w:val="333333"/>
        </w:rPr>
        <w:t xml:space="preserve"> </w:t>
      </w:r>
      <w:r w:rsidRPr="0088331D">
        <w:rPr>
          <w:rFonts w:cstheme="minorHAnsi"/>
          <w:b/>
          <w:bCs/>
          <w:color w:val="333333"/>
        </w:rPr>
        <w:t>implicados</w:t>
      </w:r>
      <w:r>
        <w:rPr>
          <w:rFonts w:cstheme="minorHAnsi"/>
          <w:color w:val="333333"/>
        </w:rPr>
        <w:t>. Es decir, que p</w:t>
      </w:r>
      <w:r w:rsidR="00403C72" w:rsidRPr="0051709F">
        <w:rPr>
          <w:rFonts w:cstheme="minorHAnsi"/>
          <w:color w:val="333333"/>
        </w:rPr>
        <w:t>ara que el modelo</w:t>
      </w:r>
      <w:r w:rsidR="009B1F89" w:rsidRPr="0051709F">
        <w:rPr>
          <w:rFonts w:cstheme="minorHAnsi"/>
          <w:color w:val="333333"/>
        </w:rPr>
        <w:t xml:space="preserve"> propuesto </w:t>
      </w:r>
      <w:r w:rsidR="00403C72" w:rsidRPr="0051709F">
        <w:rPr>
          <w:rFonts w:cstheme="minorHAnsi"/>
          <w:color w:val="333333"/>
        </w:rPr>
        <w:t>funcione, todos los agentes/actores deben sentirse partícipe</w:t>
      </w:r>
      <w:r w:rsidR="009B1F89" w:rsidRPr="0051709F">
        <w:rPr>
          <w:rFonts w:cstheme="minorHAnsi"/>
          <w:color w:val="333333"/>
        </w:rPr>
        <w:t>s</w:t>
      </w:r>
      <w:r w:rsidR="00403C72" w:rsidRPr="0051709F">
        <w:rPr>
          <w:rFonts w:cstheme="minorHAnsi"/>
          <w:color w:val="333333"/>
        </w:rPr>
        <w:t xml:space="preserve">, por lo que se considera muy importante identificar </w:t>
      </w:r>
      <w:r>
        <w:rPr>
          <w:rFonts w:cstheme="minorHAnsi"/>
          <w:color w:val="333333"/>
        </w:rPr>
        <w:t xml:space="preserve">en cada área de acción </w:t>
      </w:r>
      <w:r w:rsidR="00403C72" w:rsidRPr="0051709F">
        <w:rPr>
          <w:rFonts w:cstheme="minorHAnsi"/>
          <w:color w:val="333333"/>
        </w:rPr>
        <w:t xml:space="preserve">a todos </w:t>
      </w:r>
      <w:r>
        <w:rPr>
          <w:rFonts w:cstheme="minorHAnsi"/>
          <w:color w:val="333333"/>
        </w:rPr>
        <w:t xml:space="preserve">ellos, </w:t>
      </w:r>
      <w:r w:rsidR="00403C72" w:rsidRPr="0051709F">
        <w:rPr>
          <w:rFonts w:cstheme="minorHAnsi"/>
          <w:color w:val="333333"/>
        </w:rPr>
        <w:t xml:space="preserve">e incluirlos en </w:t>
      </w:r>
      <w:r w:rsidR="00904BC0">
        <w:rPr>
          <w:rFonts w:cstheme="minorHAnsi"/>
          <w:color w:val="333333"/>
        </w:rPr>
        <w:t>est</w:t>
      </w:r>
      <w:r w:rsidR="00403C72" w:rsidRPr="0051709F">
        <w:rPr>
          <w:rFonts w:cstheme="minorHAnsi"/>
          <w:color w:val="333333"/>
        </w:rPr>
        <w:t xml:space="preserve">a Estrategia Nacional. Esto incluye tanto a profesionales como a organismos públicos y privados. Se propone </w:t>
      </w:r>
      <w:r>
        <w:rPr>
          <w:rFonts w:cstheme="minorHAnsi"/>
          <w:color w:val="333333"/>
        </w:rPr>
        <w:t xml:space="preserve">por tanto </w:t>
      </w:r>
      <w:r w:rsidR="00403C72" w:rsidRPr="0051709F">
        <w:rPr>
          <w:rFonts w:cstheme="minorHAnsi"/>
          <w:color w:val="333333"/>
        </w:rPr>
        <w:t xml:space="preserve">un modelo inclusivo y similar a un Plan Director, </w:t>
      </w:r>
      <w:r>
        <w:rPr>
          <w:rFonts w:cstheme="minorHAnsi"/>
          <w:color w:val="333333"/>
        </w:rPr>
        <w:t>que en esta área concreta permita</w:t>
      </w:r>
      <w:r w:rsidR="00403C72" w:rsidRPr="0051709F">
        <w:rPr>
          <w:rFonts w:cstheme="minorHAnsi"/>
          <w:color w:val="333333"/>
        </w:rPr>
        <w:t xml:space="preserve"> dejar suficiente margen a las Comunidades Autónomas, </w:t>
      </w:r>
      <w:r w:rsidR="00904BC0">
        <w:rPr>
          <w:rFonts w:cstheme="minorHAnsi"/>
          <w:color w:val="333333"/>
        </w:rPr>
        <w:t>M</w:t>
      </w:r>
      <w:r w:rsidR="00403C72" w:rsidRPr="0051709F">
        <w:rPr>
          <w:rFonts w:cstheme="minorHAnsi"/>
          <w:color w:val="333333"/>
        </w:rPr>
        <w:t xml:space="preserve">unicipios, gerentes de </w:t>
      </w:r>
      <w:r w:rsidR="00904BC0">
        <w:rPr>
          <w:rFonts w:cstheme="minorHAnsi"/>
          <w:color w:val="333333"/>
        </w:rPr>
        <w:t>atención primaria</w:t>
      </w:r>
      <w:r w:rsidR="00904BC0" w:rsidRPr="0051709F">
        <w:rPr>
          <w:rFonts w:cstheme="minorHAnsi"/>
          <w:color w:val="333333"/>
        </w:rPr>
        <w:t xml:space="preserve"> </w:t>
      </w:r>
      <w:r w:rsidR="00403C72" w:rsidRPr="0051709F">
        <w:rPr>
          <w:rFonts w:cstheme="minorHAnsi"/>
          <w:color w:val="333333"/>
        </w:rPr>
        <w:t>y de hospitales, etc</w:t>
      </w:r>
      <w:r w:rsidR="00904BC0">
        <w:rPr>
          <w:rFonts w:cstheme="minorHAnsi"/>
          <w:color w:val="333333"/>
        </w:rPr>
        <w:t>.</w:t>
      </w:r>
      <w:r w:rsidR="00403C72" w:rsidRPr="0051709F">
        <w:rPr>
          <w:rFonts w:cstheme="minorHAnsi"/>
          <w:color w:val="333333"/>
        </w:rPr>
        <w:t xml:space="preserve"> para adaptar el modelo a su realidad más cercana</w:t>
      </w:r>
      <w:r w:rsidR="009B1F89" w:rsidRPr="0051709F">
        <w:rPr>
          <w:rFonts w:cstheme="minorHAnsi"/>
          <w:color w:val="333333"/>
        </w:rPr>
        <w:t>.</w:t>
      </w:r>
    </w:p>
    <w:p w14:paraId="176992FA" w14:textId="77777777" w:rsidR="009B1F89" w:rsidRPr="0051709F" w:rsidRDefault="009B1F89" w:rsidP="009B1F89">
      <w:pPr>
        <w:jc w:val="both"/>
        <w:rPr>
          <w:rFonts w:cstheme="minorHAnsi"/>
          <w:color w:val="333333"/>
        </w:rPr>
      </w:pPr>
    </w:p>
    <w:p w14:paraId="5B91D827" w14:textId="54118705" w:rsidR="00403C72" w:rsidRPr="0051709F" w:rsidRDefault="009B1F89" w:rsidP="009B1F89">
      <w:pPr>
        <w:jc w:val="both"/>
        <w:rPr>
          <w:rFonts w:cstheme="minorHAnsi"/>
          <w:color w:val="333333"/>
        </w:rPr>
      </w:pPr>
      <w:r w:rsidRPr="0051709F">
        <w:rPr>
          <w:rFonts w:cstheme="minorHAnsi"/>
          <w:color w:val="333333"/>
        </w:rPr>
        <w:t>Para ello</w:t>
      </w:r>
      <w:r w:rsidR="00904BC0">
        <w:rPr>
          <w:rFonts w:cstheme="minorHAnsi"/>
          <w:color w:val="333333"/>
        </w:rPr>
        <w:t>,</w:t>
      </w:r>
      <w:r w:rsidRPr="0051709F">
        <w:rPr>
          <w:rFonts w:cstheme="minorHAnsi"/>
          <w:color w:val="333333"/>
        </w:rPr>
        <w:t xml:space="preserve"> se plantea un escenario con un potencial c</w:t>
      </w:r>
      <w:r w:rsidR="00403C72" w:rsidRPr="0051709F">
        <w:rPr>
          <w:rFonts w:cstheme="minorHAnsi"/>
          <w:color w:val="333333"/>
        </w:rPr>
        <w:t xml:space="preserve">alendario de actuación </w:t>
      </w:r>
      <w:r w:rsidRPr="0051709F">
        <w:rPr>
          <w:rFonts w:cstheme="minorHAnsi"/>
          <w:color w:val="333333"/>
        </w:rPr>
        <w:t xml:space="preserve">que </w:t>
      </w:r>
      <w:r w:rsidR="00403C72" w:rsidRPr="0051709F">
        <w:rPr>
          <w:rFonts w:cstheme="minorHAnsi"/>
          <w:color w:val="333333"/>
        </w:rPr>
        <w:t xml:space="preserve">podría estar dividido en 4 fases: </w:t>
      </w:r>
    </w:p>
    <w:p w14:paraId="2134AE6E" w14:textId="77777777" w:rsidR="009B1F89" w:rsidRPr="0051709F" w:rsidRDefault="009B1F89" w:rsidP="009B1F89">
      <w:pPr>
        <w:jc w:val="both"/>
        <w:rPr>
          <w:rFonts w:cstheme="minorHAnsi"/>
          <w:color w:val="333333"/>
        </w:rPr>
      </w:pPr>
    </w:p>
    <w:p w14:paraId="051E2E35" w14:textId="0EB36B74" w:rsidR="00403C72" w:rsidRPr="0051709F" w:rsidRDefault="00403C72" w:rsidP="00E6399B">
      <w:pPr>
        <w:pStyle w:val="Prrafodelista"/>
        <w:numPr>
          <w:ilvl w:val="0"/>
          <w:numId w:val="79"/>
        </w:numPr>
        <w:jc w:val="both"/>
        <w:rPr>
          <w:rFonts w:asciiTheme="minorHAnsi" w:hAnsiTheme="minorHAnsi" w:cstheme="minorHAnsi"/>
          <w:color w:val="333333"/>
          <w:sz w:val="24"/>
          <w:szCs w:val="24"/>
          <w:lang w:val="es-ES"/>
        </w:rPr>
      </w:pPr>
      <w:r w:rsidRPr="0051709F">
        <w:rPr>
          <w:rFonts w:asciiTheme="minorHAnsi" w:hAnsiTheme="minorHAnsi" w:cstheme="minorHAnsi"/>
          <w:color w:val="333333"/>
          <w:sz w:val="24"/>
          <w:szCs w:val="24"/>
          <w:lang w:val="es-ES"/>
        </w:rPr>
        <w:t>2021-2023: Elaboración de la Estrategia Nacional y consenso con todos los sectores y agentes implicados</w:t>
      </w:r>
    </w:p>
    <w:p w14:paraId="71DF5927" w14:textId="20F371C7" w:rsidR="00403C72" w:rsidRPr="0051709F" w:rsidRDefault="00403C72" w:rsidP="00E6399B">
      <w:pPr>
        <w:pStyle w:val="Prrafodelista"/>
        <w:numPr>
          <w:ilvl w:val="0"/>
          <w:numId w:val="79"/>
        </w:numPr>
        <w:jc w:val="both"/>
        <w:rPr>
          <w:rFonts w:asciiTheme="minorHAnsi" w:hAnsiTheme="minorHAnsi" w:cstheme="minorHAnsi"/>
          <w:color w:val="333333"/>
          <w:sz w:val="24"/>
          <w:szCs w:val="24"/>
        </w:rPr>
      </w:pPr>
      <w:r w:rsidRPr="0051709F">
        <w:rPr>
          <w:rFonts w:asciiTheme="minorHAnsi" w:hAnsiTheme="minorHAnsi" w:cstheme="minorHAnsi"/>
          <w:color w:val="333333"/>
          <w:sz w:val="24"/>
          <w:szCs w:val="24"/>
          <w:lang w:val="es-ES"/>
        </w:rPr>
        <w:t xml:space="preserve">2023-2025: Implementación de la Estrategia utilizando los recursos existentes, dejando margen para su adecuación siguiendo unas directrices generales. </w:t>
      </w:r>
      <w:proofErr w:type="spellStart"/>
      <w:r w:rsidRPr="0051709F">
        <w:rPr>
          <w:rFonts w:asciiTheme="minorHAnsi" w:hAnsiTheme="minorHAnsi" w:cstheme="minorHAnsi"/>
          <w:color w:val="333333"/>
          <w:sz w:val="24"/>
          <w:szCs w:val="24"/>
        </w:rPr>
        <w:t>Diseño</w:t>
      </w:r>
      <w:proofErr w:type="spellEnd"/>
      <w:r w:rsidRPr="0051709F">
        <w:rPr>
          <w:rFonts w:asciiTheme="minorHAnsi" w:hAnsiTheme="minorHAnsi" w:cstheme="minorHAnsi"/>
          <w:color w:val="333333"/>
          <w:sz w:val="24"/>
          <w:szCs w:val="24"/>
        </w:rPr>
        <w:t xml:space="preserve"> de </w:t>
      </w:r>
      <w:proofErr w:type="spellStart"/>
      <w:r w:rsidRPr="0051709F">
        <w:rPr>
          <w:rFonts w:asciiTheme="minorHAnsi" w:hAnsiTheme="minorHAnsi" w:cstheme="minorHAnsi"/>
          <w:color w:val="333333"/>
          <w:sz w:val="24"/>
          <w:szCs w:val="24"/>
        </w:rPr>
        <w:t>nuevas</w:t>
      </w:r>
      <w:proofErr w:type="spellEnd"/>
      <w:r w:rsidRPr="0051709F">
        <w:rPr>
          <w:rFonts w:asciiTheme="minorHAnsi" w:hAnsiTheme="minorHAnsi" w:cstheme="minorHAnsi"/>
          <w:color w:val="333333"/>
          <w:sz w:val="24"/>
          <w:szCs w:val="24"/>
        </w:rPr>
        <w:t xml:space="preserve"> </w:t>
      </w:r>
      <w:proofErr w:type="spellStart"/>
      <w:r w:rsidRPr="0051709F">
        <w:rPr>
          <w:rFonts w:asciiTheme="minorHAnsi" w:hAnsiTheme="minorHAnsi" w:cstheme="minorHAnsi"/>
          <w:color w:val="333333"/>
          <w:sz w:val="24"/>
          <w:szCs w:val="24"/>
        </w:rPr>
        <w:t>herramientas</w:t>
      </w:r>
      <w:proofErr w:type="spellEnd"/>
      <w:r w:rsidRPr="0051709F">
        <w:rPr>
          <w:rFonts w:asciiTheme="minorHAnsi" w:hAnsiTheme="minorHAnsi" w:cstheme="minorHAnsi"/>
          <w:color w:val="333333"/>
          <w:sz w:val="24"/>
          <w:szCs w:val="24"/>
        </w:rPr>
        <w:t xml:space="preserve">, </w:t>
      </w:r>
      <w:proofErr w:type="spellStart"/>
      <w:r w:rsidRPr="0051709F">
        <w:rPr>
          <w:rFonts w:asciiTheme="minorHAnsi" w:hAnsiTheme="minorHAnsi" w:cstheme="minorHAnsi"/>
          <w:color w:val="333333"/>
          <w:sz w:val="24"/>
          <w:szCs w:val="24"/>
        </w:rPr>
        <w:t>estructuras</w:t>
      </w:r>
      <w:proofErr w:type="spellEnd"/>
      <w:r w:rsidRPr="0051709F">
        <w:rPr>
          <w:rFonts w:asciiTheme="minorHAnsi" w:hAnsiTheme="minorHAnsi" w:cstheme="minorHAnsi"/>
          <w:color w:val="333333"/>
          <w:sz w:val="24"/>
          <w:szCs w:val="24"/>
        </w:rPr>
        <w:t>, etc</w:t>
      </w:r>
      <w:r w:rsidR="00904BC0">
        <w:rPr>
          <w:rFonts w:asciiTheme="minorHAnsi" w:hAnsiTheme="minorHAnsi" w:cstheme="minorHAnsi"/>
          <w:color w:val="333333"/>
          <w:sz w:val="24"/>
          <w:szCs w:val="24"/>
        </w:rPr>
        <w:t>.</w:t>
      </w:r>
    </w:p>
    <w:p w14:paraId="206C2C53" w14:textId="427E3E07" w:rsidR="00403C72" w:rsidRPr="0051709F" w:rsidRDefault="00403C72" w:rsidP="00E6399B">
      <w:pPr>
        <w:pStyle w:val="Prrafodelista"/>
        <w:numPr>
          <w:ilvl w:val="0"/>
          <w:numId w:val="79"/>
        </w:numPr>
        <w:jc w:val="both"/>
        <w:rPr>
          <w:rFonts w:asciiTheme="minorHAnsi" w:hAnsiTheme="minorHAnsi" w:cstheme="minorHAnsi"/>
          <w:color w:val="333333"/>
          <w:sz w:val="24"/>
          <w:szCs w:val="24"/>
          <w:lang w:val="es-ES"/>
        </w:rPr>
      </w:pPr>
      <w:r w:rsidRPr="0051709F">
        <w:rPr>
          <w:rFonts w:asciiTheme="minorHAnsi" w:hAnsiTheme="minorHAnsi" w:cstheme="minorHAnsi"/>
          <w:color w:val="333333"/>
          <w:sz w:val="24"/>
          <w:szCs w:val="24"/>
          <w:lang w:val="es-ES"/>
        </w:rPr>
        <w:t>2026-2027: Continuación de las medidas ya implementadas. Puesta en marcha de las nuevas propuestas. Análisis de la 2ª fase. Propuestas de corrección y mejora.</w:t>
      </w:r>
    </w:p>
    <w:p w14:paraId="70ED2911" w14:textId="001E64AB" w:rsidR="00403C72" w:rsidRPr="0051709F" w:rsidRDefault="00403C72" w:rsidP="00E6399B">
      <w:pPr>
        <w:pStyle w:val="Prrafodelista"/>
        <w:numPr>
          <w:ilvl w:val="0"/>
          <w:numId w:val="79"/>
        </w:numPr>
        <w:jc w:val="both"/>
        <w:rPr>
          <w:rFonts w:asciiTheme="minorHAnsi" w:hAnsiTheme="minorHAnsi" w:cstheme="minorHAnsi"/>
          <w:color w:val="333333"/>
          <w:sz w:val="24"/>
          <w:szCs w:val="24"/>
        </w:rPr>
      </w:pPr>
      <w:r w:rsidRPr="0051709F">
        <w:rPr>
          <w:rFonts w:asciiTheme="minorHAnsi" w:hAnsiTheme="minorHAnsi" w:cstheme="minorHAnsi"/>
          <w:color w:val="333333"/>
          <w:sz w:val="24"/>
          <w:szCs w:val="24"/>
          <w:lang w:val="es-ES"/>
        </w:rPr>
        <w:t xml:space="preserve">2028-2030: Continuación de las medidas ya implementadas. Puesta en marcha de las correcciones de las fases 2ª y 3ª. </w:t>
      </w:r>
      <w:proofErr w:type="spellStart"/>
      <w:r w:rsidRPr="0051709F">
        <w:rPr>
          <w:rFonts w:asciiTheme="minorHAnsi" w:hAnsiTheme="minorHAnsi" w:cstheme="minorHAnsi"/>
          <w:color w:val="333333"/>
          <w:sz w:val="24"/>
          <w:szCs w:val="24"/>
        </w:rPr>
        <w:t>Evaluación</w:t>
      </w:r>
      <w:proofErr w:type="spellEnd"/>
      <w:r w:rsidRPr="0051709F">
        <w:rPr>
          <w:rFonts w:asciiTheme="minorHAnsi" w:hAnsiTheme="minorHAnsi" w:cstheme="minorHAnsi"/>
          <w:color w:val="333333"/>
          <w:sz w:val="24"/>
          <w:szCs w:val="24"/>
        </w:rPr>
        <w:t xml:space="preserve"> final de la </w:t>
      </w:r>
      <w:proofErr w:type="spellStart"/>
      <w:r w:rsidRPr="0051709F">
        <w:rPr>
          <w:rFonts w:asciiTheme="minorHAnsi" w:hAnsiTheme="minorHAnsi" w:cstheme="minorHAnsi"/>
          <w:color w:val="333333"/>
          <w:sz w:val="24"/>
          <w:szCs w:val="24"/>
        </w:rPr>
        <w:t>Estrategia</w:t>
      </w:r>
      <w:proofErr w:type="spellEnd"/>
      <w:r w:rsidRPr="0051709F">
        <w:rPr>
          <w:rFonts w:asciiTheme="minorHAnsi" w:hAnsiTheme="minorHAnsi" w:cstheme="minorHAnsi"/>
          <w:color w:val="333333"/>
          <w:sz w:val="24"/>
          <w:szCs w:val="24"/>
        </w:rPr>
        <w:t xml:space="preserve"> Nacional.</w:t>
      </w:r>
    </w:p>
    <w:p w14:paraId="6B5EFEAB" w14:textId="77777777" w:rsidR="009B1F89" w:rsidRPr="0051709F" w:rsidRDefault="009B1F89" w:rsidP="009B1F89">
      <w:pPr>
        <w:jc w:val="both"/>
        <w:rPr>
          <w:rFonts w:cstheme="minorHAnsi"/>
          <w:color w:val="333333"/>
        </w:rPr>
      </w:pPr>
    </w:p>
    <w:p w14:paraId="15235D83" w14:textId="50906064" w:rsidR="00403C72" w:rsidRPr="0051709F" w:rsidRDefault="00403C72" w:rsidP="009B1F89">
      <w:pPr>
        <w:jc w:val="both"/>
        <w:rPr>
          <w:rFonts w:cstheme="minorHAnsi"/>
          <w:color w:val="333333"/>
        </w:rPr>
      </w:pPr>
      <w:r w:rsidRPr="0051709F">
        <w:rPr>
          <w:rFonts w:cstheme="minorHAnsi"/>
          <w:color w:val="333333"/>
        </w:rPr>
        <w:t xml:space="preserve">La idea principal es </w:t>
      </w:r>
      <w:r w:rsidR="000C0037">
        <w:rPr>
          <w:rFonts w:cstheme="minorHAnsi"/>
          <w:color w:val="333333"/>
        </w:rPr>
        <w:t xml:space="preserve">potencialmente </w:t>
      </w:r>
      <w:r w:rsidRPr="0051709F">
        <w:rPr>
          <w:rFonts w:cstheme="minorHAnsi"/>
          <w:color w:val="333333"/>
        </w:rPr>
        <w:t xml:space="preserve">integrar a </w:t>
      </w:r>
      <w:r w:rsidR="00904BC0">
        <w:rPr>
          <w:rFonts w:cstheme="minorHAnsi"/>
          <w:color w:val="333333"/>
        </w:rPr>
        <w:t>tod</w:t>
      </w:r>
      <w:r w:rsidRPr="0051709F">
        <w:rPr>
          <w:rFonts w:cstheme="minorHAnsi"/>
          <w:color w:val="333333"/>
        </w:rPr>
        <w:t xml:space="preserve">os actores implicados en esta parte de la Estrategia, provenientes del ámbito político, científico, académico y profesional. </w:t>
      </w:r>
    </w:p>
    <w:p w14:paraId="5AEE9F2D" w14:textId="317802F7" w:rsidR="00943E30" w:rsidRPr="003C226E" w:rsidRDefault="00943E30" w:rsidP="003C226E">
      <w:pPr>
        <w:jc w:val="both"/>
        <w:rPr>
          <w:rFonts w:cstheme="minorHAnsi"/>
          <w:color w:val="333333"/>
        </w:rPr>
      </w:pPr>
    </w:p>
    <w:p w14:paraId="774B5873" w14:textId="246BE9A2" w:rsidR="00403C72" w:rsidRPr="0051709F" w:rsidRDefault="00403C72" w:rsidP="00D623A5">
      <w:pPr>
        <w:pStyle w:val="Ttulo2"/>
        <w:numPr>
          <w:ilvl w:val="0"/>
          <w:numId w:val="0"/>
        </w:numPr>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sz w:val="24"/>
          <w:szCs w:val="24"/>
          <w:lang w:val="es-ES" w:eastAsia="es-ES"/>
        </w:rPr>
        <w:t xml:space="preserve">Caracterización del reto de la inactividad física y el sedentarismo en </w:t>
      </w:r>
      <w:r w:rsidR="009D6296" w:rsidRPr="0051709F">
        <w:rPr>
          <w:rFonts w:asciiTheme="minorHAnsi" w:eastAsia="Times New Roman" w:hAnsiTheme="minorHAnsi" w:cstheme="minorHAnsi"/>
          <w:sz w:val="24"/>
          <w:szCs w:val="24"/>
          <w:lang w:val="es-ES" w:eastAsia="es-ES"/>
        </w:rPr>
        <w:t>esta área: su impacto exponencial en la prevalencia e impacto de las enferme</w:t>
      </w:r>
      <w:r w:rsidR="00943E30" w:rsidRPr="0051709F">
        <w:rPr>
          <w:rFonts w:asciiTheme="minorHAnsi" w:eastAsia="Times New Roman" w:hAnsiTheme="minorHAnsi" w:cstheme="minorHAnsi"/>
          <w:sz w:val="24"/>
          <w:szCs w:val="24"/>
          <w:lang w:val="es-ES" w:eastAsia="es-ES"/>
        </w:rPr>
        <w:t>dades crónicas no transmisibles</w:t>
      </w:r>
    </w:p>
    <w:p w14:paraId="208D18EF" w14:textId="77777777" w:rsidR="00403C72" w:rsidRPr="0051709F" w:rsidRDefault="00403C72" w:rsidP="009B1F89">
      <w:pPr>
        <w:jc w:val="both"/>
        <w:rPr>
          <w:rFonts w:cstheme="minorHAnsi"/>
          <w:color w:val="333333"/>
          <w:shd w:val="clear" w:color="auto" w:fill="FFFFFF"/>
        </w:rPr>
      </w:pPr>
    </w:p>
    <w:p w14:paraId="600244B1" w14:textId="27608C42" w:rsidR="00403C72" w:rsidRPr="0051709F" w:rsidRDefault="0088331D" w:rsidP="009B1F89">
      <w:pPr>
        <w:jc w:val="both"/>
        <w:rPr>
          <w:rFonts w:cstheme="minorHAnsi"/>
          <w:color w:val="333333"/>
          <w:shd w:val="clear" w:color="auto" w:fill="FFFFFF"/>
        </w:rPr>
      </w:pPr>
      <w:r>
        <w:rPr>
          <w:rFonts w:cstheme="minorHAnsi"/>
          <w:color w:val="333333"/>
          <w:shd w:val="clear" w:color="auto" w:fill="FFFFFF"/>
        </w:rPr>
        <w:t>Un hecho determinante al caracterizar el reto de la inactividad física en esta área es que e</w:t>
      </w:r>
      <w:r w:rsidR="00403C72" w:rsidRPr="0051709F">
        <w:rPr>
          <w:rFonts w:cstheme="minorHAnsi"/>
          <w:color w:val="333333"/>
          <w:shd w:val="clear" w:color="auto" w:fill="FFFFFF"/>
        </w:rPr>
        <w:t xml:space="preserve">l Sistema Nacional de Salud español, transferido a las CCAA, no ha incluido entre sus actuaciones principales la promoción y/o prescripción del ejercicio físico. De hecho, los médicos especialistas en este ámbito, vía MIR, especialistas en Medicina de la Educación Física y del Deporte, nunca han formado parte del sistema sanitario público español, desde su implantación en 1987 hasta su extinción en 2015. </w:t>
      </w:r>
    </w:p>
    <w:p w14:paraId="264CA8F9" w14:textId="77777777" w:rsidR="005E75CE" w:rsidRPr="0051709F" w:rsidRDefault="005E75CE" w:rsidP="009B1F89">
      <w:pPr>
        <w:jc w:val="both"/>
        <w:rPr>
          <w:rFonts w:cstheme="minorHAnsi"/>
          <w:color w:val="333333"/>
          <w:shd w:val="clear" w:color="auto" w:fill="FFFFFF"/>
        </w:rPr>
      </w:pPr>
    </w:p>
    <w:p w14:paraId="52121929" w14:textId="7BABE750"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En una revisión realizada por Calonge y col. (2017) se analizaron los planes de estudio de medicina de las universidades españolas que ofertan este título. De los 360 ECTS obligatorios de los estudios de medi</w:t>
      </w:r>
      <w:r w:rsidRPr="0051709F">
        <w:rPr>
          <w:rFonts w:cstheme="minorHAnsi"/>
          <w:color w:val="333333"/>
        </w:rPr>
        <w:t>ci</w:t>
      </w:r>
      <w:r w:rsidRPr="0051709F">
        <w:rPr>
          <w:rFonts w:cstheme="minorHAnsi"/>
          <w:color w:val="333333"/>
          <w:shd w:val="clear" w:color="auto" w:fill="FFFFFF"/>
        </w:rPr>
        <w:t xml:space="preserve">na, se dedica el 3,62% a contenidos relacionados con la promoción de la actividad física, prevención y tratamiento de enfermedades </w:t>
      </w:r>
      <w:r w:rsidRPr="0051709F">
        <w:rPr>
          <w:rFonts w:cstheme="minorHAnsi"/>
          <w:color w:val="333333"/>
          <w:shd w:val="clear" w:color="auto" w:fill="FFFFFF"/>
        </w:rPr>
        <w:lastRenderedPageBreak/>
        <w:t xml:space="preserve">crónicas no transmisibles (NCD) mediante el ejercicio. De forma similar, Calonge y col, (2022) analizaron los planes de estudio </w:t>
      </w:r>
      <w:r w:rsidR="00904BC0">
        <w:rPr>
          <w:rFonts w:cstheme="minorHAnsi"/>
          <w:color w:val="333333"/>
          <w:shd w:val="clear" w:color="auto" w:fill="FFFFFF"/>
        </w:rPr>
        <w:t>de</w:t>
      </w:r>
      <w:r w:rsidRPr="0051709F">
        <w:rPr>
          <w:rFonts w:cstheme="minorHAnsi"/>
          <w:color w:val="333333"/>
          <w:shd w:val="clear" w:color="auto" w:fill="FFFFFF"/>
        </w:rPr>
        <w:t xml:space="preserve">l título de Grado en Enfermería de las universidades españolas. De los 240 ECTS, el 5,82% tenía relación con la promoción de actividad física y </w:t>
      </w:r>
      <w:r w:rsidR="00904BC0">
        <w:rPr>
          <w:rFonts w:cstheme="minorHAnsi"/>
          <w:color w:val="333333"/>
          <w:shd w:val="clear" w:color="auto" w:fill="FFFFFF"/>
        </w:rPr>
        <w:t>muy marginal</w:t>
      </w:r>
      <w:r w:rsidRPr="0051709F">
        <w:rPr>
          <w:rFonts w:cstheme="minorHAnsi"/>
          <w:color w:val="333333"/>
          <w:shd w:val="clear" w:color="auto" w:fill="FFFFFF"/>
        </w:rPr>
        <w:t xml:space="preserve"> con la prescripción de ejercicio físico. Cinco universidades españolas no incluían estos contenidos en sus estudios de Grado. Estos datos concuerdan con los publicados para otros países, en</w:t>
      </w:r>
      <w:r w:rsidR="00904BC0">
        <w:rPr>
          <w:rFonts w:cstheme="minorHAnsi"/>
          <w:color w:val="333333"/>
          <w:shd w:val="clear" w:color="auto" w:fill="FFFFFF"/>
        </w:rPr>
        <w:t xml:space="preserve"> los</w:t>
      </w:r>
      <w:r w:rsidRPr="0051709F">
        <w:rPr>
          <w:rFonts w:cstheme="minorHAnsi"/>
          <w:color w:val="333333"/>
          <w:shd w:val="clear" w:color="auto" w:fill="FFFFFF"/>
        </w:rPr>
        <w:t xml:space="preserve"> que se ha observado la escasa formación, conocimiento y recursos de médicos y enfermeros para implementar de forma efectiva la promoción de la </w:t>
      </w:r>
      <w:r w:rsidR="00904BC0">
        <w:rPr>
          <w:rFonts w:cstheme="minorHAnsi"/>
          <w:color w:val="333333"/>
          <w:shd w:val="clear" w:color="auto" w:fill="FFFFFF"/>
        </w:rPr>
        <w:t>actividad física</w:t>
      </w:r>
      <w:r w:rsidR="00904BC0" w:rsidRPr="0051709F">
        <w:rPr>
          <w:rFonts w:cstheme="minorHAnsi"/>
          <w:color w:val="333333"/>
          <w:shd w:val="clear" w:color="auto" w:fill="FFFFFF"/>
        </w:rPr>
        <w:t xml:space="preserve"> </w:t>
      </w:r>
      <w:r w:rsidRPr="0051709F">
        <w:rPr>
          <w:rFonts w:cstheme="minorHAnsi"/>
          <w:color w:val="333333"/>
          <w:shd w:val="clear" w:color="auto" w:fill="FFFFFF"/>
        </w:rPr>
        <w:t xml:space="preserve">en el sistema de salud (Lion et al, 2018). </w:t>
      </w:r>
    </w:p>
    <w:p w14:paraId="48989494" w14:textId="77777777" w:rsidR="00D623A5" w:rsidRDefault="00D623A5" w:rsidP="009B1F89">
      <w:pPr>
        <w:jc w:val="both"/>
        <w:rPr>
          <w:rFonts w:cstheme="minorHAnsi"/>
          <w:color w:val="333333"/>
          <w:shd w:val="clear" w:color="auto" w:fill="FFFFFF"/>
        </w:rPr>
      </w:pPr>
    </w:p>
    <w:p w14:paraId="1B5C1216" w14:textId="05562937"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 xml:space="preserve">Está ampliamente demostrado que la inactividad física y el sedentarismo son predictores de </w:t>
      </w:r>
      <w:r w:rsidR="00904BC0">
        <w:rPr>
          <w:rFonts w:cstheme="minorHAnsi"/>
          <w:color w:val="333333"/>
          <w:shd w:val="clear" w:color="auto" w:fill="FFFFFF"/>
        </w:rPr>
        <w:t xml:space="preserve">las </w:t>
      </w:r>
      <w:r w:rsidRPr="0051709F">
        <w:rPr>
          <w:rFonts w:cstheme="minorHAnsi"/>
          <w:color w:val="333333"/>
          <w:shd w:val="clear" w:color="auto" w:fill="FFFFFF"/>
        </w:rPr>
        <w:t>NCD (</w:t>
      </w:r>
      <w:proofErr w:type="spellStart"/>
      <w:r w:rsidRPr="0051709F">
        <w:rPr>
          <w:rFonts w:cstheme="minorHAnsi"/>
          <w:color w:val="333333"/>
          <w:shd w:val="clear" w:color="auto" w:fill="FFFFFF"/>
        </w:rPr>
        <w:t>Guthold</w:t>
      </w:r>
      <w:proofErr w:type="spellEnd"/>
      <w:r w:rsidRPr="0051709F">
        <w:rPr>
          <w:rFonts w:cstheme="minorHAnsi"/>
          <w:color w:val="333333"/>
          <w:shd w:val="clear" w:color="auto" w:fill="FFFFFF"/>
        </w:rPr>
        <w:t xml:space="preserve"> y col, 2018; Ng y </w:t>
      </w:r>
      <w:proofErr w:type="spellStart"/>
      <w:r w:rsidRPr="0051709F">
        <w:rPr>
          <w:rFonts w:cstheme="minorHAnsi"/>
          <w:color w:val="333333"/>
          <w:shd w:val="clear" w:color="auto" w:fill="FFFFFF"/>
        </w:rPr>
        <w:t>Popkin</w:t>
      </w:r>
      <w:proofErr w:type="spellEnd"/>
      <w:r w:rsidRPr="0051709F">
        <w:rPr>
          <w:rFonts w:cstheme="minorHAnsi"/>
          <w:color w:val="333333"/>
          <w:shd w:val="clear" w:color="auto" w:fill="FFFFFF"/>
        </w:rPr>
        <w:t>, 2012). A pesar de las evidencias y las políticas públicas que se han impulsado desde la carta de Ottawa en 1986 (</w:t>
      </w:r>
      <w:hyperlink r:id="rId39" w:history="1">
        <w:r w:rsidRPr="0051709F">
          <w:rPr>
            <w:rStyle w:val="Hipervnculo"/>
            <w:rFonts w:cstheme="minorHAnsi"/>
            <w:shd w:val="clear" w:color="auto" w:fill="FFFFFF"/>
          </w:rPr>
          <w:t>https://www.who.int/teams/health-promotion/enhanced-wellbeing/first-global-conference</w:t>
        </w:r>
      </w:hyperlink>
      <w:r w:rsidRPr="0051709F">
        <w:rPr>
          <w:rFonts w:cstheme="minorHAnsi"/>
          <w:color w:val="333333"/>
          <w:shd w:val="clear" w:color="auto" w:fill="FFFFFF"/>
        </w:rPr>
        <w:t>), la inactividad física y el sedentarismo han aumentado en todos los países, incluido España</w:t>
      </w:r>
      <w:r w:rsidRPr="0051709F">
        <w:rPr>
          <w:rFonts w:cstheme="minorHAnsi"/>
          <w:color w:val="333333"/>
        </w:rPr>
        <w:t xml:space="preserve">. </w:t>
      </w:r>
      <w:r w:rsidRPr="0051709F">
        <w:rPr>
          <w:rFonts w:cstheme="minorHAnsi"/>
          <w:color w:val="333333"/>
          <w:shd w:val="clear" w:color="auto" w:fill="FFFFFF"/>
        </w:rPr>
        <w:t xml:space="preserve"> </w:t>
      </w:r>
    </w:p>
    <w:p w14:paraId="4C2D2DF3" w14:textId="77777777" w:rsidR="00D3447C" w:rsidRPr="008533B8" w:rsidRDefault="00D3447C" w:rsidP="009B1F89">
      <w:pPr>
        <w:jc w:val="both"/>
        <w:rPr>
          <w:rFonts w:cstheme="minorHAnsi"/>
          <w:i/>
          <w:iCs/>
          <w:color w:val="333333"/>
        </w:rPr>
      </w:pPr>
    </w:p>
    <w:p w14:paraId="06ED8AD6" w14:textId="1B511C9A" w:rsidR="00403C72" w:rsidRPr="0051709F" w:rsidRDefault="00D3447C" w:rsidP="009B1F89">
      <w:pPr>
        <w:jc w:val="both"/>
        <w:rPr>
          <w:rFonts w:eastAsia="Calibri" w:cstheme="minorHAnsi"/>
        </w:rPr>
      </w:pPr>
      <w:r w:rsidRPr="0051709F">
        <w:rPr>
          <w:rFonts w:cstheme="minorHAnsi"/>
          <w:color w:val="333333"/>
        </w:rPr>
        <w:t>L</w:t>
      </w:r>
      <w:r w:rsidR="00403C72" w:rsidRPr="0051709F">
        <w:rPr>
          <w:rFonts w:cstheme="minorHAnsi"/>
          <w:color w:val="333333"/>
        </w:rPr>
        <w:t xml:space="preserve">os </w:t>
      </w:r>
      <w:r w:rsidR="00403C72" w:rsidRPr="009863B3">
        <w:rPr>
          <w:rFonts w:cstheme="minorHAnsi"/>
          <w:b/>
          <w:bCs/>
          <w:color w:val="333333"/>
        </w:rPr>
        <w:t>programas de derivación de ejercicio físico</w:t>
      </w:r>
      <w:r w:rsidR="00403C72" w:rsidRPr="0051709F">
        <w:rPr>
          <w:rFonts w:cstheme="minorHAnsi"/>
          <w:color w:val="333333"/>
        </w:rPr>
        <w:t xml:space="preserve"> (PDEF) comenzaron en la década </w:t>
      </w:r>
      <w:r w:rsidR="000C0037" w:rsidRPr="0051709F">
        <w:rPr>
          <w:rFonts w:cstheme="minorHAnsi"/>
          <w:color w:val="333333"/>
        </w:rPr>
        <w:t>de 1990</w:t>
      </w:r>
      <w:r w:rsidR="00403C72" w:rsidRPr="0051709F">
        <w:rPr>
          <w:rFonts w:cstheme="minorHAnsi"/>
          <w:color w:val="333333"/>
        </w:rPr>
        <w:t xml:space="preserve">, y consisten en la identificación de la inactividad y el sedentarismo por parte de los profesionales de atención primaria o profesionales afines, la derivación a un servicio o experto en ejercicio físico, una evaluación para determinar que programa o actividad es la más indicada y la participación del sujeto en la actividad o programa propuesto.  Campbell y col (2015) realizaron una revisión sistemática en el Reino Unido, resultando que los PDEF </w:t>
      </w:r>
      <w:r w:rsidR="00403C72" w:rsidRPr="0051709F">
        <w:rPr>
          <w:rFonts w:eastAsia="Calibri" w:cstheme="minorHAnsi"/>
        </w:rPr>
        <w:t>dan lugar a una pequeña mejoría en el número de personas que aumentan sus niveles de actividad física. El análisis de cost</w:t>
      </w:r>
      <w:r w:rsidR="008533B8">
        <w:rPr>
          <w:rFonts w:eastAsia="Calibri" w:cstheme="minorHAnsi"/>
        </w:rPr>
        <w:t>e</w:t>
      </w:r>
      <w:r w:rsidR="00403C72" w:rsidRPr="0051709F">
        <w:rPr>
          <w:rFonts w:eastAsia="Calibri" w:cstheme="minorHAnsi"/>
        </w:rPr>
        <w:t>-efectividad indica que la ratio coste-efectividad incremental para PDEF en comparación con la atención médica habitual es de alrededor de £ 76,000 por años de vida ajustados por calidad (AVAC). Asimismo, la proporción de individuos que lograron realizar 90-150 minutos de actividad de intensidad al menos moderada por semana a los 6-12 meses de seguimiento fue mayor para los PDEF que para la atención habitual.</w:t>
      </w:r>
    </w:p>
    <w:p w14:paraId="587B20C3" w14:textId="77777777" w:rsidR="00D3447C" w:rsidRPr="0051709F" w:rsidRDefault="00D3447C" w:rsidP="009B1F89">
      <w:pPr>
        <w:jc w:val="both"/>
        <w:rPr>
          <w:rFonts w:eastAsia="Calibri" w:cstheme="minorHAnsi"/>
        </w:rPr>
      </w:pPr>
    </w:p>
    <w:p w14:paraId="66F6EA1F" w14:textId="30B5351C" w:rsidR="00403C72" w:rsidRPr="008723D8" w:rsidRDefault="00403C72" w:rsidP="009B1F89">
      <w:pPr>
        <w:jc w:val="both"/>
        <w:rPr>
          <w:rFonts w:cstheme="minorHAnsi"/>
          <w:color w:val="000000" w:themeColor="text1"/>
          <w:shd w:val="clear" w:color="auto" w:fill="FFFFFF"/>
        </w:rPr>
      </w:pPr>
      <w:r w:rsidRPr="008723D8">
        <w:rPr>
          <w:rFonts w:eastAsia="Calibri" w:cstheme="minorHAnsi"/>
          <w:color w:val="000000" w:themeColor="text1"/>
        </w:rPr>
        <w:t>No obstante, el modelo PDEF no ha conseguido una implementación generalizada y los resultados deseados.</w:t>
      </w:r>
      <w:r w:rsidR="005F0E6D">
        <w:rPr>
          <w:rFonts w:eastAsia="Calibri" w:cstheme="minorHAnsi"/>
          <w:color w:val="000000" w:themeColor="text1"/>
        </w:rPr>
        <w:t xml:space="preserve"> </w:t>
      </w:r>
      <w:r w:rsidRPr="008723D8">
        <w:rPr>
          <w:rFonts w:cstheme="minorHAnsi"/>
          <w:color w:val="000000" w:themeColor="text1"/>
        </w:rPr>
        <w:t>Estos resultados e intervenciones</w:t>
      </w:r>
      <w:r w:rsidRPr="008723D8">
        <w:rPr>
          <w:rFonts w:cstheme="minorHAnsi"/>
          <w:color w:val="000000" w:themeColor="text1"/>
          <w:shd w:val="clear" w:color="auto" w:fill="FFFFFF"/>
        </w:rPr>
        <w:t xml:space="preserve"> que se han realizado hasta la fecha para actuar sobre el reto global de la inactividad física pueden ser debidos a un enfoque de arriba-abajo y muy centrado en la modificación de la conducta del individuo </w:t>
      </w:r>
      <w:r w:rsidRPr="008723D8">
        <w:rPr>
          <w:rFonts w:cstheme="minorHAnsi"/>
          <w:color w:val="000000" w:themeColor="text1"/>
        </w:rPr>
        <w:t>(</w:t>
      </w:r>
      <w:proofErr w:type="spellStart"/>
      <w:r w:rsidRPr="008723D8">
        <w:rPr>
          <w:rFonts w:cstheme="minorHAnsi"/>
          <w:color w:val="000000" w:themeColor="text1"/>
        </w:rPr>
        <w:t>Speake</w:t>
      </w:r>
      <w:proofErr w:type="spellEnd"/>
      <w:r w:rsidRPr="008723D8">
        <w:rPr>
          <w:rFonts w:cstheme="minorHAnsi"/>
          <w:color w:val="000000" w:themeColor="text1"/>
        </w:rPr>
        <w:t xml:space="preserve"> y col, 2016). </w:t>
      </w:r>
      <w:r w:rsidRPr="008723D8">
        <w:rPr>
          <w:rFonts w:cstheme="minorHAnsi"/>
          <w:color w:val="000000" w:themeColor="text1"/>
          <w:shd w:val="clear" w:color="auto" w:fill="FFFFFF"/>
        </w:rPr>
        <w:t>Quizás haya que cambiar a un modelo abajo-arriba más inclusivo, que sea más efectivo para introducir mejoras y propiciar los cambios (</w:t>
      </w:r>
      <w:proofErr w:type="spellStart"/>
      <w:r w:rsidRPr="008723D8">
        <w:rPr>
          <w:rFonts w:cstheme="minorHAnsi"/>
          <w:color w:val="000000" w:themeColor="text1"/>
          <w:shd w:val="clear" w:color="auto" w:fill="FFFFFF"/>
        </w:rPr>
        <w:t>Previtt</w:t>
      </w:r>
      <w:proofErr w:type="spellEnd"/>
      <w:r w:rsidRPr="008723D8">
        <w:rPr>
          <w:rFonts w:cstheme="minorHAnsi"/>
          <w:color w:val="000000" w:themeColor="text1"/>
          <w:shd w:val="clear" w:color="auto" w:fill="FFFFFF"/>
        </w:rPr>
        <w:t>, 2015)</w:t>
      </w:r>
      <w:r w:rsidR="00F02618" w:rsidRPr="008723D8">
        <w:rPr>
          <w:rFonts w:cstheme="minorHAnsi"/>
          <w:color w:val="000000" w:themeColor="text1"/>
          <w:shd w:val="clear" w:color="auto" w:fill="FFFFFF"/>
        </w:rPr>
        <w:t xml:space="preserve"> (Figura </w:t>
      </w:r>
      <w:r w:rsidR="000A7FE9" w:rsidRPr="008723D8">
        <w:rPr>
          <w:rFonts w:cstheme="minorHAnsi"/>
          <w:color w:val="000000" w:themeColor="text1"/>
          <w:shd w:val="clear" w:color="auto" w:fill="FFFFFF"/>
        </w:rPr>
        <w:t>18</w:t>
      </w:r>
      <w:r w:rsidR="00F02618" w:rsidRPr="008723D8">
        <w:rPr>
          <w:rFonts w:cstheme="minorHAnsi"/>
          <w:color w:val="000000" w:themeColor="text1"/>
          <w:shd w:val="clear" w:color="auto" w:fill="FFFFFF"/>
        </w:rPr>
        <w:t>)</w:t>
      </w:r>
      <w:r w:rsidR="000A7FE9" w:rsidRPr="008723D8">
        <w:rPr>
          <w:rFonts w:cstheme="minorHAnsi"/>
          <w:color w:val="000000" w:themeColor="text1"/>
          <w:shd w:val="clear" w:color="auto" w:fill="FFFFFF"/>
        </w:rPr>
        <w:t>.</w:t>
      </w:r>
    </w:p>
    <w:p w14:paraId="27AA6CDB" w14:textId="77777777" w:rsidR="00F02618" w:rsidRPr="0051709F" w:rsidRDefault="00F02618" w:rsidP="009B1F89">
      <w:pPr>
        <w:jc w:val="both"/>
        <w:rPr>
          <w:rFonts w:cstheme="minorHAnsi"/>
          <w:color w:val="333333"/>
          <w:shd w:val="clear" w:color="auto" w:fill="FFFFFF"/>
        </w:rPr>
      </w:pPr>
    </w:p>
    <w:p w14:paraId="634F7D63" w14:textId="77777777" w:rsidR="00D3447C" w:rsidRPr="0051709F" w:rsidRDefault="00D3447C" w:rsidP="009B1F89">
      <w:pPr>
        <w:jc w:val="both"/>
        <w:rPr>
          <w:rFonts w:cstheme="minorHAnsi"/>
          <w:color w:val="333333"/>
        </w:rPr>
      </w:pPr>
    </w:p>
    <w:p w14:paraId="2980A67E" w14:textId="77777777" w:rsidR="00403C72" w:rsidRPr="0051709F" w:rsidRDefault="00403C72" w:rsidP="00D3447C">
      <w:pPr>
        <w:jc w:val="center"/>
        <w:rPr>
          <w:rFonts w:cstheme="minorHAnsi"/>
        </w:rPr>
      </w:pPr>
      <w:r w:rsidRPr="0051709F">
        <w:rPr>
          <w:rFonts w:cstheme="minorHAnsi"/>
          <w:noProof/>
          <w:lang w:val="en-GB" w:eastAsia="en-GB"/>
        </w:rPr>
        <w:lastRenderedPageBreak/>
        <w:drawing>
          <wp:inline distT="0" distB="0" distL="0" distR="0" wp14:anchorId="7A6D1B1C" wp14:editId="46B60964">
            <wp:extent cx="4057650" cy="3038475"/>
            <wp:effectExtent l="0" t="0" r="0" b="0"/>
            <wp:docPr id="1271244645" name="Imagen 127124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057650" cy="3038475"/>
                    </a:xfrm>
                    <a:prstGeom prst="rect">
                      <a:avLst/>
                    </a:prstGeom>
                  </pic:spPr>
                </pic:pic>
              </a:graphicData>
            </a:graphic>
          </wp:inline>
        </w:drawing>
      </w:r>
    </w:p>
    <w:p w14:paraId="477FF395" w14:textId="247805E4" w:rsidR="00403C72" w:rsidRPr="007B667D" w:rsidRDefault="00403C72" w:rsidP="00D3447C">
      <w:pPr>
        <w:jc w:val="center"/>
        <w:rPr>
          <w:rFonts w:cstheme="minorHAnsi"/>
          <w:i/>
          <w:iCs/>
          <w:color w:val="333333"/>
          <w:sz w:val="22"/>
          <w:szCs w:val="22"/>
        </w:rPr>
      </w:pPr>
      <w:r w:rsidRPr="007B667D">
        <w:rPr>
          <w:rFonts w:cstheme="minorHAnsi"/>
          <w:i/>
          <w:iCs/>
          <w:color w:val="333333"/>
          <w:sz w:val="22"/>
          <w:szCs w:val="22"/>
          <w:shd w:val="clear" w:color="auto" w:fill="FFFFFF"/>
        </w:rPr>
        <w:t xml:space="preserve">Figura </w:t>
      </w:r>
      <w:r w:rsidR="000A7FE9" w:rsidRPr="007B667D">
        <w:rPr>
          <w:rFonts w:cstheme="minorHAnsi"/>
          <w:i/>
          <w:iCs/>
          <w:color w:val="333333"/>
          <w:sz w:val="22"/>
          <w:szCs w:val="22"/>
          <w:shd w:val="clear" w:color="auto" w:fill="FFFFFF"/>
        </w:rPr>
        <w:t>18</w:t>
      </w:r>
      <w:r w:rsidRPr="007B667D">
        <w:rPr>
          <w:rFonts w:cstheme="minorHAnsi"/>
          <w:i/>
          <w:iCs/>
          <w:color w:val="333333"/>
          <w:sz w:val="22"/>
          <w:szCs w:val="22"/>
          <w:shd w:val="clear" w:color="auto" w:fill="FFFFFF"/>
        </w:rPr>
        <w:t>. Propuesta de bottom-up reforma del sistema sanitario</w:t>
      </w:r>
      <w:r w:rsidR="008533B8">
        <w:rPr>
          <w:rFonts w:cstheme="minorHAnsi"/>
          <w:i/>
          <w:iCs/>
          <w:color w:val="333333"/>
          <w:sz w:val="22"/>
          <w:szCs w:val="22"/>
          <w:shd w:val="clear" w:color="auto" w:fill="FFFFFF"/>
        </w:rPr>
        <w:t>.</w:t>
      </w:r>
      <w:r w:rsidRPr="007B667D">
        <w:rPr>
          <w:rFonts w:cstheme="minorHAnsi"/>
          <w:i/>
          <w:iCs/>
          <w:color w:val="333333"/>
          <w:sz w:val="22"/>
          <w:szCs w:val="22"/>
          <w:shd w:val="clear" w:color="auto" w:fill="FFFFFF"/>
        </w:rPr>
        <w:t xml:space="preserve"> Fuente: Thomas </w:t>
      </w:r>
      <w:proofErr w:type="spellStart"/>
      <w:r w:rsidRPr="007B667D">
        <w:rPr>
          <w:rFonts w:cstheme="minorHAnsi"/>
          <w:i/>
          <w:iCs/>
          <w:color w:val="333333"/>
          <w:sz w:val="22"/>
          <w:szCs w:val="22"/>
          <w:shd w:val="clear" w:color="auto" w:fill="FFFFFF"/>
        </w:rPr>
        <w:t>Previtt</w:t>
      </w:r>
      <w:proofErr w:type="spellEnd"/>
      <w:r w:rsidRPr="007B667D">
        <w:rPr>
          <w:rFonts w:cstheme="minorHAnsi"/>
          <w:i/>
          <w:iCs/>
          <w:color w:val="333333"/>
          <w:sz w:val="22"/>
          <w:szCs w:val="22"/>
          <w:shd w:val="clear" w:color="auto" w:fill="FFFFFF"/>
        </w:rPr>
        <w:t xml:space="preserve"> Jr. </w:t>
      </w:r>
      <w:hyperlink r:id="rId41" w:history="1">
        <w:r w:rsidRPr="007B667D">
          <w:rPr>
            <w:rStyle w:val="Hipervnculo"/>
            <w:rFonts w:cstheme="minorHAnsi"/>
            <w:i/>
            <w:iCs/>
            <w:sz w:val="22"/>
            <w:szCs w:val="22"/>
          </w:rPr>
          <w:t>https://www.qualitydigest.com/inside/healthcare-column/bottom-healthcare-reform-052815.html</w:t>
        </w:r>
      </w:hyperlink>
    </w:p>
    <w:p w14:paraId="7CA9DFB6" w14:textId="77777777" w:rsidR="00D3447C" w:rsidRPr="0051709F" w:rsidRDefault="00D3447C" w:rsidP="00D3447C">
      <w:pPr>
        <w:jc w:val="center"/>
        <w:rPr>
          <w:rFonts w:cstheme="minorHAnsi"/>
          <w:color w:val="333333"/>
        </w:rPr>
      </w:pPr>
    </w:p>
    <w:p w14:paraId="1D55B53B" w14:textId="77777777" w:rsidR="00D3447C" w:rsidRPr="0051709F" w:rsidRDefault="00D3447C" w:rsidP="00D3447C">
      <w:pPr>
        <w:jc w:val="center"/>
        <w:rPr>
          <w:rFonts w:cstheme="minorHAnsi"/>
          <w:color w:val="333333"/>
        </w:rPr>
      </w:pPr>
    </w:p>
    <w:p w14:paraId="12B083BB" w14:textId="2B86C961" w:rsidR="00403C72" w:rsidRPr="0051709F" w:rsidRDefault="00403C72" w:rsidP="009B1F89">
      <w:pPr>
        <w:jc w:val="both"/>
        <w:rPr>
          <w:rFonts w:cstheme="minorHAnsi"/>
          <w:color w:val="333333"/>
        </w:rPr>
      </w:pPr>
      <w:r w:rsidRPr="0051709F">
        <w:rPr>
          <w:rFonts w:cstheme="minorHAnsi"/>
          <w:color w:val="333333"/>
          <w:shd w:val="clear" w:color="auto" w:fill="FFFFFF"/>
        </w:rPr>
        <w:t xml:space="preserve">Para producir cambios de conducta a nivel poblacional </w:t>
      </w:r>
      <w:r w:rsidR="008533B8" w:rsidRPr="0051709F">
        <w:rPr>
          <w:rFonts w:cstheme="minorHAnsi"/>
          <w:color w:val="333333"/>
          <w:shd w:val="clear" w:color="auto" w:fill="FFFFFF"/>
        </w:rPr>
        <w:t>en relación con</w:t>
      </w:r>
      <w:r w:rsidRPr="0051709F">
        <w:rPr>
          <w:rFonts w:cstheme="minorHAnsi"/>
          <w:color w:val="333333"/>
          <w:shd w:val="clear" w:color="auto" w:fill="FFFFFF"/>
        </w:rPr>
        <w:t xml:space="preserve"> la actividad física, se debe actuar de una manera más amplia y con perspectiva multidisciplinar. Los enfoques sistemáticos son un reto especialmente para los sistemas nacionales de salud (</w:t>
      </w:r>
      <w:proofErr w:type="spellStart"/>
      <w:r w:rsidRPr="0051709F">
        <w:rPr>
          <w:rFonts w:cstheme="minorHAnsi"/>
          <w:color w:val="333333"/>
        </w:rPr>
        <w:t>Speake</w:t>
      </w:r>
      <w:proofErr w:type="spellEnd"/>
      <w:r w:rsidRPr="0051709F">
        <w:rPr>
          <w:rFonts w:cstheme="minorHAnsi"/>
          <w:color w:val="333333"/>
        </w:rPr>
        <w:t xml:space="preserve"> y col, 2016).</w:t>
      </w:r>
    </w:p>
    <w:p w14:paraId="007903A7" w14:textId="77777777" w:rsidR="00D3447C" w:rsidRPr="0051709F" w:rsidRDefault="00D3447C" w:rsidP="009B1F89">
      <w:pPr>
        <w:jc w:val="both"/>
        <w:rPr>
          <w:rFonts w:cstheme="minorHAnsi"/>
          <w:color w:val="333333"/>
        </w:rPr>
      </w:pPr>
    </w:p>
    <w:p w14:paraId="18BA664B" w14:textId="0685F422"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En virtud de la evidencia científica, el Colegio Americano de Medicina del Deporte (ACSM) lanz</w:t>
      </w:r>
      <w:r w:rsidRPr="0051709F">
        <w:rPr>
          <w:rFonts w:cstheme="minorHAnsi"/>
          <w:color w:val="333333"/>
        </w:rPr>
        <w:t>ó</w:t>
      </w:r>
      <w:r w:rsidRPr="0051709F">
        <w:rPr>
          <w:rFonts w:cstheme="minorHAnsi"/>
          <w:color w:val="333333"/>
          <w:shd w:val="clear" w:color="auto" w:fill="FFFFFF"/>
        </w:rPr>
        <w:t xml:space="preserve"> en 2007 la iniciativa </w:t>
      </w:r>
      <w:proofErr w:type="spellStart"/>
      <w:r w:rsidRPr="0051709F">
        <w:rPr>
          <w:rFonts w:cstheme="minorHAnsi"/>
          <w:i/>
          <w:iCs/>
          <w:color w:val="333333"/>
          <w:shd w:val="clear" w:color="auto" w:fill="FFFFFF"/>
        </w:rPr>
        <w:t>Exercise</w:t>
      </w:r>
      <w:proofErr w:type="spellEnd"/>
      <w:r w:rsidRPr="0051709F">
        <w:rPr>
          <w:rFonts w:cstheme="minorHAnsi"/>
          <w:i/>
          <w:iCs/>
          <w:color w:val="333333"/>
          <w:shd w:val="clear" w:color="auto" w:fill="FFFFFF"/>
        </w:rPr>
        <w:t xml:space="preserve"> </w:t>
      </w:r>
      <w:proofErr w:type="spellStart"/>
      <w:r w:rsidRPr="0051709F">
        <w:rPr>
          <w:rFonts w:cstheme="minorHAnsi"/>
          <w:i/>
          <w:iCs/>
          <w:color w:val="333333"/>
          <w:shd w:val="clear" w:color="auto" w:fill="FFFFFF"/>
        </w:rPr>
        <w:t>is</w:t>
      </w:r>
      <w:proofErr w:type="spellEnd"/>
      <w:r w:rsidRPr="0051709F">
        <w:rPr>
          <w:rFonts w:cstheme="minorHAnsi"/>
          <w:i/>
          <w:iCs/>
          <w:color w:val="333333"/>
          <w:shd w:val="clear" w:color="auto" w:fill="FFFFFF"/>
        </w:rPr>
        <w:t xml:space="preserve"> Medicine</w:t>
      </w:r>
      <w:r w:rsidRPr="0051709F">
        <w:rPr>
          <w:rFonts w:cstheme="minorHAnsi"/>
          <w:color w:val="333333"/>
          <w:shd w:val="clear" w:color="auto" w:fill="FFFFFF"/>
        </w:rPr>
        <w:t>® (Ejercicio es Medicina, EIM), cuyos principales objetivos son</w:t>
      </w:r>
      <w:r w:rsidR="00D3447C" w:rsidRPr="0051709F">
        <w:rPr>
          <w:rFonts w:cstheme="minorHAnsi"/>
          <w:color w:val="333333"/>
          <w:shd w:val="clear" w:color="auto" w:fill="FFFFFF"/>
        </w:rPr>
        <w:t>:</w:t>
      </w:r>
    </w:p>
    <w:p w14:paraId="253B4802" w14:textId="77777777" w:rsidR="00D3447C" w:rsidRPr="0051709F" w:rsidRDefault="00D3447C" w:rsidP="009B1F89">
      <w:pPr>
        <w:jc w:val="both"/>
        <w:rPr>
          <w:rFonts w:cstheme="minorHAnsi"/>
          <w:color w:val="333333"/>
          <w:shd w:val="clear" w:color="auto" w:fill="FFFFFF"/>
        </w:rPr>
      </w:pPr>
    </w:p>
    <w:p w14:paraId="41F2F80E" w14:textId="77777777" w:rsidR="00403C72" w:rsidRPr="0051709F" w:rsidRDefault="00403C72" w:rsidP="00D14ACA">
      <w:pPr>
        <w:numPr>
          <w:ilvl w:val="0"/>
          <w:numId w:val="36"/>
        </w:numPr>
        <w:jc w:val="both"/>
        <w:rPr>
          <w:rFonts w:cstheme="minorHAnsi"/>
          <w:color w:val="333333"/>
          <w:shd w:val="clear" w:color="auto" w:fill="FFFFFF"/>
        </w:rPr>
      </w:pPr>
      <w:r w:rsidRPr="0051709F">
        <w:rPr>
          <w:rFonts w:cstheme="minorHAnsi"/>
          <w:b/>
          <w:bCs/>
          <w:color w:val="333333"/>
          <w:shd w:val="clear" w:color="auto" w:fill="FFFFFF"/>
        </w:rPr>
        <w:t xml:space="preserve">Promocionar e implantar tratamientos preventivos y terapéuticos de programas de ejercicio físico </w:t>
      </w:r>
      <w:r w:rsidRPr="0051709F">
        <w:rPr>
          <w:rFonts w:cstheme="minorHAnsi"/>
          <w:color w:val="333333"/>
          <w:u w:val="single"/>
          <w:shd w:val="clear" w:color="auto" w:fill="FFFFFF"/>
        </w:rPr>
        <w:t>adaptados a cada persona</w:t>
      </w:r>
      <w:r w:rsidRPr="0051709F">
        <w:rPr>
          <w:rFonts w:cstheme="minorHAnsi"/>
          <w:color w:val="333333"/>
          <w:shd w:val="clear" w:color="auto" w:fill="FFFFFF"/>
        </w:rPr>
        <w:t xml:space="preserve"> en los </w:t>
      </w:r>
      <w:r w:rsidRPr="0051709F">
        <w:rPr>
          <w:rFonts w:cstheme="minorHAnsi"/>
          <w:b/>
          <w:bCs/>
          <w:color w:val="333333"/>
          <w:shd w:val="clear" w:color="auto" w:fill="FFFFFF"/>
        </w:rPr>
        <w:t xml:space="preserve">centros de salud, hospitales </w:t>
      </w:r>
      <w:r w:rsidRPr="0051709F">
        <w:rPr>
          <w:rFonts w:cstheme="minorHAnsi"/>
          <w:color w:val="333333"/>
          <w:shd w:val="clear" w:color="auto" w:fill="FFFFFF"/>
        </w:rPr>
        <w:t xml:space="preserve">o </w:t>
      </w:r>
      <w:r w:rsidRPr="0051709F">
        <w:rPr>
          <w:rFonts w:cstheme="minorHAnsi"/>
          <w:b/>
          <w:bCs/>
          <w:color w:val="333333"/>
          <w:shd w:val="clear" w:color="auto" w:fill="FFFFFF"/>
        </w:rPr>
        <w:t xml:space="preserve">centros de fitness </w:t>
      </w:r>
      <w:r w:rsidRPr="0051709F">
        <w:rPr>
          <w:rFonts w:cstheme="minorHAnsi"/>
          <w:color w:val="333333"/>
          <w:shd w:val="clear" w:color="auto" w:fill="FFFFFF"/>
        </w:rPr>
        <w:t>adheridos al sistema.</w:t>
      </w:r>
    </w:p>
    <w:p w14:paraId="2122FC64" w14:textId="77777777" w:rsidR="00403C72" w:rsidRPr="0051709F" w:rsidRDefault="00403C72" w:rsidP="00D14ACA">
      <w:pPr>
        <w:numPr>
          <w:ilvl w:val="0"/>
          <w:numId w:val="36"/>
        </w:numPr>
        <w:jc w:val="both"/>
        <w:rPr>
          <w:rFonts w:cstheme="minorHAnsi"/>
          <w:color w:val="333333"/>
          <w:shd w:val="clear" w:color="auto" w:fill="FFFFFF"/>
        </w:rPr>
      </w:pPr>
      <w:r w:rsidRPr="0051709F">
        <w:rPr>
          <w:rFonts w:cstheme="minorHAnsi"/>
          <w:color w:val="333333"/>
          <w:u w:val="single"/>
          <w:shd w:val="clear" w:color="auto" w:fill="FFFFFF"/>
        </w:rPr>
        <w:t>Disminuir</w:t>
      </w:r>
      <w:r w:rsidRPr="0051709F">
        <w:rPr>
          <w:rFonts w:cstheme="minorHAnsi"/>
          <w:color w:val="333333"/>
          <w:shd w:val="clear" w:color="auto" w:fill="FFFFFF"/>
        </w:rPr>
        <w:t xml:space="preserve"> la prevalencia de </w:t>
      </w:r>
      <w:r w:rsidRPr="0051709F">
        <w:rPr>
          <w:rFonts w:cstheme="minorHAnsi"/>
          <w:b/>
          <w:bCs/>
          <w:color w:val="333333"/>
          <w:shd w:val="clear" w:color="auto" w:fill="FFFFFF"/>
        </w:rPr>
        <w:t>sedentarismo</w:t>
      </w:r>
      <w:r w:rsidRPr="0051709F">
        <w:rPr>
          <w:rFonts w:cstheme="minorHAnsi"/>
          <w:color w:val="333333"/>
          <w:shd w:val="clear" w:color="auto" w:fill="FFFFFF"/>
        </w:rPr>
        <w:t xml:space="preserve"> y </w:t>
      </w:r>
      <w:r w:rsidRPr="0051709F">
        <w:rPr>
          <w:rFonts w:cstheme="minorHAnsi"/>
          <w:color w:val="333333"/>
          <w:u w:val="single"/>
          <w:shd w:val="clear" w:color="auto" w:fill="FFFFFF"/>
        </w:rPr>
        <w:t>cumplir</w:t>
      </w:r>
      <w:r w:rsidRPr="0051709F">
        <w:rPr>
          <w:rFonts w:cstheme="minorHAnsi"/>
          <w:color w:val="333333"/>
          <w:shd w:val="clear" w:color="auto" w:fill="FFFFFF"/>
        </w:rPr>
        <w:t xml:space="preserve"> las </w:t>
      </w:r>
      <w:r w:rsidRPr="0051709F">
        <w:rPr>
          <w:rFonts w:cstheme="minorHAnsi"/>
          <w:b/>
          <w:bCs/>
          <w:color w:val="333333"/>
          <w:shd w:val="clear" w:color="auto" w:fill="FFFFFF"/>
        </w:rPr>
        <w:t>recomendaciones</w:t>
      </w:r>
      <w:r w:rsidRPr="0051709F">
        <w:rPr>
          <w:rFonts w:cstheme="minorHAnsi"/>
          <w:color w:val="333333"/>
          <w:shd w:val="clear" w:color="auto" w:fill="FFFFFF"/>
        </w:rPr>
        <w:t xml:space="preserve"> de </w:t>
      </w:r>
      <w:r w:rsidRPr="0051709F">
        <w:rPr>
          <w:rFonts w:cstheme="minorHAnsi"/>
          <w:b/>
          <w:bCs/>
          <w:color w:val="333333"/>
          <w:shd w:val="clear" w:color="auto" w:fill="FFFFFF"/>
        </w:rPr>
        <w:t>actividad física</w:t>
      </w:r>
      <w:r w:rsidRPr="0051709F">
        <w:rPr>
          <w:rFonts w:cstheme="minorHAnsi"/>
          <w:color w:val="333333"/>
          <w:shd w:val="clear" w:color="auto" w:fill="FFFFFF"/>
        </w:rPr>
        <w:t xml:space="preserve">, </w:t>
      </w:r>
      <w:r w:rsidRPr="0051709F">
        <w:rPr>
          <w:rFonts w:cstheme="minorHAnsi"/>
          <w:color w:val="333333"/>
          <w:u w:val="single"/>
          <w:shd w:val="clear" w:color="auto" w:fill="FFFFFF"/>
        </w:rPr>
        <w:t>reduciendo</w:t>
      </w:r>
      <w:r w:rsidRPr="0051709F">
        <w:rPr>
          <w:rFonts w:cstheme="minorHAnsi"/>
          <w:color w:val="333333"/>
          <w:shd w:val="clear" w:color="auto" w:fill="FFFFFF"/>
        </w:rPr>
        <w:t xml:space="preserve"> con ello, los </w:t>
      </w:r>
      <w:r w:rsidRPr="0051709F">
        <w:rPr>
          <w:rFonts w:cstheme="minorHAnsi"/>
          <w:color w:val="333333"/>
          <w:u w:val="single"/>
          <w:shd w:val="clear" w:color="auto" w:fill="FFFFFF"/>
        </w:rPr>
        <w:t>riesgos de salud asociados a la inactividad física</w:t>
      </w:r>
      <w:r w:rsidRPr="0051709F">
        <w:rPr>
          <w:rFonts w:cstheme="minorHAnsi"/>
          <w:color w:val="333333"/>
          <w:shd w:val="clear" w:color="auto" w:fill="FFFFFF"/>
        </w:rPr>
        <w:t xml:space="preserve">. Haciendo que el </w:t>
      </w:r>
      <w:r w:rsidRPr="0051709F">
        <w:rPr>
          <w:rFonts w:cstheme="minorHAnsi"/>
          <w:b/>
          <w:bCs/>
          <w:color w:val="333333"/>
          <w:shd w:val="clear" w:color="auto" w:fill="FFFFFF"/>
        </w:rPr>
        <w:t>ejercicio físico constituya un pilar básico en el tratamiento de las enfermedades crónicas no transmisibles</w:t>
      </w:r>
      <w:r w:rsidRPr="0051709F">
        <w:rPr>
          <w:rFonts w:cstheme="minorHAnsi"/>
          <w:color w:val="333333"/>
          <w:shd w:val="clear" w:color="auto" w:fill="FFFFFF"/>
        </w:rPr>
        <w:t xml:space="preserve">. </w:t>
      </w:r>
    </w:p>
    <w:p w14:paraId="36AF0CB7" w14:textId="77777777" w:rsidR="00D3447C" w:rsidRPr="0051709F" w:rsidRDefault="00D3447C" w:rsidP="009B1F89">
      <w:pPr>
        <w:jc w:val="both"/>
        <w:rPr>
          <w:rFonts w:cstheme="minorHAnsi"/>
          <w:color w:val="333333"/>
          <w:shd w:val="clear" w:color="auto" w:fill="FFFFFF"/>
        </w:rPr>
      </w:pPr>
    </w:p>
    <w:p w14:paraId="563950DC" w14:textId="3D3973A9"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 xml:space="preserve">EIM está presente en más de 40 países de todo el mundo, entre ellos, España. La red de investigación en ejercicio físico y salud (EXERNET) firmó con el ACSM el convenio de colaboración para introducir la iniciativa en España, que se lanzó oficialmente en 2016. El grupo gestor de </w:t>
      </w:r>
      <w:r w:rsidRPr="007B667D">
        <w:rPr>
          <w:rFonts w:cstheme="minorHAnsi"/>
          <w:i/>
          <w:iCs/>
          <w:color w:val="333333"/>
          <w:shd w:val="clear" w:color="auto" w:fill="FFFFFF"/>
        </w:rPr>
        <w:t xml:space="preserve">EIM </w:t>
      </w:r>
      <w:proofErr w:type="spellStart"/>
      <w:r w:rsidRPr="007B667D">
        <w:rPr>
          <w:rFonts w:cstheme="minorHAnsi"/>
          <w:i/>
          <w:iCs/>
          <w:color w:val="333333"/>
          <w:shd w:val="clear" w:color="auto" w:fill="FFFFFF"/>
        </w:rPr>
        <w:t>Spain</w:t>
      </w:r>
      <w:proofErr w:type="spellEnd"/>
      <w:r w:rsidRPr="0051709F">
        <w:rPr>
          <w:rFonts w:cstheme="minorHAnsi"/>
          <w:color w:val="333333"/>
          <w:shd w:val="clear" w:color="auto" w:fill="FFFFFF"/>
        </w:rPr>
        <w:t xml:space="preserve"> está formado además de la Red EXERNET por SEMERGEN, sociedad científica que engloba a los médicos de atención primaria, Asociación Española de Pediatría (AEP), AEPSAD, la Escuela de Medicina de la Educación Física y del Deporte de la Universidad Complutense de Madrid y el grupo </w:t>
      </w:r>
      <w:proofErr w:type="spellStart"/>
      <w:r w:rsidRPr="0051709F">
        <w:rPr>
          <w:rFonts w:cstheme="minorHAnsi"/>
          <w:color w:val="333333"/>
          <w:shd w:val="clear" w:color="auto" w:fill="FFFFFF"/>
        </w:rPr>
        <w:t>ImFine</w:t>
      </w:r>
      <w:proofErr w:type="spellEnd"/>
      <w:r w:rsidRPr="0051709F">
        <w:rPr>
          <w:rFonts w:cstheme="minorHAnsi"/>
          <w:color w:val="333333"/>
          <w:shd w:val="clear" w:color="auto" w:fill="FFFFFF"/>
        </w:rPr>
        <w:t xml:space="preserve"> de la Universidad Politécnica de Madrid. Por tanto, el modelo de </w:t>
      </w:r>
      <w:r w:rsidRPr="007B667D">
        <w:rPr>
          <w:rFonts w:cstheme="minorHAnsi"/>
          <w:i/>
          <w:iCs/>
          <w:color w:val="333333"/>
          <w:shd w:val="clear" w:color="auto" w:fill="FFFFFF"/>
        </w:rPr>
        <w:t xml:space="preserve">EIM </w:t>
      </w:r>
      <w:proofErr w:type="spellStart"/>
      <w:r w:rsidRPr="007B667D">
        <w:rPr>
          <w:rFonts w:cstheme="minorHAnsi"/>
          <w:i/>
          <w:iCs/>
          <w:color w:val="333333"/>
          <w:shd w:val="clear" w:color="auto" w:fill="FFFFFF"/>
        </w:rPr>
        <w:t>Spain</w:t>
      </w:r>
      <w:proofErr w:type="spellEnd"/>
      <w:r w:rsidRPr="0051709F">
        <w:rPr>
          <w:rFonts w:cstheme="minorHAnsi"/>
          <w:color w:val="333333"/>
          <w:shd w:val="clear" w:color="auto" w:fill="FFFFFF"/>
        </w:rPr>
        <w:t xml:space="preserve"> parece un buen marco de referencia para desarrollar este parte del plan en España. Se debe </w:t>
      </w:r>
      <w:r w:rsidR="00F26EE6" w:rsidRPr="0051709F">
        <w:rPr>
          <w:rFonts w:cstheme="minorHAnsi"/>
          <w:color w:val="333333"/>
          <w:shd w:val="clear" w:color="auto" w:fill="FFFFFF"/>
        </w:rPr>
        <w:t>incluir</w:t>
      </w:r>
      <w:r w:rsidR="00F26EE6">
        <w:rPr>
          <w:rFonts w:cstheme="minorHAnsi"/>
          <w:color w:val="333333"/>
          <w:shd w:val="clear" w:color="auto" w:fill="FFFFFF"/>
        </w:rPr>
        <w:t xml:space="preserve">, </w:t>
      </w:r>
      <w:r w:rsidR="00F26EE6" w:rsidRPr="0051709F">
        <w:rPr>
          <w:rFonts w:cstheme="minorHAnsi"/>
          <w:color w:val="333333"/>
          <w:shd w:val="clear" w:color="auto" w:fill="FFFFFF"/>
        </w:rPr>
        <w:t>asimismo</w:t>
      </w:r>
      <w:r w:rsidR="00F26EE6">
        <w:rPr>
          <w:rFonts w:cstheme="minorHAnsi"/>
          <w:color w:val="333333"/>
          <w:shd w:val="clear" w:color="auto" w:fill="FFFFFF"/>
        </w:rPr>
        <w:t>,</w:t>
      </w:r>
      <w:r w:rsidRPr="0051709F">
        <w:rPr>
          <w:rFonts w:cstheme="minorHAnsi"/>
          <w:color w:val="333333"/>
          <w:shd w:val="clear" w:color="auto" w:fill="FFFFFF"/>
        </w:rPr>
        <w:t xml:space="preserve"> a </w:t>
      </w:r>
      <w:r w:rsidRPr="0051709F">
        <w:rPr>
          <w:rFonts w:cstheme="minorHAnsi"/>
          <w:color w:val="333333"/>
          <w:shd w:val="clear" w:color="auto" w:fill="FFFFFF"/>
        </w:rPr>
        <w:lastRenderedPageBreak/>
        <w:t xml:space="preserve">otros colectivos profesionales con los que ya se colabora, pero que no forman oficialmente parte de </w:t>
      </w:r>
      <w:r w:rsidRPr="007B667D">
        <w:rPr>
          <w:rFonts w:cstheme="minorHAnsi"/>
          <w:i/>
          <w:iCs/>
          <w:color w:val="333333"/>
          <w:shd w:val="clear" w:color="auto" w:fill="FFFFFF"/>
        </w:rPr>
        <w:t>EIM-</w:t>
      </w:r>
      <w:proofErr w:type="spellStart"/>
      <w:r w:rsidRPr="007B667D">
        <w:rPr>
          <w:rFonts w:cstheme="minorHAnsi"/>
          <w:i/>
          <w:iCs/>
          <w:color w:val="333333"/>
          <w:shd w:val="clear" w:color="auto" w:fill="FFFFFF"/>
        </w:rPr>
        <w:t>Spain</w:t>
      </w:r>
      <w:proofErr w:type="spellEnd"/>
      <w:r w:rsidRPr="0051709F">
        <w:rPr>
          <w:rFonts w:cstheme="minorHAnsi"/>
          <w:color w:val="333333"/>
          <w:shd w:val="clear" w:color="auto" w:fill="FFFFFF"/>
        </w:rPr>
        <w:t>, como son enfermeras, farmacéuticos, fisioterapeutas, dietistas-nutricionistas y p</w:t>
      </w:r>
      <w:r w:rsidRPr="0051709F">
        <w:rPr>
          <w:rFonts w:cstheme="minorHAnsi"/>
          <w:color w:val="333333"/>
        </w:rPr>
        <w:t>sicó</w:t>
      </w:r>
      <w:r w:rsidRPr="0051709F">
        <w:rPr>
          <w:rFonts w:cstheme="minorHAnsi"/>
          <w:color w:val="333333"/>
          <w:shd w:val="clear" w:color="auto" w:fill="FFFFFF"/>
        </w:rPr>
        <w:t>logos</w:t>
      </w:r>
      <w:r w:rsidR="00D3447C" w:rsidRPr="0051709F">
        <w:rPr>
          <w:rFonts w:cstheme="minorHAnsi"/>
          <w:color w:val="333333"/>
          <w:shd w:val="clear" w:color="auto" w:fill="FFFFFF"/>
        </w:rPr>
        <w:t>.</w:t>
      </w:r>
    </w:p>
    <w:p w14:paraId="1565BB76" w14:textId="77777777" w:rsidR="00D3447C" w:rsidRPr="0051709F" w:rsidRDefault="00D3447C" w:rsidP="009B1F89">
      <w:pPr>
        <w:jc w:val="both"/>
        <w:rPr>
          <w:rFonts w:cstheme="minorHAnsi"/>
          <w:color w:val="333333"/>
          <w:shd w:val="clear" w:color="auto" w:fill="FFFFFF"/>
        </w:rPr>
      </w:pPr>
    </w:p>
    <w:p w14:paraId="6FDFDB2A" w14:textId="01B0F35D"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 xml:space="preserve">Además del centro global en </w:t>
      </w:r>
      <w:r w:rsidR="00F26EE6">
        <w:rPr>
          <w:rFonts w:cstheme="minorHAnsi"/>
          <w:color w:val="333333"/>
          <w:shd w:val="clear" w:color="auto" w:fill="FFFFFF"/>
        </w:rPr>
        <w:t>EEUU</w:t>
      </w:r>
      <w:r w:rsidRPr="0051709F">
        <w:rPr>
          <w:rFonts w:cstheme="minorHAnsi"/>
          <w:color w:val="333333"/>
          <w:shd w:val="clear" w:color="auto" w:fill="FFFFFF"/>
        </w:rPr>
        <w:t xml:space="preserve">, en Europa en 2015 se creó el centro regional </w:t>
      </w:r>
      <w:proofErr w:type="spellStart"/>
      <w:r w:rsidRPr="0051709F">
        <w:rPr>
          <w:rFonts w:cstheme="minorHAnsi"/>
          <w:color w:val="333333"/>
          <w:shd w:val="clear" w:color="auto" w:fill="FFFFFF"/>
        </w:rPr>
        <w:t>European</w:t>
      </w:r>
      <w:proofErr w:type="spellEnd"/>
      <w:r w:rsidRPr="0051709F">
        <w:rPr>
          <w:rFonts w:cstheme="minorHAnsi"/>
          <w:color w:val="333333"/>
          <w:shd w:val="clear" w:color="auto" w:fill="FFFFFF"/>
        </w:rPr>
        <w:t xml:space="preserve"> </w:t>
      </w:r>
      <w:proofErr w:type="spellStart"/>
      <w:r w:rsidRPr="0051709F">
        <w:rPr>
          <w:rFonts w:cstheme="minorHAnsi"/>
          <w:color w:val="333333"/>
          <w:shd w:val="clear" w:color="auto" w:fill="FFFFFF"/>
        </w:rPr>
        <w:t>Initiative</w:t>
      </w:r>
      <w:proofErr w:type="spellEnd"/>
      <w:r w:rsidRPr="0051709F">
        <w:rPr>
          <w:rFonts w:cstheme="minorHAnsi"/>
          <w:color w:val="333333"/>
          <w:shd w:val="clear" w:color="auto" w:fill="FFFFFF"/>
        </w:rPr>
        <w:t xml:space="preserve"> </w:t>
      </w:r>
      <w:proofErr w:type="spellStart"/>
      <w:r w:rsidRPr="0051709F">
        <w:rPr>
          <w:rFonts w:cstheme="minorHAnsi"/>
          <w:color w:val="333333"/>
          <w:shd w:val="clear" w:color="auto" w:fill="FFFFFF"/>
        </w:rPr>
        <w:t>of</w:t>
      </w:r>
      <w:proofErr w:type="spellEnd"/>
      <w:r w:rsidRPr="0051709F">
        <w:rPr>
          <w:rFonts w:cstheme="minorHAnsi"/>
          <w:color w:val="333333"/>
          <w:shd w:val="clear" w:color="auto" w:fill="FFFFFF"/>
        </w:rPr>
        <w:t xml:space="preserve"> </w:t>
      </w:r>
      <w:proofErr w:type="spellStart"/>
      <w:r w:rsidRPr="0051709F">
        <w:rPr>
          <w:rFonts w:cstheme="minorHAnsi"/>
          <w:color w:val="333333"/>
          <w:shd w:val="clear" w:color="auto" w:fill="FFFFFF"/>
        </w:rPr>
        <w:t>Excercise</w:t>
      </w:r>
      <w:proofErr w:type="spellEnd"/>
      <w:r w:rsidRPr="0051709F">
        <w:rPr>
          <w:rFonts w:cstheme="minorHAnsi"/>
          <w:color w:val="333333"/>
          <w:shd w:val="clear" w:color="auto" w:fill="FFFFFF"/>
        </w:rPr>
        <w:t xml:space="preserve"> </w:t>
      </w:r>
      <w:proofErr w:type="spellStart"/>
      <w:r w:rsidRPr="0051709F">
        <w:rPr>
          <w:rFonts w:cstheme="minorHAnsi"/>
          <w:color w:val="333333"/>
          <w:shd w:val="clear" w:color="auto" w:fill="FFFFFF"/>
        </w:rPr>
        <w:t>is</w:t>
      </w:r>
      <w:proofErr w:type="spellEnd"/>
      <w:r w:rsidRPr="0051709F">
        <w:rPr>
          <w:rFonts w:cstheme="minorHAnsi"/>
          <w:color w:val="333333"/>
          <w:shd w:val="clear" w:color="auto" w:fill="FFFFFF"/>
        </w:rPr>
        <w:t xml:space="preserve"> Medicine (EIEIM), que ha sido uno de los impulsores de la Declaración de Hamburgo</w:t>
      </w:r>
      <w:r w:rsidR="00F26EE6">
        <w:rPr>
          <w:rFonts w:cstheme="minorHAnsi"/>
          <w:color w:val="333333"/>
          <w:shd w:val="clear" w:color="auto" w:fill="FFFFFF"/>
        </w:rPr>
        <w:t xml:space="preserve"> de</w:t>
      </w:r>
      <w:r w:rsidRPr="0051709F">
        <w:rPr>
          <w:rFonts w:cstheme="minorHAnsi"/>
          <w:color w:val="333333"/>
          <w:shd w:val="clear" w:color="auto" w:fill="FFFFFF"/>
        </w:rPr>
        <w:t xml:space="preserve"> 2021</w:t>
      </w:r>
      <w:r w:rsidRPr="0051709F">
        <w:rPr>
          <w:rFonts w:cstheme="minorHAnsi"/>
        </w:rPr>
        <w:t xml:space="preserve"> (</w:t>
      </w:r>
      <w:hyperlink r:id="rId42" w:history="1">
        <w:r w:rsidRPr="0051709F">
          <w:rPr>
            <w:rStyle w:val="Hipervnculo"/>
            <w:rFonts w:cstheme="minorHAnsi"/>
            <w:shd w:val="clear" w:color="auto" w:fill="FFFFFF"/>
          </w:rPr>
          <w:t>https://www.exerciseismedicine.eu/hamburg-declaration/global-alliance-for-promotion-of-physical-activity.html</w:t>
        </w:r>
      </w:hyperlink>
      <w:r w:rsidRPr="0051709F">
        <w:rPr>
          <w:rFonts w:cstheme="minorHAnsi"/>
          <w:color w:val="333333"/>
          <w:shd w:val="clear" w:color="auto" w:fill="FFFFFF"/>
        </w:rPr>
        <w:t xml:space="preserve">), que cuenta con el apoyo de más de 100 organizaciones relacionadas con la salud y el ejercicio, entre ellos, </w:t>
      </w:r>
      <w:r w:rsidRPr="007B667D">
        <w:rPr>
          <w:rFonts w:cstheme="minorHAnsi"/>
          <w:i/>
          <w:iCs/>
          <w:color w:val="333333"/>
          <w:shd w:val="clear" w:color="auto" w:fill="FFFFFF"/>
        </w:rPr>
        <w:t xml:space="preserve">EIM </w:t>
      </w:r>
      <w:proofErr w:type="spellStart"/>
      <w:r w:rsidRPr="007B667D">
        <w:rPr>
          <w:rFonts w:cstheme="minorHAnsi"/>
          <w:i/>
          <w:iCs/>
          <w:color w:val="333333"/>
          <w:shd w:val="clear" w:color="auto" w:fill="FFFFFF"/>
        </w:rPr>
        <w:t>Spain</w:t>
      </w:r>
      <w:proofErr w:type="spellEnd"/>
      <w:r w:rsidRPr="0051709F">
        <w:rPr>
          <w:rFonts w:cstheme="minorHAnsi"/>
          <w:color w:val="333333"/>
          <w:shd w:val="clear" w:color="auto" w:fill="FFFFFF"/>
        </w:rPr>
        <w:t>. La Declaración de Hamburgo hace hincapié en que los planes para combatir el sedentarismo y fomentar la actividad física no han sido efectivos en la mayoría de los países en los que se han desarrollado y que es necesario introducir cambios en los modelos para que las iniciativas sean eficaces. De ahí que sea fundamental que las propuestas y programas de promoción de la salud y de tratamiento de las NCD se investiguen previamente</w:t>
      </w:r>
      <w:r w:rsidR="00F26EE6">
        <w:rPr>
          <w:rFonts w:cstheme="minorHAnsi"/>
          <w:color w:val="333333"/>
          <w:shd w:val="clear" w:color="auto" w:fill="FFFFFF"/>
        </w:rPr>
        <w:t>,</w:t>
      </w:r>
      <w:r w:rsidRPr="0051709F">
        <w:rPr>
          <w:rFonts w:cstheme="minorHAnsi"/>
          <w:color w:val="333333"/>
          <w:shd w:val="clear" w:color="auto" w:fill="FFFFFF"/>
        </w:rPr>
        <w:t xml:space="preserve"> aplicando el método científico</w:t>
      </w:r>
      <w:r w:rsidR="00F26EE6">
        <w:rPr>
          <w:rFonts w:cstheme="minorHAnsi"/>
          <w:color w:val="333333"/>
          <w:shd w:val="clear" w:color="auto" w:fill="FFFFFF"/>
        </w:rPr>
        <w:t xml:space="preserve"> y</w:t>
      </w:r>
      <w:r w:rsidRPr="0051709F">
        <w:rPr>
          <w:rFonts w:cstheme="minorHAnsi"/>
          <w:color w:val="333333"/>
          <w:shd w:val="clear" w:color="auto" w:fill="FFFFFF"/>
        </w:rPr>
        <w:t xml:space="preserve"> considerando todos los aspectos, incluidos los motivacionales</w:t>
      </w:r>
      <w:r w:rsidR="00F26EE6">
        <w:rPr>
          <w:rFonts w:cstheme="minorHAnsi"/>
          <w:color w:val="333333"/>
          <w:shd w:val="clear" w:color="auto" w:fill="FFFFFF"/>
        </w:rPr>
        <w:t xml:space="preserve"> y</w:t>
      </w:r>
      <w:r w:rsidRPr="0051709F">
        <w:rPr>
          <w:rFonts w:cstheme="minorHAnsi"/>
          <w:color w:val="333333"/>
          <w:shd w:val="clear" w:color="auto" w:fill="FFFFFF"/>
        </w:rPr>
        <w:t xml:space="preserve"> de adherencia, </w:t>
      </w:r>
      <w:r w:rsidR="00F26EE6">
        <w:rPr>
          <w:rFonts w:cstheme="minorHAnsi"/>
          <w:color w:val="333333"/>
          <w:shd w:val="clear" w:color="auto" w:fill="FFFFFF"/>
        </w:rPr>
        <w:t>entre otros.</w:t>
      </w:r>
    </w:p>
    <w:p w14:paraId="66507B1C" w14:textId="77777777" w:rsidR="00D3447C" w:rsidRPr="0051709F" w:rsidRDefault="00D3447C" w:rsidP="009B1F89">
      <w:pPr>
        <w:jc w:val="both"/>
        <w:rPr>
          <w:rFonts w:cstheme="minorHAnsi"/>
          <w:color w:val="333333"/>
          <w:shd w:val="clear" w:color="auto" w:fill="FFFFFF"/>
        </w:rPr>
      </w:pPr>
    </w:p>
    <w:p w14:paraId="79E7D2E4" w14:textId="13306C68" w:rsidR="00403C72" w:rsidRPr="0051709F" w:rsidRDefault="00403C72" w:rsidP="009B1F89">
      <w:pPr>
        <w:jc w:val="both"/>
        <w:rPr>
          <w:rFonts w:cstheme="minorHAnsi"/>
          <w:color w:val="333333"/>
          <w:shd w:val="clear" w:color="auto" w:fill="FFFFFF"/>
        </w:rPr>
      </w:pPr>
      <w:r w:rsidRPr="0051709F">
        <w:rPr>
          <w:rFonts w:cstheme="minorHAnsi"/>
          <w:color w:val="333333"/>
          <w:shd w:val="clear" w:color="auto" w:fill="FFFFFF"/>
        </w:rPr>
        <w:t xml:space="preserve">La viabilidad de implantar el modelo de EIM en </w:t>
      </w:r>
      <w:r w:rsidR="00F26EE6">
        <w:rPr>
          <w:rFonts w:cstheme="minorHAnsi"/>
          <w:color w:val="333333"/>
          <w:shd w:val="clear" w:color="auto" w:fill="FFFFFF"/>
        </w:rPr>
        <w:t>la Atención Primaria (AP)</w:t>
      </w:r>
      <w:r w:rsidR="00F26EE6" w:rsidRPr="0051709F">
        <w:rPr>
          <w:rFonts w:cstheme="minorHAnsi"/>
          <w:color w:val="333333"/>
          <w:shd w:val="clear" w:color="auto" w:fill="FFFFFF"/>
        </w:rPr>
        <w:t xml:space="preserve"> </w:t>
      </w:r>
      <w:r w:rsidRPr="0051709F">
        <w:rPr>
          <w:rFonts w:cstheme="minorHAnsi"/>
          <w:color w:val="333333"/>
          <w:shd w:val="clear" w:color="auto" w:fill="FFFFFF"/>
        </w:rPr>
        <w:t xml:space="preserve">en España fue investigada por el Dr. Sergio Calonge en su tesis doctoral titulada </w:t>
      </w:r>
      <w:r w:rsidRPr="007B667D">
        <w:rPr>
          <w:rFonts w:cstheme="minorHAnsi"/>
          <w:i/>
          <w:iCs/>
          <w:color w:val="333333"/>
          <w:shd w:val="clear" w:color="auto" w:fill="FFFFFF"/>
        </w:rPr>
        <w:t>“</w:t>
      </w:r>
      <w:proofErr w:type="spellStart"/>
      <w:r w:rsidRPr="007B667D">
        <w:rPr>
          <w:rFonts w:cstheme="minorHAnsi"/>
          <w:i/>
          <w:iCs/>
          <w:color w:val="333333"/>
          <w:shd w:val="clear" w:color="auto" w:fill="FFFFFF"/>
        </w:rPr>
        <w:t>Context</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analysis</w:t>
      </w:r>
      <w:proofErr w:type="spellEnd"/>
      <w:r w:rsidRPr="007B667D">
        <w:rPr>
          <w:rFonts w:cstheme="minorHAnsi"/>
          <w:i/>
          <w:iCs/>
          <w:color w:val="333333"/>
          <w:shd w:val="clear" w:color="auto" w:fill="FFFFFF"/>
        </w:rPr>
        <w:t xml:space="preserve"> in </w:t>
      </w:r>
      <w:proofErr w:type="spellStart"/>
      <w:r w:rsidRPr="007B667D">
        <w:rPr>
          <w:rFonts w:cstheme="minorHAnsi"/>
          <w:i/>
          <w:iCs/>
          <w:color w:val="333333"/>
          <w:shd w:val="clear" w:color="auto" w:fill="FFFFFF"/>
        </w:rPr>
        <w:t>the</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development</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for</w:t>
      </w:r>
      <w:proofErr w:type="spellEnd"/>
      <w:r w:rsidRPr="007B667D">
        <w:rPr>
          <w:rFonts w:cstheme="minorHAnsi"/>
          <w:i/>
          <w:iCs/>
          <w:color w:val="333333"/>
          <w:shd w:val="clear" w:color="auto" w:fill="FFFFFF"/>
        </w:rPr>
        <w:t xml:space="preserve"> future </w:t>
      </w:r>
      <w:proofErr w:type="spellStart"/>
      <w:r w:rsidRPr="007B667D">
        <w:rPr>
          <w:rFonts w:cstheme="minorHAnsi"/>
          <w:i/>
          <w:iCs/>
          <w:color w:val="333333"/>
          <w:shd w:val="clear" w:color="auto" w:fill="FFFFFF"/>
        </w:rPr>
        <w:t>implementation</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of</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Exercise</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is</w:t>
      </w:r>
      <w:proofErr w:type="spellEnd"/>
      <w:r w:rsidRPr="007B667D">
        <w:rPr>
          <w:rFonts w:cstheme="minorHAnsi"/>
          <w:i/>
          <w:iCs/>
          <w:color w:val="333333"/>
          <w:shd w:val="clear" w:color="auto" w:fill="FFFFFF"/>
        </w:rPr>
        <w:t xml:space="preserve"> Medicine® </w:t>
      </w:r>
      <w:proofErr w:type="spellStart"/>
      <w:r w:rsidRPr="007B667D">
        <w:rPr>
          <w:rFonts w:cstheme="minorHAnsi"/>
          <w:i/>
          <w:iCs/>
          <w:color w:val="333333"/>
          <w:shd w:val="clear" w:color="auto" w:fill="FFFFFF"/>
        </w:rPr>
        <w:t>initiative</w:t>
      </w:r>
      <w:proofErr w:type="spellEnd"/>
      <w:r w:rsidRPr="007B667D">
        <w:rPr>
          <w:rFonts w:cstheme="minorHAnsi"/>
          <w:i/>
          <w:iCs/>
          <w:color w:val="333333"/>
          <w:shd w:val="clear" w:color="auto" w:fill="FFFFFF"/>
        </w:rPr>
        <w:t xml:space="preserve"> as </w:t>
      </w:r>
      <w:proofErr w:type="spellStart"/>
      <w:r w:rsidRPr="007B667D">
        <w:rPr>
          <w:rFonts w:cstheme="minorHAnsi"/>
          <w:i/>
          <w:iCs/>
          <w:color w:val="333333"/>
          <w:shd w:val="clear" w:color="auto" w:fill="FFFFFF"/>
        </w:rPr>
        <w:t>prevention</w:t>
      </w:r>
      <w:proofErr w:type="spellEnd"/>
      <w:r w:rsidRPr="007B667D">
        <w:rPr>
          <w:rFonts w:cstheme="minorHAnsi"/>
          <w:i/>
          <w:iCs/>
          <w:color w:val="333333"/>
          <w:shd w:val="clear" w:color="auto" w:fill="FFFFFF"/>
        </w:rPr>
        <w:t xml:space="preserve"> and </w:t>
      </w:r>
      <w:proofErr w:type="spellStart"/>
      <w:r w:rsidRPr="007B667D">
        <w:rPr>
          <w:rFonts w:cstheme="minorHAnsi"/>
          <w:i/>
          <w:iCs/>
          <w:color w:val="333333"/>
          <w:shd w:val="clear" w:color="auto" w:fill="FFFFFF"/>
        </w:rPr>
        <w:t>treatment</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resource</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for</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chronic</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diseases</w:t>
      </w:r>
      <w:proofErr w:type="spellEnd"/>
      <w:r w:rsidRPr="007B667D">
        <w:rPr>
          <w:rFonts w:cstheme="minorHAnsi"/>
          <w:i/>
          <w:iCs/>
          <w:color w:val="333333"/>
          <w:shd w:val="clear" w:color="auto" w:fill="FFFFFF"/>
        </w:rPr>
        <w:t xml:space="preserve"> at </w:t>
      </w:r>
      <w:proofErr w:type="spellStart"/>
      <w:r w:rsidRPr="007B667D">
        <w:rPr>
          <w:rFonts w:cstheme="minorHAnsi"/>
          <w:i/>
          <w:iCs/>
          <w:color w:val="333333"/>
          <w:shd w:val="clear" w:color="auto" w:fill="FFFFFF"/>
        </w:rPr>
        <w:t>Primary</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Healthcare</w:t>
      </w:r>
      <w:proofErr w:type="spellEnd"/>
      <w:r w:rsidRPr="007B667D">
        <w:rPr>
          <w:rFonts w:cstheme="minorHAnsi"/>
          <w:i/>
          <w:iCs/>
          <w:color w:val="333333"/>
          <w:shd w:val="clear" w:color="auto" w:fill="FFFFFF"/>
        </w:rPr>
        <w:t xml:space="preserve"> </w:t>
      </w:r>
      <w:proofErr w:type="spellStart"/>
      <w:r w:rsidRPr="007B667D">
        <w:rPr>
          <w:rFonts w:cstheme="minorHAnsi"/>
          <w:i/>
          <w:iCs/>
          <w:color w:val="333333"/>
          <w:shd w:val="clear" w:color="auto" w:fill="FFFFFF"/>
        </w:rPr>
        <w:t>settings</w:t>
      </w:r>
      <w:proofErr w:type="spellEnd"/>
      <w:r w:rsidRPr="007B667D">
        <w:rPr>
          <w:rFonts w:cstheme="minorHAnsi"/>
          <w:i/>
          <w:iCs/>
          <w:color w:val="333333"/>
          <w:shd w:val="clear" w:color="auto" w:fill="FFFFFF"/>
        </w:rPr>
        <w:t>”</w:t>
      </w:r>
      <w:r w:rsidRPr="0051709F">
        <w:rPr>
          <w:rFonts w:cstheme="minorHAnsi"/>
          <w:color w:val="333333"/>
          <w:shd w:val="clear" w:color="auto" w:fill="FFFFFF"/>
        </w:rPr>
        <w:t xml:space="preserve"> defendida en la Universidad Politécnica de Madrid en 2019, dirigida por los </w:t>
      </w:r>
      <w:proofErr w:type="spellStart"/>
      <w:r w:rsidRPr="0051709F">
        <w:rPr>
          <w:rFonts w:cstheme="minorHAnsi"/>
          <w:color w:val="333333"/>
          <w:shd w:val="clear" w:color="auto" w:fill="FFFFFF"/>
        </w:rPr>
        <w:t>Drs</w:t>
      </w:r>
      <w:proofErr w:type="spellEnd"/>
      <w:r w:rsidRPr="0051709F">
        <w:rPr>
          <w:rFonts w:cstheme="minorHAnsi"/>
          <w:color w:val="333333"/>
          <w:shd w:val="clear" w:color="auto" w:fill="FFFFFF"/>
        </w:rPr>
        <w:t xml:space="preserve">. Marcela González-Gross y </w:t>
      </w:r>
      <w:r w:rsidR="00F26EE6" w:rsidRPr="0051709F">
        <w:rPr>
          <w:rFonts w:cstheme="minorHAnsi"/>
          <w:color w:val="333333"/>
          <w:shd w:val="clear" w:color="auto" w:fill="FFFFFF"/>
        </w:rPr>
        <w:t>José</w:t>
      </w:r>
      <w:r w:rsidRPr="0051709F">
        <w:rPr>
          <w:rFonts w:cstheme="minorHAnsi"/>
          <w:color w:val="333333"/>
          <w:shd w:val="clear" w:color="auto" w:fill="FFFFFF"/>
        </w:rPr>
        <w:t xml:space="preserve"> Antonio </w:t>
      </w:r>
      <w:proofErr w:type="spellStart"/>
      <w:r w:rsidRPr="0051709F">
        <w:rPr>
          <w:rFonts w:cstheme="minorHAnsi"/>
          <w:color w:val="333333"/>
          <w:shd w:val="clear" w:color="auto" w:fill="FFFFFF"/>
        </w:rPr>
        <w:t>Casajús</w:t>
      </w:r>
      <w:proofErr w:type="spellEnd"/>
      <w:r w:rsidRPr="0051709F">
        <w:rPr>
          <w:rFonts w:cstheme="minorHAnsi"/>
          <w:color w:val="333333"/>
          <w:shd w:val="clear" w:color="auto" w:fill="FFFFFF"/>
        </w:rPr>
        <w:t xml:space="preserve">. </w:t>
      </w:r>
    </w:p>
    <w:p w14:paraId="0172C0D0" w14:textId="77777777" w:rsidR="00D3447C" w:rsidRPr="0051709F" w:rsidRDefault="00D3447C" w:rsidP="009B1F89">
      <w:pPr>
        <w:jc w:val="both"/>
        <w:rPr>
          <w:rFonts w:cstheme="minorHAnsi"/>
          <w:color w:val="333333"/>
          <w:shd w:val="clear" w:color="auto" w:fill="FFFFFF"/>
        </w:rPr>
      </w:pPr>
    </w:p>
    <w:p w14:paraId="4D925FC0" w14:textId="6D050B25" w:rsidR="00403C72" w:rsidRPr="0051709F" w:rsidRDefault="00403C72" w:rsidP="009B1F89">
      <w:pPr>
        <w:jc w:val="both"/>
        <w:rPr>
          <w:rFonts w:eastAsia="Calibri" w:cstheme="minorHAnsi"/>
          <w:color w:val="333333"/>
        </w:rPr>
      </w:pPr>
      <w:r w:rsidRPr="0051709F">
        <w:rPr>
          <w:rFonts w:eastAsia="Calibri" w:cstheme="minorHAnsi"/>
          <w:color w:val="333333"/>
        </w:rPr>
        <w:t xml:space="preserve">En esta investigación participaron 319 médicos y 285 enfermeras de AP de la Comunidad de Madrid. Más </w:t>
      </w:r>
      <w:r w:rsidRPr="005F0E6D">
        <w:rPr>
          <w:rFonts w:eastAsia="Calibri" w:cstheme="minorHAnsi"/>
        </w:rPr>
        <w:t xml:space="preserve">del 99% reconocieron los beneficios de la </w:t>
      </w:r>
      <w:r w:rsidR="00F26EE6" w:rsidRPr="005F0E6D">
        <w:rPr>
          <w:rFonts w:eastAsia="Calibri" w:cstheme="minorHAnsi"/>
        </w:rPr>
        <w:t xml:space="preserve">actividad física (AF) </w:t>
      </w:r>
      <w:r w:rsidRPr="005F0E6D">
        <w:rPr>
          <w:rFonts w:eastAsia="Calibri" w:cstheme="minorHAnsi"/>
        </w:rPr>
        <w:t>y el ejercicio, aunque sólo el 63</w:t>
      </w:r>
      <w:r w:rsidR="00BF01E7" w:rsidRPr="005F0E6D">
        <w:rPr>
          <w:rFonts w:eastAsia="Calibri" w:cstheme="minorHAnsi"/>
        </w:rPr>
        <w:t xml:space="preserve">% en el caso de la actividad física, y el </w:t>
      </w:r>
      <w:r w:rsidRPr="005F0E6D">
        <w:rPr>
          <w:rFonts w:eastAsia="Calibri" w:cstheme="minorHAnsi"/>
        </w:rPr>
        <w:t>75,7%</w:t>
      </w:r>
      <w:r w:rsidR="00BF01E7" w:rsidRPr="005F0E6D">
        <w:rPr>
          <w:rFonts w:eastAsia="Calibri" w:cstheme="minorHAnsi"/>
        </w:rPr>
        <w:t xml:space="preserve"> en el caso del ejercicio</w:t>
      </w:r>
      <w:r w:rsidRPr="005F0E6D">
        <w:rPr>
          <w:rFonts w:eastAsia="Calibri" w:cstheme="minorHAnsi"/>
        </w:rPr>
        <w:t xml:space="preserve"> lo consideraron beneficioso para adultos. El 14,</w:t>
      </w:r>
      <w:r w:rsidRPr="0051709F">
        <w:rPr>
          <w:rFonts w:eastAsia="Calibri" w:cstheme="minorHAnsi"/>
          <w:color w:val="333333"/>
        </w:rPr>
        <w:t xml:space="preserve">7% de los médicos y el 75,7% de las enfermeras conocía las recomendaciones actuales de la </w:t>
      </w:r>
      <w:r w:rsidR="006D4843" w:rsidRPr="006D4843">
        <w:rPr>
          <w:rStyle w:val="rynqvb"/>
          <w:rFonts w:cstheme="minorHAnsi"/>
        </w:rPr>
        <w:t xml:space="preserve">Organización Mundial de la Salud </w:t>
      </w:r>
      <w:r w:rsidR="00BF01E7" w:rsidRPr="0051709F">
        <w:rPr>
          <w:rFonts w:eastAsia="Calibri" w:cstheme="minorHAnsi"/>
          <w:color w:val="333333"/>
        </w:rPr>
        <w:t>en relación con</w:t>
      </w:r>
      <w:r w:rsidRPr="0051709F">
        <w:rPr>
          <w:rFonts w:eastAsia="Calibri" w:cstheme="minorHAnsi"/>
          <w:color w:val="333333"/>
        </w:rPr>
        <w:t xml:space="preserve"> la AF. Ambos grupos de profesionales indicaron sentirse más seguros y tener conocimiento para promocionar la AF (70,85%) que para prescribir ejercicio físico (39,8%). De hecho, el 57,6% nunca había realizado un curso relacionado con la promoción de </w:t>
      </w:r>
      <w:r w:rsidR="00F26EE6">
        <w:rPr>
          <w:rFonts w:eastAsia="Calibri" w:cstheme="minorHAnsi"/>
          <w:color w:val="333333"/>
        </w:rPr>
        <w:t xml:space="preserve">la </w:t>
      </w:r>
      <w:r w:rsidRPr="0051709F">
        <w:rPr>
          <w:rFonts w:eastAsia="Calibri" w:cstheme="minorHAnsi"/>
          <w:color w:val="333333"/>
        </w:rPr>
        <w:t xml:space="preserve">AF y el 70,4% </w:t>
      </w:r>
      <w:r w:rsidR="00F26EE6">
        <w:rPr>
          <w:rFonts w:eastAsia="Calibri" w:cstheme="minorHAnsi"/>
          <w:color w:val="333333"/>
        </w:rPr>
        <w:t xml:space="preserve">reconocía no haber recibido formación sobre </w:t>
      </w:r>
      <w:r w:rsidRPr="0051709F">
        <w:rPr>
          <w:rFonts w:eastAsia="Calibri" w:cstheme="minorHAnsi"/>
          <w:color w:val="333333"/>
        </w:rPr>
        <w:t xml:space="preserve">la prescripción de ejercicio. Ambos colectivos se mostraron predispuestos a incluir la AF en </w:t>
      </w:r>
      <w:r w:rsidR="004C3BD7">
        <w:rPr>
          <w:rFonts w:eastAsia="Calibri" w:cstheme="minorHAnsi"/>
          <w:color w:val="333333"/>
        </w:rPr>
        <w:t>la atención primaria</w:t>
      </w:r>
      <w:r w:rsidRPr="0051709F">
        <w:rPr>
          <w:rFonts w:eastAsia="Calibri" w:cstheme="minorHAnsi"/>
          <w:color w:val="333333"/>
        </w:rPr>
        <w:t>, y a colaborar con otros profesionales para cumplir con el objetivo (Calonge-Pascual, 2019).</w:t>
      </w:r>
    </w:p>
    <w:p w14:paraId="1602AA8E" w14:textId="77777777" w:rsidR="00D3447C" w:rsidRPr="0051709F" w:rsidRDefault="00D3447C" w:rsidP="009B1F89">
      <w:pPr>
        <w:jc w:val="both"/>
        <w:rPr>
          <w:rFonts w:eastAsia="Calibri" w:cstheme="minorHAnsi"/>
          <w:color w:val="333333"/>
        </w:rPr>
      </w:pPr>
    </w:p>
    <w:p w14:paraId="03702A63" w14:textId="2132E8A4" w:rsidR="00403C72" w:rsidRPr="0051709F" w:rsidRDefault="004C3BD7" w:rsidP="009B1F89">
      <w:pPr>
        <w:jc w:val="both"/>
        <w:rPr>
          <w:rFonts w:eastAsia="Calibri" w:cstheme="minorHAnsi"/>
          <w:color w:val="333333"/>
        </w:rPr>
      </w:pPr>
      <w:r w:rsidRPr="0051709F">
        <w:rPr>
          <w:rFonts w:eastAsia="Calibri" w:cstheme="minorHAnsi"/>
          <w:color w:val="333333"/>
        </w:rPr>
        <w:t>Con relación a</w:t>
      </w:r>
      <w:r w:rsidR="00403C72" w:rsidRPr="0051709F">
        <w:rPr>
          <w:rFonts w:eastAsia="Calibri" w:cstheme="minorHAnsi"/>
          <w:color w:val="333333"/>
        </w:rPr>
        <w:t xml:space="preserve"> las barreras</w:t>
      </w:r>
      <w:r>
        <w:rPr>
          <w:rFonts w:eastAsia="Calibri" w:cstheme="minorHAnsi"/>
          <w:color w:val="333333"/>
        </w:rPr>
        <w:t xml:space="preserve"> encontradas por el personal sanitario que participó del estudio</w:t>
      </w:r>
      <w:r w:rsidR="00403C72" w:rsidRPr="0051709F">
        <w:rPr>
          <w:rFonts w:eastAsia="Calibri" w:cstheme="minorHAnsi"/>
          <w:color w:val="333333"/>
        </w:rPr>
        <w:t>, la mayoría indicaron la falta de tiempo en consulta, la falta de un espacio específico para realizar mediciones adicionales, la falta de consciencia tanto por parte del paciente como del profesional sanitario de los beneficios de la AF</w:t>
      </w:r>
      <w:r>
        <w:rPr>
          <w:rFonts w:eastAsia="Calibri" w:cstheme="minorHAnsi"/>
          <w:color w:val="333333"/>
        </w:rPr>
        <w:t>,</w:t>
      </w:r>
      <w:r w:rsidR="00403C72" w:rsidRPr="0051709F">
        <w:rPr>
          <w:rFonts w:eastAsia="Calibri" w:cstheme="minorHAnsi"/>
          <w:color w:val="333333"/>
        </w:rPr>
        <w:t xml:space="preserve"> y la falta de recursos materiales y económicos como las principales para poder implantar el modelo EIM. Otra de las barreras identificadas fue la falta de colaboración con recursos externos, como polideportivos municipales o centros deportivos (Calonge-Pascual, 2019).</w:t>
      </w:r>
    </w:p>
    <w:p w14:paraId="15E88012" w14:textId="77777777" w:rsidR="00D3447C" w:rsidRPr="0051709F" w:rsidRDefault="00D3447C" w:rsidP="009B1F89">
      <w:pPr>
        <w:jc w:val="both"/>
        <w:rPr>
          <w:rFonts w:eastAsia="Calibri" w:cstheme="minorHAnsi"/>
          <w:color w:val="333333"/>
        </w:rPr>
      </w:pPr>
    </w:p>
    <w:p w14:paraId="0116BF15" w14:textId="77777777" w:rsidR="00403C72" w:rsidRPr="0051709F" w:rsidRDefault="00403C72" w:rsidP="009B1F89">
      <w:pPr>
        <w:jc w:val="both"/>
        <w:rPr>
          <w:rFonts w:cstheme="minorHAnsi"/>
          <w:color w:val="333333"/>
        </w:rPr>
      </w:pPr>
      <w:r w:rsidRPr="0051709F">
        <w:rPr>
          <w:rFonts w:cstheme="minorHAnsi"/>
          <w:color w:val="333333"/>
        </w:rPr>
        <w:lastRenderedPageBreak/>
        <w:t>La mayoría de los datos concuerdan con otras investigaciones realizadas en otros países y se observa una problemática parecida (Lion et al, 2018).</w:t>
      </w:r>
    </w:p>
    <w:p w14:paraId="15541C6B" w14:textId="77777777" w:rsidR="00D3447C" w:rsidRPr="0051709F" w:rsidRDefault="00D3447C" w:rsidP="009B1F89">
      <w:pPr>
        <w:jc w:val="both"/>
        <w:rPr>
          <w:rFonts w:cstheme="minorHAnsi"/>
          <w:color w:val="333333"/>
          <w:shd w:val="clear" w:color="auto" w:fill="FFFFFF"/>
        </w:rPr>
      </w:pPr>
    </w:p>
    <w:p w14:paraId="17695364" w14:textId="46B594CD" w:rsidR="00F02618" w:rsidRPr="0051709F" w:rsidRDefault="002A2752" w:rsidP="00F02618">
      <w:pPr>
        <w:jc w:val="both"/>
        <w:rPr>
          <w:rFonts w:eastAsia="Calibri" w:cstheme="minorHAnsi"/>
        </w:rPr>
      </w:pPr>
      <w:r w:rsidRPr="002A2752">
        <w:rPr>
          <w:rFonts w:cstheme="minorHAnsi"/>
          <w:color w:val="000000" w:themeColor="text1"/>
        </w:rPr>
        <w:t>En relación con el</w:t>
      </w:r>
      <w:r w:rsidR="00F02618" w:rsidRPr="002A2752">
        <w:rPr>
          <w:rFonts w:cstheme="minorHAnsi"/>
          <w:color w:val="000000" w:themeColor="text1"/>
        </w:rPr>
        <w:t xml:space="preserve"> cuestionario utilizado en la actualidad en AP para valorar la </w:t>
      </w:r>
      <w:r w:rsidR="004F0C0E" w:rsidRPr="002A2752">
        <w:rPr>
          <w:rFonts w:cstheme="minorHAnsi"/>
          <w:color w:val="000000" w:themeColor="text1"/>
        </w:rPr>
        <w:t xml:space="preserve">actividad física </w:t>
      </w:r>
      <w:r w:rsidR="00F02618" w:rsidRPr="002A2752">
        <w:rPr>
          <w:rFonts w:cstheme="minorHAnsi"/>
          <w:color w:val="000000" w:themeColor="text1"/>
        </w:rPr>
        <w:t xml:space="preserve">practicada por los pacientes, tanto los profesionales como </w:t>
      </w:r>
      <w:r w:rsidR="004F0C0E" w:rsidRPr="002A2752">
        <w:rPr>
          <w:rFonts w:cstheme="minorHAnsi"/>
          <w:color w:val="000000" w:themeColor="text1"/>
        </w:rPr>
        <w:t xml:space="preserve">los </w:t>
      </w:r>
      <w:r w:rsidR="00F02618" w:rsidRPr="002A2752">
        <w:rPr>
          <w:rFonts w:cstheme="minorHAnsi"/>
          <w:color w:val="000000" w:themeColor="text1"/>
        </w:rPr>
        <w:t xml:space="preserve">estudios publicados en la literatura cuestionan su validez (Puig-Rivera y col, 2015). Asimismo, el cuestionario breve propuesto por EIM </w:t>
      </w:r>
      <w:r w:rsidR="00F02618" w:rsidRPr="0051709F">
        <w:rPr>
          <w:rFonts w:cstheme="minorHAnsi"/>
          <w:color w:val="333333"/>
        </w:rPr>
        <w:t>(</w:t>
      </w:r>
      <w:proofErr w:type="spellStart"/>
      <w:r w:rsidR="00F02618" w:rsidRPr="0051709F">
        <w:rPr>
          <w:rFonts w:eastAsia="Calibri" w:cstheme="minorHAnsi"/>
        </w:rPr>
        <w:t>Physical</w:t>
      </w:r>
      <w:proofErr w:type="spellEnd"/>
      <w:r w:rsidR="00F02618" w:rsidRPr="0051709F">
        <w:rPr>
          <w:rFonts w:eastAsia="Calibri" w:cstheme="minorHAnsi"/>
        </w:rPr>
        <w:t xml:space="preserve"> </w:t>
      </w:r>
      <w:proofErr w:type="spellStart"/>
      <w:r w:rsidR="00F02618" w:rsidRPr="0051709F">
        <w:rPr>
          <w:rFonts w:eastAsia="Calibri" w:cstheme="minorHAnsi"/>
        </w:rPr>
        <w:t>Activity</w:t>
      </w:r>
      <w:proofErr w:type="spellEnd"/>
      <w:r w:rsidR="00F02618" w:rsidRPr="0051709F">
        <w:rPr>
          <w:rFonts w:eastAsia="Calibri" w:cstheme="minorHAnsi"/>
        </w:rPr>
        <w:t xml:space="preserve"> Vital </w:t>
      </w:r>
      <w:proofErr w:type="spellStart"/>
      <w:r w:rsidR="00F02618" w:rsidRPr="0051709F">
        <w:rPr>
          <w:rFonts w:eastAsia="Calibri" w:cstheme="minorHAnsi"/>
        </w:rPr>
        <w:t>Sign</w:t>
      </w:r>
      <w:proofErr w:type="spellEnd"/>
      <w:r w:rsidR="00F02618" w:rsidRPr="0051709F">
        <w:rPr>
          <w:rFonts w:eastAsia="Calibri" w:cstheme="minorHAnsi"/>
        </w:rPr>
        <w:t>, PAVS) que incluye dos preguntas para identificar de forma rápida y breve los niveles de AF parece clasificar de forma errónea a los pacientes (Calonge-Pascual, 2019).</w:t>
      </w:r>
    </w:p>
    <w:p w14:paraId="74F766B1" w14:textId="77777777" w:rsidR="00D3447C" w:rsidRPr="0051709F" w:rsidRDefault="00D3447C" w:rsidP="009B1F89">
      <w:pPr>
        <w:jc w:val="both"/>
        <w:rPr>
          <w:rFonts w:eastAsia="Calibri" w:cstheme="minorHAnsi"/>
        </w:rPr>
      </w:pPr>
    </w:p>
    <w:p w14:paraId="5FC7A32A" w14:textId="331DE7FA" w:rsidR="00D3447C" w:rsidRPr="0051709F" w:rsidRDefault="00403C72" w:rsidP="009B1F89">
      <w:pPr>
        <w:jc w:val="both"/>
        <w:rPr>
          <w:rFonts w:cstheme="minorHAnsi"/>
          <w:color w:val="000000" w:themeColor="text1"/>
          <w:shd w:val="clear" w:color="auto" w:fill="FFFFFF"/>
        </w:rPr>
      </w:pPr>
      <w:r w:rsidRPr="0051709F">
        <w:rPr>
          <w:rFonts w:cstheme="minorHAnsi"/>
          <w:color w:val="000000" w:themeColor="text1"/>
          <w:shd w:val="clear" w:color="auto" w:fill="FFFFFF"/>
        </w:rPr>
        <w:t xml:space="preserve">El modelo de implementación del ejercicio terapéutico en hospitales no se ha analizado como tal en España. Sí se tienen datos de investigaciones científicas de los últimos 25 años </w:t>
      </w:r>
      <w:r w:rsidRPr="0051709F">
        <w:rPr>
          <w:rFonts w:cstheme="minorHAnsi"/>
          <w:color w:val="000000" w:themeColor="text1"/>
        </w:rPr>
        <w:t>que han evidenciado la eficacia del ejercicio como parte del tratamiento</w:t>
      </w:r>
      <w:r w:rsidRPr="0051709F">
        <w:rPr>
          <w:rFonts w:cstheme="minorHAnsi"/>
          <w:color w:val="000000" w:themeColor="text1"/>
          <w:shd w:val="clear" w:color="auto" w:fill="FFFFFF"/>
        </w:rPr>
        <w:t xml:space="preserve"> de las NCD y otras patologías tanto de forma ambulante en AP, gimnasios, polideportivos</w:t>
      </w:r>
      <w:r w:rsidR="004F0C0E">
        <w:rPr>
          <w:rFonts w:cstheme="minorHAnsi"/>
          <w:color w:val="000000" w:themeColor="text1"/>
          <w:shd w:val="clear" w:color="auto" w:fill="FFFFFF"/>
        </w:rPr>
        <w:t>,</w:t>
      </w:r>
      <w:r w:rsidRPr="0051709F">
        <w:rPr>
          <w:rFonts w:cstheme="minorHAnsi"/>
          <w:color w:val="000000" w:themeColor="text1"/>
          <w:shd w:val="clear" w:color="auto" w:fill="FFFFFF"/>
        </w:rPr>
        <w:t xml:space="preserve"> como en hospitales, debido a que es un área de investigación de alta relevancia en España. Muchas de ellas son lideradas por investigadores de la red EXERNET, red de investigación en ejercicio físico y salud formada por 27 grupos de investigación españoles (</w:t>
      </w:r>
      <w:hyperlink r:id="rId43" w:history="1">
        <w:r w:rsidR="00943E30" w:rsidRPr="0051709F">
          <w:rPr>
            <w:rStyle w:val="Hipervnculo"/>
            <w:rFonts w:cstheme="minorHAnsi"/>
          </w:rPr>
          <w:t>https://redexernet.com/</w:t>
        </w:r>
      </w:hyperlink>
      <w:r w:rsidRPr="0051709F">
        <w:rPr>
          <w:rFonts w:cstheme="minorHAnsi"/>
          <w:color w:val="000000" w:themeColor="text1"/>
        </w:rPr>
        <w:t>)</w:t>
      </w:r>
      <w:r w:rsidRPr="0051709F">
        <w:rPr>
          <w:rFonts w:cstheme="minorHAnsi"/>
          <w:color w:val="000000" w:themeColor="text1"/>
          <w:shd w:val="clear" w:color="auto" w:fill="FFFFFF"/>
        </w:rPr>
        <w:t xml:space="preserve">. </w:t>
      </w:r>
    </w:p>
    <w:p w14:paraId="014A86B3" w14:textId="77777777" w:rsidR="00D3447C" w:rsidRPr="0051709F" w:rsidRDefault="00D3447C" w:rsidP="009B1F89">
      <w:pPr>
        <w:jc w:val="both"/>
        <w:rPr>
          <w:rFonts w:cstheme="minorHAnsi"/>
          <w:color w:val="000000" w:themeColor="text1"/>
          <w:shd w:val="clear" w:color="auto" w:fill="FFFFFF"/>
        </w:rPr>
      </w:pPr>
    </w:p>
    <w:p w14:paraId="40CD953E" w14:textId="6A56FD87" w:rsidR="00D3447C" w:rsidRPr="0051709F" w:rsidRDefault="00403C72" w:rsidP="009B1F89">
      <w:pPr>
        <w:jc w:val="both"/>
        <w:rPr>
          <w:rFonts w:cstheme="minorHAnsi"/>
          <w:color w:val="000000" w:themeColor="text1"/>
        </w:rPr>
      </w:pPr>
      <w:r w:rsidRPr="0051709F">
        <w:rPr>
          <w:rFonts w:cstheme="minorHAnsi"/>
          <w:color w:val="000000" w:themeColor="text1"/>
          <w:shd w:val="clear" w:color="auto" w:fill="FFFFFF"/>
        </w:rPr>
        <w:t>A modo de ejemplo, se citan el proceso y las investigaciones lideradas por la Dra. Margarita Pérez Ruiz y sus colaboradores, realizad</w:t>
      </w:r>
      <w:r w:rsidR="004F0C0E">
        <w:rPr>
          <w:rFonts w:cstheme="minorHAnsi"/>
          <w:color w:val="000000" w:themeColor="text1"/>
          <w:shd w:val="clear" w:color="auto" w:fill="FFFFFF"/>
        </w:rPr>
        <w:t>a</w:t>
      </w:r>
      <w:r w:rsidRPr="0051709F">
        <w:rPr>
          <w:rFonts w:cstheme="minorHAnsi"/>
          <w:color w:val="000000" w:themeColor="text1"/>
          <w:shd w:val="clear" w:color="auto" w:fill="FFFFFF"/>
        </w:rPr>
        <w:t xml:space="preserve"> en hospitales y con financiaci</w:t>
      </w:r>
      <w:r w:rsidR="004F0C0E">
        <w:rPr>
          <w:rFonts w:cstheme="minorHAnsi"/>
          <w:color w:val="000000" w:themeColor="text1"/>
          <w:shd w:val="clear" w:color="auto" w:fill="FFFFFF"/>
        </w:rPr>
        <w:t>ón</w:t>
      </w:r>
      <w:r w:rsidRPr="0051709F">
        <w:rPr>
          <w:rFonts w:cstheme="minorHAnsi"/>
          <w:color w:val="000000" w:themeColor="text1"/>
          <w:shd w:val="clear" w:color="auto" w:fill="FFFFFF"/>
        </w:rPr>
        <w:t xml:space="preserve"> pública y privada ligada a proyectos de investigación</w:t>
      </w:r>
      <w:r w:rsidR="00F02618" w:rsidRPr="0051709F">
        <w:rPr>
          <w:rFonts w:cstheme="minorHAnsi"/>
          <w:color w:val="000000" w:themeColor="text1"/>
          <w:shd w:val="clear" w:color="auto" w:fill="FFFFFF"/>
        </w:rPr>
        <w:t xml:space="preserve"> (Figura </w:t>
      </w:r>
      <w:r w:rsidR="000A7FE9" w:rsidRPr="0051709F">
        <w:rPr>
          <w:rFonts w:cstheme="minorHAnsi"/>
          <w:color w:val="000000" w:themeColor="text1"/>
          <w:shd w:val="clear" w:color="auto" w:fill="FFFFFF"/>
        </w:rPr>
        <w:t>19</w:t>
      </w:r>
      <w:r w:rsidR="00F02618" w:rsidRPr="0051709F">
        <w:rPr>
          <w:rFonts w:cstheme="minorHAnsi"/>
          <w:color w:val="000000" w:themeColor="text1"/>
          <w:shd w:val="clear" w:color="auto" w:fill="FFFFFF"/>
        </w:rPr>
        <w:t>)</w:t>
      </w:r>
      <w:r w:rsidRPr="0051709F">
        <w:rPr>
          <w:rFonts w:cstheme="minorHAnsi"/>
          <w:color w:val="000000" w:themeColor="text1"/>
          <w:shd w:val="clear" w:color="auto" w:fill="FFFFFF"/>
        </w:rPr>
        <w:t xml:space="preserve">. </w:t>
      </w:r>
      <w:r w:rsidRPr="0051709F">
        <w:rPr>
          <w:rFonts w:cstheme="minorHAnsi"/>
          <w:color w:val="000000" w:themeColor="text1"/>
        </w:rPr>
        <w:t xml:space="preserve">En la primera etapa de trabajo, el equipo de investigación </w:t>
      </w:r>
      <w:r w:rsidR="004F0C0E">
        <w:rPr>
          <w:rFonts w:cstheme="minorHAnsi"/>
          <w:color w:val="000000" w:themeColor="text1"/>
        </w:rPr>
        <w:t>hizo</w:t>
      </w:r>
      <w:r w:rsidRPr="0051709F">
        <w:rPr>
          <w:rFonts w:cstheme="minorHAnsi"/>
          <w:color w:val="000000" w:themeColor="text1"/>
        </w:rPr>
        <w:t xml:space="preserve"> una descripción de las adaptaciones de los diferentes órganos y tejidos al ejercicio utilizando como modelo el deporte de resistencia. En una segunda etapa, han tratado de avanzar en la evidencia científica del ejercicio como herramienta terapéutica y para ello se han realizado ensayos clínicos aleatorios controlados en diferentes patologías agudas y crónicas pediátricas, consiguiendo cambiar algunos paradigmas sanitarios respecto a la intolerancia al ejercicio de la enfermedad de </w:t>
      </w:r>
      <w:proofErr w:type="spellStart"/>
      <w:r w:rsidRPr="0051709F">
        <w:rPr>
          <w:rFonts w:cstheme="minorHAnsi"/>
          <w:color w:val="000000" w:themeColor="text1"/>
        </w:rPr>
        <w:t>Mc´Ardle</w:t>
      </w:r>
      <w:proofErr w:type="spellEnd"/>
      <w:r w:rsidRPr="0051709F">
        <w:rPr>
          <w:rFonts w:cstheme="minorHAnsi"/>
          <w:color w:val="000000" w:themeColor="text1"/>
        </w:rPr>
        <w:t xml:space="preserve"> o del cáncer. También junto a su equipo de trabajo han sido pioneros en la implantación en España de uno de los primeros gimnasios intrahospitalarios infantiles para la aplicación de esta herramienta dentro de la patología crónica. Desde el 2009 y hasta la actualidad se está avanzando mucho en encontrar la dosis más efectiva en la patología respiratoria especialmente en el asma, el broncoespasmo inducido por el ejercicio y la fibrosis quística, siendo hoy una terapia pilar de tratamiento en esta patología, consiguiendo que la Sociedad Española de Neumología Pediátrica considere recomendable hacer valoración de la condición física anualmente a los niños que padecen fibrosis quística. Actualmente</w:t>
      </w:r>
      <w:r w:rsidR="004F0C0E">
        <w:rPr>
          <w:rFonts w:cstheme="minorHAnsi"/>
          <w:color w:val="000000" w:themeColor="text1"/>
        </w:rPr>
        <w:t>,</w:t>
      </w:r>
      <w:r w:rsidRPr="0051709F">
        <w:rPr>
          <w:rFonts w:cstheme="minorHAnsi"/>
          <w:color w:val="000000" w:themeColor="text1"/>
        </w:rPr>
        <w:t xml:space="preserve"> la Unidad de valoración funcional está incorporada a la labor asistencial del servicio para cualquier patología respiratoria infantil que necesite de esta he</w:t>
      </w:r>
      <w:r w:rsidR="00C32E99" w:rsidRPr="0051709F">
        <w:rPr>
          <w:rFonts w:cstheme="minorHAnsi"/>
          <w:color w:val="000000" w:themeColor="text1"/>
        </w:rPr>
        <w:t>rramienta (Lucía y col, 2008; Pé</w:t>
      </w:r>
      <w:r w:rsidRPr="0051709F">
        <w:rPr>
          <w:rFonts w:cstheme="minorHAnsi"/>
          <w:color w:val="000000" w:themeColor="text1"/>
        </w:rPr>
        <w:t xml:space="preserve">rez y col, 2008; Chamorro-Viña y col, 2017; Sanz-Santiago y col, 2020; </w:t>
      </w:r>
      <w:proofErr w:type="spellStart"/>
      <w:r w:rsidRPr="0051709F">
        <w:rPr>
          <w:rFonts w:cstheme="minorHAnsi"/>
          <w:color w:val="000000" w:themeColor="text1"/>
        </w:rPr>
        <w:t>Donadio</w:t>
      </w:r>
      <w:proofErr w:type="spellEnd"/>
      <w:r w:rsidRPr="0051709F">
        <w:rPr>
          <w:rFonts w:cstheme="minorHAnsi"/>
          <w:color w:val="000000" w:themeColor="text1"/>
        </w:rPr>
        <w:t xml:space="preserve"> y col, 2022). Otros investigadores han </w:t>
      </w:r>
      <w:r w:rsidR="004F0C0E">
        <w:rPr>
          <w:rFonts w:cstheme="minorHAnsi"/>
          <w:color w:val="000000" w:themeColor="text1"/>
        </w:rPr>
        <w:t>trata</w:t>
      </w:r>
      <w:r w:rsidR="004F0C0E" w:rsidRPr="0051709F">
        <w:rPr>
          <w:rFonts w:cstheme="minorHAnsi"/>
          <w:color w:val="000000" w:themeColor="text1"/>
        </w:rPr>
        <w:t xml:space="preserve">do </w:t>
      </w:r>
      <w:r w:rsidRPr="0051709F">
        <w:rPr>
          <w:rFonts w:cstheme="minorHAnsi"/>
          <w:color w:val="000000" w:themeColor="text1"/>
        </w:rPr>
        <w:t xml:space="preserve">el ejercicio como parte de la prevención o el tratamiento en pacientes con cáncer, obesidad, diabetes, osteoporosis, hígado graso no alcohólico, </w:t>
      </w:r>
      <w:r w:rsidR="004F0C0E">
        <w:rPr>
          <w:rFonts w:cstheme="minorHAnsi"/>
          <w:color w:val="000000" w:themeColor="text1"/>
        </w:rPr>
        <w:t xml:space="preserve">o en </w:t>
      </w:r>
      <w:r w:rsidRPr="0051709F">
        <w:rPr>
          <w:rFonts w:cstheme="minorHAnsi"/>
          <w:color w:val="000000" w:themeColor="text1"/>
        </w:rPr>
        <w:t xml:space="preserve">personas mayores con fragilidad (ver anexo). </w:t>
      </w:r>
    </w:p>
    <w:p w14:paraId="0D31063F" w14:textId="77777777" w:rsidR="00D3447C" w:rsidRPr="0051709F" w:rsidRDefault="00D3447C" w:rsidP="009B1F89">
      <w:pPr>
        <w:jc w:val="both"/>
        <w:rPr>
          <w:rFonts w:cstheme="minorHAnsi"/>
          <w:color w:val="000000" w:themeColor="text1"/>
        </w:rPr>
      </w:pPr>
    </w:p>
    <w:p w14:paraId="25FC9964" w14:textId="29E339E6" w:rsidR="00D3447C" w:rsidRPr="0051709F" w:rsidRDefault="00403C72" w:rsidP="009B1F89">
      <w:pPr>
        <w:jc w:val="both"/>
        <w:rPr>
          <w:rFonts w:cstheme="minorHAnsi"/>
          <w:color w:val="000000" w:themeColor="text1"/>
        </w:rPr>
      </w:pPr>
      <w:r w:rsidRPr="0051709F">
        <w:rPr>
          <w:rFonts w:cstheme="minorHAnsi"/>
          <w:color w:val="000000" w:themeColor="text1"/>
        </w:rPr>
        <w:t xml:space="preserve">La evidencia científica empieza a ser muy clara para casi todas las patologías más prevalentes, con peculiaridades muy concretas para otras muchas, pero en las consultas médicas tan sólo se pueden dar recomendaciones generales y muchas veces el paciente </w:t>
      </w:r>
      <w:r w:rsidRPr="0051709F">
        <w:rPr>
          <w:rFonts w:cstheme="minorHAnsi"/>
          <w:color w:val="000000" w:themeColor="text1"/>
        </w:rPr>
        <w:lastRenderedPageBreak/>
        <w:t xml:space="preserve">trabaja con una dosis no adecuada para su condición física particular y su patología concreta. </w:t>
      </w:r>
    </w:p>
    <w:p w14:paraId="095D6EEA" w14:textId="77777777" w:rsidR="00D3447C" w:rsidRPr="0051709F" w:rsidRDefault="00D3447C" w:rsidP="009B1F89">
      <w:pPr>
        <w:jc w:val="both"/>
        <w:rPr>
          <w:rFonts w:cstheme="minorHAnsi"/>
          <w:color w:val="000000" w:themeColor="text1"/>
        </w:rPr>
      </w:pPr>
    </w:p>
    <w:p w14:paraId="2A77D948" w14:textId="1ADDAAA0" w:rsidR="00403C72" w:rsidRPr="0051709F" w:rsidRDefault="00403C72" w:rsidP="0051709F">
      <w:pPr>
        <w:jc w:val="both"/>
        <w:rPr>
          <w:rFonts w:eastAsia="Times New Roman" w:cstheme="minorHAnsi"/>
          <w:b/>
          <w:bCs/>
          <w:i/>
          <w:iCs/>
          <w:color w:val="000000" w:themeColor="text1"/>
          <w:lang w:eastAsia="es-ES"/>
        </w:rPr>
      </w:pPr>
      <w:r w:rsidRPr="0051709F">
        <w:rPr>
          <w:rFonts w:cstheme="minorHAnsi"/>
          <w:color w:val="000000" w:themeColor="text1"/>
        </w:rPr>
        <w:t>Po</w:t>
      </w:r>
      <w:r w:rsidRPr="0051709F">
        <w:rPr>
          <w:rFonts w:cstheme="minorHAnsi"/>
          <w:color w:val="000000" w:themeColor="text1"/>
          <w:shd w:val="clear" w:color="auto" w:fill="FFFFFF"/>
        </w:rPr>
        <w:t>r tanto, la inclusión del ejercicio en el sistema de salud es un reto en sí mismo, junto a</w:t>
      </w:r>
      <w:r w:rsidR="004F0C0E">
        <w:rPr>
          <w:rFonts w:cstheme="minorHAnsi"/>
          <w:color w:val="000000" w:themeColor="text1"/>
          <w:shd w:val="clear" w:color="auto" w:fill="FFFFFF"/>
        </w:rPr>
        <w:t xml:space="preserve"> </w:t>
      </w:r>
      <w:r w:rsidRPr="0051709F">
        <w:rPr>
          <w:rFonts w:cstheme="minorHAnsi"/>
          <w:color w:val="000000" w:themeColor="text1"/>
          <w:shd w:val="clear" w:color="auto" w:fill="FFFFFF"/>
        </w:rPr>
        <w:t>l</w:t>
      </w:r>
      <w:r w:rsidR="004F0C0E">
        <w:rPr>
          <w:rFonts w:cstheme="minorHAnsi"/>
          <w:color w:val="000000" w:themeColor="text1"/>
          <w:shd w:val="clear" w:color="auto" w:fill="FFFFFF"/>
        </w:rPr>
        <w:t>os</w:t>
      </w:r>
      <w:r w:rsidRPr="0051709F">
        <w:rPr>
          <w:rFonts w:cstheme="minorHAnsi"/>
          <w:color w:val="000000" w:themeColor="text1"/>
          <w:shd w:val="clear" w:color="auto" w:fill="FFFFFF"/>
        </w:rPr>
        <w:t xml:space="preserve"> reto</w:t>
      </w:r>
      <w:r w:rsidR="004F0C0E">
        <w:rPr>
          <w:rFonts w:cstheme="minorHAnsi"/>
          <w:color w:val="000000" w:themeColor="text1"/>
          <w:shd w:val="clear" w:color="auto" w:fill="FFFFFF"/>
        </w:rPr>
        <w:t>s</w:t>
      </w:r>
      <w:r w:rsidRPr="0051709F">
        <w:rPr>
          <w:rFonts w:cstheme="minorHAnsi"/>
          <w:color w:val="000000" w:themeColor="text1"/>
          <w:shd w:val="clear" w:color="auto" w:fill="FFFFFF"/>
        </w:rPr>
        <w:t xml:space="preserve"> general</w:t>
      </w:r>
      <w:r w:rsidR="004F0C0E">
        <w:rPr>
          <w:rFonts w:cstheme="minorHAnsi"/>
          <w:color w:val="000000" w:themeColor="text1"/>
          <w:shd w:val="clear" w:color="auto" w:fill="FFFFFF"/>
        </w:rPr>
        <w:t>es de esta Estrategia</w:t>
      </w:r>
      <w:r w:rsidR="00D3447C" w:rsidRPr="0051709F">
        <w:rPr>
          <w:rFonts w:cstheme="minorHAnsi"/>
          <w:color w:val="000000" w:themeColor="text1"/>
          <w:shd w:val="clear" w:color="auto" w:fill="FFFFFF"/>
        </w:rPr>
        <w:t>.</w:t>
      </w:r>
    </w:p>
    <w:p w14:paraId="52D77253" w14:textId="77777777" w:rsidR="00403C72" w:rsidRPr="0051709F" w:rsidRDefault="00403C72" w:rsidP="009B1F89">
      <w:pPr>
        <w:jc w:val="both"/>
        <w:rPr>
          <w:rFonts w:cstheme="minorHAnsi"/>
        </w:rPr>
      </w:pPr>
    </w:p>
    <w:p w14:paraId="2E49CBD2" w14:textId="77777777" w:rsidR="00403C72" w:rsidRPr="0051709F" w:rsidRDefault="00403C72" w:rsidP="00D3447C">
      <w:pPr>
        <w:jc w:val="center"/>
        <w:rPr>
          <w:rFonts w:cstheme="minorHAnsi"/>
        </w:rPr>
      </w:pPr>
      <w:r w:rsidRPr="0051709F">
        <w:rPr>
          <w:rFonts w:cstheme="minorHAnsi"/>
          <w:noProof/>
          <w:lang w:val="en-GB" w:eastAsia="en-GB"/>
        </w:rPr>
        <w:drawing>
          <wp:inline distT="0" distB="0" distL="0" distR="0" wp14:anchorId="509323DC" wp14:editId="37D3834B">
            <wp:extent cx="3109635" cy="3562350"/>
            <wp:effectExtent l="0" t="0" r="0" b="0"/>
            <wp:docPr id="792669679" name="Imagen 79266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9635" cy="3562350"/>
                    </a:xfrm>
                    <a:prstGeom prst="rect">
                      <a:avLst/>
                    </a:prstGeom>
                  </pic:spPr>
                </pic:pic>
              </a:graphicData>
            </a:graphic>
          </wp:inline>
        </w:drawing>
      </w:r>
    </w:p>
    <w:p w14:paraId="601CFFD1" w14:textId="77777777" w:rsidR="00403C72" w:rsidRPr="0051709F" w:rsidRDefault="00403C72" w:rsidP="00D3447C">
      <w:pPr>
        <w:jc w:val="center"/>
        <w:rPr>
          <w:rFonts w:cstheme="minorHAnsi"/>
        </w:rPr>
      </w:pPr>
    </w:p>
    <w:p w14:paraId="538EEE89" w14:textId="7B9538FB" w:rsidR="00403C72" w:rsidRPr="007B667D" w:rsidRDefault="00403C72" w:rsidP="00D3447C">
      <w:pPr>
        <w:jc w:val="center"/>
        <w:rPr>
          <w:rFonts w:cstheme="minorHAnsi"/>
          <w:i/>
          <w:iCs/>
          <w:sz w:val="22"/>
          <w:szCs w:val="22"/>
        </w:rPr>
      </w:pPr>
      <w:r w:rsidRPr="007B667D">
        <w:rPr>
          <w:rFonts w:cstheme="minorHAnsi"/>
          <w:i/>
          <w:iCs/>
          <w:sz w:val="22"/>
          <w:szCs w:val="22"/>
        </w:rPr>
        <w:t xml:space="preserve">Figura </w:t>
      </w:r>
      <w:r w:rsidR="000A7FE9" w:rsidRPr="007B667D">
        <w:rPr>
          <w:rFonts w:cstheme="minorHAnsi"/>
          <w:i/>
          <w:iCs/>
          <w:sz w:val="22"/>
          <w:szCs w:val="22"/>
        </w:rPr>
        <w:t>19</w:t>
      </w:r>
      <w:r w:rsidRPr="007B667D">
        <w:rPr>
          <w:rFonts w:cstheme="minorHAnsi"/>
          <w:i/>
          <w:iCs/>
          <w:sz w:val="22"/>
          <w:szCs w:val="22"/>
        </w:rPr>
        <w:t>. Laboratorio de Valoración Funcional de la Unidad de Neumología Pediátrica del Hospital Universitario Niño Jesús</w:t>
      </w:r>
      <w:r w:rsidR="00145599" w:rsidRPr="007B667D">
        <w:rPr>
          <w:rFonts w:cstheme="minorHAnsi"/>
          <w:i/>
          <w:iCs/>
          <w:sz w:val="22"/>
          <w:szCs w:val="22"/>
        </w:rPr>
        <w:t>.</w:t>
      </w:r>
    </w:p>
    <w:p w14:paraId="2D61D00B" w14:textId="77777777" w:rsidR="00403C72" w:rsidRPr="0051709F" w:rsidRDefault="00403C72" w:rsidP="00D3447C">
      <w:pPr>
        <w:shd w:val="clear" w:color="auto" w:fill="FFFFFF" w:themeFill="background1"/>
        <w:jc w:val="center"/>
        <w:rPr>
          <w:rFonts w:eastAsia="Times New Roman" w:cstheme="minorHAnsi"/>
          <w:b/>
          <w:bCs/>
          <w:i/>
          <w:iCs/>
          <w:color w:val="C00000"/>
          <w:lang w:eastAsia="es-ES"/>
        </w:rPr>
      </w:pPr>
    </w:p>
    <w:p w14:paraId="1C76FA68" w14:textId="77777777" w:rsidR="00403C72" w:rsidRPr="0051709F" w:rsidRDefault="00403C72" w:rsidP="009B1F89">
      <w:pPr>
        <w:shd w:val="clear" w:color="auto" w:fill="FFFFFF" w:themeFill="background1"/>
        <w:jc w:val="both"/>
        <w:rPr>
          <w:rFonts w:eastAsia="Times New Roman" w:cstheme="minorHAnsi"/>
          <w:b/>
          <w:bCs/>
          <w:i/>
          <w:iCs/>
          <w:color w:val="C00000"/>
          <w:lang w:eastAsia="es-ES"/>
        </w:rPr>
      </w:pPr>
    </w:p>
    <w:p w14:paraId="1B713B67" w14:textId="7E91CFA6" w:rsidR="00403C72" w:rsidRPr="0051709F" w:rsidRDefault="00403C72" w:rsidP="00914456">
      <w:pPr>
        <w:pStyle w:val="Ttulo2"/>
        <w:numPr>
          <w:ilvl w:val="0"/>
          <w:numId w:val="0"/>
        </w:numPr>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sz w:val="24"/>
          <w:szCs w:val="24"/>
          <w:lang w:val="es-ES" w:eastAsia="es-ES"/>
        </w:rPr>
        <w:t>Revisión de la literatura existente sobre posibles actuaciones y estrategias que hayan generado o pudiera</w:t>
      </w:r>
      <w:r w:rsidR="00DF3DF5" w:rsidRPr="0051709F">
        <w:rPr>
          <w:rFonts w:asciiTheme="minorHAnsi" w:eastAsia="Times New Roman" w:hAnsiTheme="minorHAnsi" w:cstheme="minorHAnsi"/>
          <w:sz w:val="24"/>
          <w:szCs w:val="24"/>
          <w:lang w:val="es-ES" w:eastAsia="es-ES"/>
        </w:rPr>
        <w:t>n generar un impacto sostenible</w:t>
      </w:r>
    </w:p>
    <w:p w14:paraId="6200AD2A" w14:textId="77777777" w:rsidR="00403C72" w:rsidRPr="0051709F" w:rsidRDefault="00403C72" w:rsidP="009B1F89">
      <w:pPr>
        <w:shd w:val="clear" w:color="auto" w:fill="FFFFFF" w:themeFill="background1"/>
        <w:jc w:val="both"/>
        <w:rPr>
          <w:rFonts w:eastAsia="Times New Roman" w:cstheme="minorHAnsi"/>
          <w:b/>
          <w:bCs/>
          <w:lang w:eastAsia="es-ES"/>
        </w:rPr>
      </w:pPr>
    </w:p>
    <w:p w14:paraId="4F0020CA" w14:textId="1CB701EA" w:rsidR="00403C72" w:rsidRPr="0051709F" w:rsidRDefault="000C0037" w:rsidP="009B1F89">
      <w:pPr>
        <w:shd w:val="clear" w:color="auto" w:fill="FFFFFF" w:themeFill="background1"/>
        <w:jc w:val="both"/>
        <w:rPr>
          <w:rFonts w:cstheme="minorHAnsi"/>
        </w:rPr>
      </w:pPr>
      <w:r>
        <w:rPr>
          <w:rFonts w:cstheme="minorHAnsi"/>
        </w:rPr>
        <w:t>L</w:t>
      </w:r>
      <w:r w:rsidR="00403C72" w:rsidRPr="0051709F">
        <w:rPr>
          <w:rFonts w:cstheme="minorHAnsi"/>
        </w:rPr>
        <w:t xml:space="preserve">a campaña de la Comisión Europea: </w:t>
      </w:r>
      <w:proofErr w:type="spellStart"/>
      <w:r w:rsidR="00403C72" w:rsidRPr="0051709F">
        <w:rPr>
          <w:rFonts w:cstheme="minorHAnsi"/>
          <w:i/>
          <w:iCs/>
        </w:rPr>
        <w:t>The</w:t>
      </w:r>
      <w:proofErr w:type="spellEnd"/>
      <w:r w:rsidR="00403C72" w:rsidRPr="0051709F">
        <w:rPr>
          <w:rFonts w:cstheme="minorHAnsi"/>
          <w:i/>
          <w:iCs/>
        </w:rPr>
        <w:t xml:space="preserve"> HealthyLifestyle4All </w:t>
      </w:r>
      <w:proofErr w:type="spellStart"/>
      <w:r w:rsidR="00403C72" w:rsidRPr="0051709F">
        <w:rPr>
          <w:rFonts w:cstheme="minorHAnsi"/>
          <w:i/>
          <w:iCs/>
        </w:rPr>
        <w:t>Initiative</w:t>
      </w:r>
      <w:proofErr w:type="spellEnd"/>
      <w:r w:rsidR="00403C72" w:rsidRPr="0051709F">
        <w:rPr>
          <w:rFonts w:cstheme="minorHAnsi"/>
        </w:rPr>
        <w:t xml:space="preserve">: continuación del </w:t>
      </w:r>
      <w:r w:rsidR="00403C72" w:rsidRPr="0051709F">
        <w:rPr>
          <w:rFonts w:cstheme="minorHAnsi"/>
          <w:i/>
          <w:iCs/>
        </w:rPr>
        <w:t xml:space="preserve">“Tartu </w:t>
      </w:r>
      <w:proofErr w:type="spellStart"/>
      <w:r w:rsidR="00403C72" w:rsidRPr="0051709F">
        <w:rPr>
          <w:rFonts w:cstheme="minorHAnsi"/>
          <w:i/>
          <w:iCs/>
        </w:rPr>
        <w:t>Call</w:t>
      </w:r>
      <w:proofErr w:type="spellEnd"/>
      <w:r w:rsidR="00403C72" w:rsidRPr="0051709F">
        <w:rPr>
          <w:rFonts w:cstheme="minorHAnsi"/>
          <w:i/>
          <w:iCs/>
        </w:rPr>
        <w:t xml:space="preserve"> </w:t>
      </w:r>
      <w:proofErr w:type="spellStart"/>
      <w:r w:rsidR="00403C72" w:rsidRPr="0051709F">
        <w:rPr>
          <w:rFonts w:cstheme="minorHAnsi"/>
          <w:i/>
          <w:iCs/>
        </w:rPr>
        <w:t>for</w:t>
      </w:r>
      <w:proofErr w:type="spellEnd"/>
      <w:r w:rsidR="00403C72" w:rsidRPr="0051709F">
        <w:rPr>
          <w:rFonts w:cstheme="minorHAnsi"/>
          <w:i/>
          <w:iCs/>
        </w:rPr>
        <w:t xml:space="preserve"> a </w:t>
      </w:r>
      <w:proofErr w:type="spellStart"/>
      <w:r w:rsidR="00403C72" w:rsidRPr="0051709F">
        <w:rPr>
          <w:rFonts w:cstheme="minorHAnsi"/>
          <w:i/>
          <w:iCs/>
        </w:rPr>
        <w:t>Healthy</w:t>
      </w:r>
      <w:proofErr w:type="spellEnd"/>
      <w:r w:rsidR="00403C72" w:rsidRPr="0051709F">
        <w:rPr>
          <w:rFonts w:cstheme="minorHAnsi"/>
          <w:i/>
          <w:iCs/>
        </w:rPr>
        <w:t xml:space="preserve"> </w:t>
      </w:r>
      <w:proofErr w:type="spellStart"/>
      <w:r w:rsidR="00403C72" w:rsidRPr="0051709F">
        <w:rPr>
          <w:rFonts w:cstheme="minorHAnsi"/>
          <w:i/>
          <w:iCs/>
        </w:rPr>
        <w:t>Lifestyle</w:t>
      </w:r>
      <w:proofErr w:type="spellEnd"/>
      <w:r w:rsidR="00403C72" w:rsidRPr="0051709F">
        <w:rPr>
          <w:rFonts w:cstheme="minorHAnsi"/>
          <w:i/>
          <w:iCs/>
        </w:rPr>
        <w:t>”</w:t>
      </w:r>
      <w:r w:rsidR="00403C72" w:rsidRPr="0051709F">
        <w:rPr>
          <w:rFonts w:cstheme="minorHAnsi"/>
        </w:rPr>
        <w:t xml:space="preserve"> (2019),</w:t>
      </w:r>
      <w:r>
        <w:rPr>
          <w:rFonts w:cstheme="minorHAnsi"/>
        </w:rPr>
        <w:t xml:space="preserve"> </w:t>
      </w:r>
      <w:r w:rsidR="00403C72" w:rsidRPr="0051709F">
        <w:rPr>
          <w:rFonts w:cstheme="minorHAnsi"/>
        </w:rPr>
        <w:t xml:space="preserve">pretende vincular el deporte y los estilos de vida activos con las políticas de salud, alimentación y otras. Con el objetivo de promover una amplia difusión, asimilación y apropiación de los estilos de vida saludables en toda la sociedad, la CE desea implicar a los movimientos deportivos a nivel nacional, europeo e internacional; a las autoridades </w:t>
      </w:r>
      <w:r w:rsidR="00732169" w:rsidRPr="0051709F">
        <w:rPr>
          <w:rFonts w:cstheme="minorHAnsi"/>
        </w:rPr>
        <w:t>estatales,</w:t>
      </w:r>
      <w:r w:rsidR="00403C72" w:rsidRPr="0051709F">
        <w:rPr>
          <w:rFonts w:cstheme="minorHAnsi"/>
        </w:rPr>
        <w:t xml:space="preserve"> </w:t>
      </w:r>
      <w:r w:rsidR="004E2F8F">
        <w:rPr>
          <w:rFonts w:cstheme="minorHAnsi"/>
        </w:rPr>
        <w:t xml:space="preserve">así como a </w:t>
      </w:r>
      <w:r w:rsidR="00403C72" w:rsidRPr="0051709F">
        <w:rPr>
          <w:rFonts w:cstheme="minorHAnsi"/>
        </w:rPr>
        <w:t>gobiernos</w:t>
      </w:r>
      <w:r w:rsidR="004E2F8F">
        <w:rPr>
          <w:rFonts w:cstheme="minorHAnsi"/>
        </w:rPr>
        <w:t xml:space="preserve"> regionales y</w:t>
      </w:r>
      <w:r w:rsidR="00403C72" w:rsidRPr="0051709F">
        <w:rPr>
          <w:rFonts w:cstheme="minorHAnsi"/>
        </w:rPr>
        <w:t xml:space="preserve"> locales</w:t>
      </w:r>
      <w:r w:rsidR="004E2F8F">
        <w:rPr>
          <w:rFonts w:cstheme="minorHAnsi"/>
        </w:rPr>
        <w:t>,</w:t>
      </w:r>
      <w:r w:rsidR="00403C72" w:rsidRPr="0051709F">
        <w:rPr>
          <w:rFonts w:cstheme="minorHAnsi"/>
        </w:rPr>
        <w:t xml:space="preserve"> y </w:t>
      </w:r>
      <w:r w:rsidR="004E2F8F">
        <w:rPr>
          <w:rFonts w:cstheme="minorHAnsi"/>
        </w:rPr>
        <w:t xml:space="preserve">a </w:t>
      </w:r>
      <w:r w:rsidR="00403C72" w:rsidRPr="0051709F">
        <w:rPr>
          <w:rFonts w:cstheme="minorHAnsi"/>
        </w:rPr>
        <w:t xml:space="preserve">organizaciones de la sociedad civil de los Estados miembro de la UE, los países del programa Erasmus+, la Asociación Oriental y los países de los Balcanes Occidentales, con 3 pilares </w:t>
      </w:r>
      <w:r w:rsidR="004E2F8F">
        <w:rPr>
          <w:rFonts w:cstheme="minorHAnsi"/>
        </w:rPr>
        <w:t>principales</w:t>
      </w:r>
      <w:r w:rsidR="00403C72" w:rsidRPr="0051709F">
        <w:rPr>
          <w:rFonts w:cstheme="minorHAnsi"/>
        </w:rPr>
        <w:t>:</w:t>
      </w:r>
    </w:p>
    <w:p w14:paraId="1A03E4C5" w14:textId="77777777" w:rsidR="00D3447C" w:rsidRPr="0051709F" w:rsidRDefault="00D3447C" w:rsidP="009B1F89">
      <w:pPr>
        <w:shd w:val="clear" w:color="auto" w:fill="FFFFFF" w:themeFill="background1"/>
        <w:jc w:val="both"/>
        <w:rPr>
          <w:rFonts w:eastAsia="Times New Roman" w:cstheme="minorHAnsi"/>
          <w:b/>
          <w:bCs/>
          <w:lang w:eastAsia="es-ES"/>
        </w:rPr>
      </w:pPr>
    </w:p>
    <w:p w14:paraId="52F6BAE0" w14:textId="77777777" w:rsidR="00403C72" w:rsidRPr="0051709F" w:rsidRDefault="00403C72" w:rsidP="00D14ACA">
      <w:pPr>
        <w:pStyle w:val="Prrafodelista"/>
        <w:numPr>
          <w:ilvl w:val="0"/>
          <w:numId w:val="3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Mayor concienciación sobre un estilo de vida saludable en todas las generaciones. Facilitar el acceso al deporte, la actividad física y las dietas saludables, prestando especial atención a la inclusión y la no discriminación para llegar a los grupos desfavorecidos. </w:t>
      </w:r>
    </w:p>
    <w:p w14:paraId="596A9C91" w14:textId="3A56F375" w:rsidR="004E2F8F" w:rsidRPr="00DA6852" w:rsidRDefault="00403C72" w:rsidP="00D14ACA">
      <w:pPr>
        <w:pStyle w:val="Prrafodelista"/>
        <w:numPr>
          <w:ilvl w:val="0"/>
          <w:numId w:val="35"/>
        </w:numPr>
        <w:jc w:val="both"/>
        <w:rPr>
          <w:rFonts w:asciiTheme="minorHAnsi" w:hAnsiTheme="minorHAnsi" w:cstheme="minorHAnsi"/>
          <w:color w:val="0000FF"/>
          <w:sz w:val="24"/>
          <w:szCs w:val="24"/>
          <w:u w:val="single"/>
          <w:lang w:val="es-ES"/>
        </w:rPr>
      </w:pPr>
      <w:r w:rsidRPr="0051709F">
        <w:rPr>
          <w:rFonts w:asciiTheme="minorHAnsi" w:hAnsiTheme="minorHAnsi" w:cstheme="minorHAnsi"/>
          <w:sz w:val="24"/>
          <w:szCs w:val="24"/>
          <w:lang w:val="es-ES"/>
        </w:rPr>
        <w:lastRenderedPageBreak/>
        <w:t>Trabajo en equipo para un enfoque holístico de la alimentación, la salud, el bienestar y el deporte.</w:t>
      </w:r>
      <w:r w:rsidR="004E2F8F">
        <w:rPr>
          <w:rFonts w:asciiTheme="minorHAnsi" w:hAnsiTheme="minorHAnsi" w:cstheme="minorHAnsi"/>
          <w:sz w:val="24"/>
          <w:szCs w:val="24"/>
          <w:lang w:val="es-ES"/>
        </w:rPr>
        <w:t xml:space="preserve"> </w:t>
      </w:r>
    </w:p>
    <w:p w14:paraId="5E6C06E1" w14:textId="48B16B35" w:rsidR="00403C72" w:rsidRPr="004E2F8F" w:rsidRDefault="00403C72" w:rsidP="007B667D">
      <w:pPr>
        <w:jc w:val="both"/>
        <w:rPr>
          <w:rStyle w:val="Hipervnculo"/>
          <w:rFonts w:cstheme="minorHAnsi"/>
        </w:rPr>
      </w:pPr>
      <w:r w:rsidRPr="004E2F8F">
        <w:rPr>
          <w:rFonts w:cstheme="minorHAnsi"/>
        </w:rPr>
        <w:t xml:space="preserve"> </w:t>
      </w:r>
      <w:hyperlink r:id="rId45" w:history="1">
        <w:r w:rsidRPr="004E2F8F">
          <w:rPr>
            <w:rStyle w:val="Hipervnculo"/>
            <w:rFonts w:cstheme="minorHAnsi"/>
          </w:rPr>
          <w:t>https://sport.ec.europa.eu/initiatives/healthylifestyle4all</w:t>
        </w:r>
      </w:hyperlink>
    </w:p>
    <w:p w14:paraId="225B5045" w14:textId="77777777" w:rsidR="00D3447C" w:rsidRPr="0051709F" w:rsidRDefault="00D3447C" w:rsidP="009B1F89">
      <w:pPr>
        <w:shd w:val="clear" w:color="auto" w:fill="FFFFFF" w:themeFill="background1"/>
        <w:jc w:val="both"/>
        <w:rPr>
          <w:rFonts w:cstheme="minorHAnsi"/>
          <w:color w:val="000000" w:themeColor="text1"/>
        </w:rPr>
      </w:pPr>
    </w:p>
    <w:p w14:paraId="7150C7F7" w14:textId="395F383E" w:rsidR="00403C72" w:rsidRPr="0051709F" w:rsidRDefault="004E2F8F" w:rsidP="009B1F89">
      <w:pPr>
        <w:shd w:val="clear" w:color="auto" w:fill="FFFFFF" w:themeFill="background1"/>
        <w:jc w:val="both"/>
        <w:rPr>
          <w:rFonts w:eastAsia="Calibri" w:cstheme="minorHAnsi"/>
          <w:color w:val="000000" w:themeColor="text1"/>
        </w:rPr>
      </w:pPr>
      <w:r>
        <w:rPr>
          <w:rFonts w:cstheme="minorHAnsi"/>
          <w:color w:val="000000" w:themeColor="text1"/>
        </w:rPr>
        <w:t xml:space="preserve">Asociado con </w:t>
      </w:r>
      <w:r w:rsidR="000F691B">
        <w:rPr>
          <w:rFonts w:cstheme="minorHAnsi"/>
          <w:color w:val="000000" w:themeColor="text1"/>
        </w:rPr>
        <w:t>esta</w:t>
      </w:r>
      <w:r>
        <w:rPr>
          <w:rFonts w:cstheme="minorHAnsi"/>
          <w:color w:val="000000" w:themeColor="text1"/>
        </w:rPr>
        <w:t xml:space="preserve"> mayor concienciación cabe destacar, por </w:t>
      </w:r>
      <w:r w:rsidR="00BF32FF">
        <w:rPr>
          <w:rFonts w:cstheme="minorHAnsi"/>
          <w:color w:val="000000" w:themeColor="text1"/>
        </w:rPr>
        <w:t>ejemplo,</w:t>
      </w:r>
      <w:r w:rsidR="000C0037">
        <w:rPr>
          <w:rFonts w:cstheme="minorHAnsi"/>
          <w:color w:val="000000" w:themeColor="text1"/>
        </w:rPr>
        <w:t xml:space="preserve"> que,</w:t>
      </w:r>
      <w:r>
        <w:rPr>
          <w:rFonts w:cstheme="minorHAnsi"/>
          <w:color w:val="000000" w:themeColor="text1"/>
        </w:rPr>
        <w:t xml:space="preserve"> d</w:t>
      </w:r>
      <w:r w:rsidR="00403C72" w:rsidRPr="0051709F">
        <w:rPr>
          <w:rFonts w:cstheme="minorHAnsi"/>
          <w:color w:val="000000" w:themeColor="text1"/>
        </w:rPr>
        <w:t>esde las asociaciones de enfermos</w:t>
      </w:r>
      <w:r w:rsidR="00D3447C" w:rsidRPr="0051709F">
        <w:rPr>
          <w:rFonts w:cstheme="minorHAnsi"/>
          <w:color w:val="000000" w:themeColor="text1"/>
        </w:rPr>
        <w:t>,</w:t>
      </w:r>
      <w:r w:rsidR="00403C72" w:rsidRPr="0051709F">
        <w:rPr>
          <w:rFonts w:cstheme="minorHAnsi"/>
          <w:color w:val="000000" w:themeColor="text1"/>
        </w:rPr>
        <w:t xml:space="preserve"> como la </w:t>
      </w:r>
      <w:r w:rsidR="00D3447C" w:rsidRPr="0051709F">
        <w:rPr>
          <w:rFonts w:cstheme="minorHAnsi"/>
          <w:color w:val="000000" w:themeColor="text1"/>
        </w:rPr>
        <w:t>F</w:t>
      </w:r>
      <w:r w:rsidR="00403C72" w:rsidRPr="0051709F">
        <w:rPr>
          <w:rFonts w:cstheme="minorHAnsi"/>
          <w:color w:val="000000" w:themeColor="text1"/>
        </w:rPr>
        <w:t xml:space="preserve">ederación </w:t>
      </w:r>
      <w:r w:rsidR="00D3447C" w:rsidRPr="0051709F">
        <w:rPr>
          <w:rFonts w:cstheme="minorHAnsi"/>
          <w:color w:val="000000" w:themeColor="text1"/>
        </w:rPr>
        <w:t>Es</w:t>
      </w:r>
      <w:r w:rsidR="00403C72" w:rsidRPr="0051709F">
        <w:rPr>
          <w:rFonts w:cstheme="minorHAnsi"/>
          <w:color w:val="000000" w:themeColor="text1"/>
        </w:rPr>
        <w:t xml:space="preserve">pañola de </w:t>
      </w:r>
      <w:r w:rsidR="00D3447C" w:rsidRPr="0051709F">
        <w:rPr>
          <w:rFonts w:cstheme="minorHAnsi"/>
          <w:color w:val="000000" w:themeColor="text1"/>
        </w:rPr>
        <w:t>F</w:t>
      </w:r>
      <w:r w:rsidR="00403C72" w:rsidRPr="0051709F">
        <w:rPr>
          <w:rFonts w:cstheme="minorHAnsi"/>
          <w:color w:val="000000" w:themeColor="text1"/>
        </w:rPr>
        <w:t xml:space="preserve">ibrosis </w:t>
      </w:r>
      <w:r w:rsidR="00D3447C" w:rsidRPr="0051709F">
        <w:rPr>
          <w:rFonts w:cstheme="minorHAnsi"/>
          <w:color w:val="000000" w:themeColor="text1"/>
        </w:rPr>
        <w:t>Q</w:t>
      </w:r>
      <w:r w:rsidR="00403C72" w:rsidRPr="0051709F">
        <w:rPr>
          <w:rFonts w:cstheme="minorHAnsi"/>
          <w:color w:val="000000" w:themeColor="text1"/>
        </w:rPr>
        <w:t>uística</w:t>
      </w:r>
      <w:r w:rsidR="00D3447C" w:rsidRPr="0051709F">
        <w:rPr>
          <w:rFonts w:cstheme="minorHAnsi"/>
          <w:color w:val="000000" w:themeColor="text1"/>
        </w:rPr>
        <w:t>,</w:t>
      </w:r>
      <w:r w:rsidR="00403C72" w:rsidRPr="0051709F">
        <w:rPr>
          <w:rFonts w:cstheme="minorHAnsi"/>
          <w:color w:val="000000" w:themeColor="text1"/>
        </w:rPr>
        <w:t xml:space="preserve"> tienen departamentos de comunicación destinados a trabajar en la concienciación sobre ejercicio y estilos de vida saludables para las personas que padece</w:t>
      </w:r>
      <w:r>
        <w:rPr>
          <w:rFonts w:cstheme="minorHAnsi"/>
          <w:color w:val="000000" w:themeColor="text1"/>
        </w:rPr>
        <w:t>n</w:t>
      </w:r>
      <w:r w:rsidR="00403C72" w:rsidRPr="0051709F">
        <w:rPr>
          <w:rFonts w:cstheme="minorHAnsi"/>
          <w:color w:val="000000" w:themeColor="text1"/>
        </w:rPr>
        <w:t xml:space="preserve"> esta enfermedad. En la web </w:t>
      </w:r>
      <w:hyperlink r:id="rId46" w:history="1">
        <w:r w:rsidR="00403C72" w:rsidRPr="007B667D">
          <w:rPr>
            <w:rStyle w:val="Hipervnculo"/>
            <w:rFonts w:eastAsia="Calibri" w:cstheme="minorHAnsi"/>
            <w:color w:val="0099FF"/>
          </w:rPr>
          <w:t>www.donantesdeganas.com</w:t>
        </w:r>
      </w:hyperlink>
      <w:r w:rsidR="00403C72" w:rsidRPr="0051709F">
        <w:rPr>
          <w:rFonts w:cstheme="minorHAnsi"/>
          <w:color w:val="000000" w:themeColor="text1"/>
        </w:rPr>
        <w:t xml:space="preserve"> puede verse el spot de la campaña y los vídeos </w:t>
      </w:r>
      <w:r>
        <w:rPr>
          <w:rFonts w:cstheme="minorHAnsi"/>
          <w:color w:val="000000" w:themeColor="text1"/>
        </w:rPr>
        <w:t>d</w:t>
      </w:r>
      <w:r w:rsidR="00403C72" w:rsidRPr="0051709F">
        <w:rPr>
          <w:rFonts w:cstheme="minorHAnsi"/>
          <w:color w:val="000000" w:themeColor="text1"/>
        </w:rPr>
        <w:t>e historias de superación que van enviando las personas con Fibrosis Quística que quieren unirse a la campaña</w:t>
      </w:r>
      <w:r w:rsidR="00403C72" w:rsidRPr="0051709F">
        <w:rPr>
          <w:rFonts w:eastAsia="Calibri" w:cstheme="minorHAnsi"/>
          <w:color w:val="000000" w:themeColor="text1"/>
        </w:rPr>
        <w:t>.</w:t>
      </w:r>
    </w:p>
    <w:p w14:paraId="431453F4" w14:textId="77777777" w:rsidR="00403C72" w:rsidRPr="0051709F" w:rsidRDefault="00403C72" w:rsidP="009B1F89">
      <w:pPr>
        <w:shd w:val="clear" w:color="auto" w:fill="FFFFFF" w:themeFill="background1"/>
        <w:jc w:val="both"/>
        <w:rPr>
          <w:rFonts w:eastAsia="Calibri" w:cstheme="minorHAnsi"/>
        </w:rPr>
      </w:pPr>
    </w:p>
    <w:p w14:paraId="4CD70452" w14:textId="27AE18FF" w:rsidR="004E2F8F" w:rsidRDefault="00403C72" w:rsidP="009B1F89">
      <w:pPr>
        <w:shd w:val="clear" w:color="auto" w:fill="FFFFFF" w:themeFill="background1"/>
        <w:jc w:val="both"/>
        <w:rPr>
          <w:rFonts w:cstheme="minorHAnsi"/>
          <w:color w:val="000000" w:themeColor="text1"/>
        </w:rPr>
      </w:pPr>
      <w:r w:rsidRPr="0051709F">
        <w:rPr>
          <w:rFonts w:cstheme="minorHAnsi"/>
          <w:color w:val="000000" w:themeColor="text1"/>
        </w:rPr>
        <w:t>Otras muchas fundaciones y asociaciones de otras enfermedades siguen estos mismos pasos, tratando de concienciar a la sociedad de la importancia del ejercicio dentro de la enfermedad. Así, la Fundación Iñigo Álvarez de Toledo trabaja el ejercicio en sala de hemodiálisis para los enfermos con fallo renal crónico. La ha puesto en marcha un programa para que sus pacientes realicen ejercicio mientras están en diálisis. Empezó con un proyecto de investigación con 80 pacientes, que se ha ido extendiendo, y cuenta con la colaboración de las Universidades Politécnica y Europea y con la Fundación Real Madrid.</w:t>
      </w:r>
    </w:p>
    <w:p w14:paraId="7FC04FC8" w14:textId="35E27CB5" w:rsidR="00403C72" w:rsidRDefault="00403C72" w:rsidP="009B1F89">
      <w:pPr>
        <w:shd w:val="clear" w:color="auto" w:fill="FFFFFF" w:themeFill="background1"/>
        <w:jc w:val="both"/>
        <w:rPr>
          <w:rStyle w:val="Hipervnculo"/>
          <w:rFonts w:cstheme="minorHAnsi"/>
          <w:color w:val="000000" w:themeColor="text1"/>
        </w:rPr>
      </w:pPr>
      <w:r w:rsidRPr="0051709F">
        <w:rPr>
          <w:rFonts w:cstheme="minorHAnsi"/>
          <w:color w:val="000000" w:themeColor="text1"/>
        </w:rPr>
        <w:t xml:space="preserve"> </w:t>
      </w:r>
      <w:hyperlink r:id="rId47" w:history="1">
        <w:r w:rsidRPr="007B667D">
          <w:rPr>
            <w:rStyle w:val="Hipervnculo"/>
            <w:rFonts w:eastAsia="Calibri" w:cstheme="minorHAnsi"/>
            <w:color w:val="0099FF"/>
          </w:rPr>
          <w:t>https://www.youtube.com/watch?v=lcZPoY1u5-s</w:t>
        </w:r>
      </w:hyperlink>
    </w:p>
    <w:p w14:paraId="32CADACB" w14:textId="77777777" w:rsidR="00732169" w:rsidRDefault="00732169" w:rsidP="009B1F89">
      <w:pPr>
        <w:shd w:val="clear" w:color="auto" w:fill="FFFFFF" w:themeFill="background1"/>
        <w:jc w:val="both"/>
        <w:rPr>
          <w:rFonts w:cstheme="minorHAnsi"/>
          <w:color w:val="000000" w:themeColor="text1"/>
        </w:rPr>
      </w:pPr>
    </w:p>
    <w:p w14:paraId="3F980B6C" w14:textId="3EADF633" w:rsidR="004E2F8F" w:rsidRDefault="00403C72" w:rsidP="009B1F89">
      <w:pPr>
        <w:shd w:val="clear" w:color="auto" w:fill="FFFFFF" w:themeFill="background1"/>
        <w:jc w:val="both"/>
        <w:rPr>
          <w:rFonts w:cstheme="minorHAnsi"/>
          <w:color w:val="000000" w:themeColor="text1"/>
        </w:rPr>
      </w:pPr>
      <w:r w:rsidRPr="0051709F">
        <w:rPr>
          <w:rFonts w:cstheme="minorHAnsi"/>
          <w:color w:val="000000" w:themeColor="text1"/>
        </w:rPr>
        <w:t>Actualmente, los educadores deportivos han entrado a formar parte del equipo multidisciplinar que maneja al enfermo renal crónico</w:t>
      </w:r>
      <w:r w:rsidR="004E2F8F">
        <w:rPr>
          <w:rFonts w:cstheme="minorHAnsi"/>
          <w:color w:val="000000" w:themeColor="text1"/>
        </w:rPr>
        <w:t>.</w:t>
      </w:r>
    </w:p>
    <w:p w14:paraId="0FC1A6C4" w14:textId="6CEF9E47" w:rsidR="00403C72" w:rsidRPr="0051709F" w:rsidRDefault="00403C72" w:rsidP="009B1F89">
      <w:pPr>
        <w:shd w:val="clear" w:color="auto" w:fill="FFFFFF" w:themeFill="background1"/>
        <w:jc w:val="both"/>
        <w:rPr>
          <w:rFonts w:cstheme="minorHAnsi"/>
          <w:color w:val="000000" w:themeColor="text1"/>
        </w:rPr>
      </w:pPr>
      <w:r w:rsidRPr="0051709F">
        <w:rPr>
          <w:rFonts w:cstheme="minorHAnsi"/>
          <w:color w:val="000000" w:themeColor="text1"/>
        </w:rPr>
        <w:t xml:space="preserve"> </w:t>
      </w:r>
      <w:hyperlink r:id="rId48" w:history="1">
        <w:r w:rsidRPr="007B667D">
          <w:rPr>
            <w:rStyle w:val="Hipervnculo"/>
            <w:rFonts w:eastAsia="Calibri" w:cstheme="minorHAnsi"/>
            <w:color w:val="0099FF"/>
          </w:rPr>
          <w:t>https://www.youtube.com/watch?v=S9aJZOtPKc0</w:t>
        </w:r>
      </w:hyperlink>
    </w:p>
    <w:p w14:paraId="13277177" w14:textId="77777777" w:rsidR="00403C72" w:rsidRPr="0051709F" w:rsidRDefault="00403C72" w:rsidP="009B1F89">
      <w:pPr>
        <w:shd w:val="clear" w:color="auto" w:fill="FFFFFF" w:themeFill="background1"/>
        <w:jc w:val="both"/>
        <w:rPr>
          <w:rFonts w:cstheme="minorHAnsi"/>
          <w:color w:val="333333"/>
        </w:rPr>
      </w:pPr>
    </w:p>
    <w:p w14:paraId="33AA3C7F" w14:textId="7B2FA220" w:rsidR="00403C72" w:rsidRPr="00914456" w:rsidRDefault="00403C72" w:rsidP="009B1F89">
      <w:pPr>
        <w:shd w:val="clear" w:color="auto" w:fill="FFFFFF" w:themeFill="background1"/>
        <w:jc w:val="both"/>
        <w:rPr>
          <w:rFonts w:cstheme="minorHAnsi"/>
          <w:color w:val="000000" w:themeColor="text1"/>
        </w:rPr>
      </w:pPr>
      <w:r w:rsidRPr="00914456">
        <w:rPr>
          <w:rFonts w:cstheme="minorHAnsi"/>
          <w:color w:val="000000" w:themeColor="text1"/>
        </w:rPr>
        <w:t>Una actividad propuesta para intervenir sobre pacientes con diabetes tipo 2 es el futbol andante, impartido por un entrenador de futbol certificado por UEFA y supervisado por una enfermera (Barbosa y col, 2023)</w:t>
      </w:r>
      <w:r w:rsidR="004E2F8F">
        <w:rPr>
          <w:rFonts w:cstheme="minorHAnsi"/>
          <w:color w:val="000000" w:themeColor="text1"/>
        </w:rPr>
        <w:t xml:space="preserve"> en Portugal</w:t>
      </w:r>
      <w:r w:rsidRPr="00914456">
        <w:rPr>
          <w:rFonts w:cstheme="minorHAnsi"/>
          <w:color w:val="000000" w:themeColor="text1"/>
        </w:rPr>
        <w:t xml:space="preserve">. Las reglas incluyen que no se puede correr ni con ni sin el balón. Las sesiones de 60 minutos 3 veces a la semana consisten en calentamiento, ejercicios de fuerza y acondicionamiento, ejercicios técnicos, juegos y vuelta a la calma. Presenta una adherencia del 86,5% y altos niveles de </w:t>
      </w:r>
      <w:r w:rsidR="004E2F8F">
        <w:rPr>
          <w:rFonts w:cstheme="minorHAnsi"/>
          <w:color w:val="000000" w:themeColor="text1"/>
        </w:rPr>
        <w:t>diversión</w:t>
      </w:r>
      <w:r w:rsidRPr="00914456">
        <w:rPr>
          <w:rFonts w:cstheme="minorHAnsi"/>
          <w:color w:val="000000" w:themeColor="text1"/>
        </w:rPr>
        <w:t>. Una de las ventajas de este programa es que los investigadores han evaluado los costes de su implementación. Se ha estimado un coste total de 22</w:t>
      </w:r>
      <w:r w:rsidR="004E2F8F">
        <w:rPr>
          <w:rFonts w:cstheme="minorHAnsi"/>
          <w:color w:val="000000" w:themeColor="text1"/>
        </w:rPr>
        <w:t>.</w:t>
      </w:r>
      <w:r w:rsidRPr="00914456">
        <w:rPr>
          <w:rFonts w:cstheme="minorHAnsi"/>
          <w:color w:val="000000" w:themeColor="text1"/>
        </w:rPr>
        <w:t>923 US</w:t>
      </w:r>
      <w:r w:rsidR="004E2F8F">
        <w:rPr>
          <w:rFonts w:cstheme="minorHAnsi"/>
          <w:color w:val="000000" w:themeColor="text1"/>
        </w:rPr>
        <w:t>$</w:t>
      </w:r>
      <w:r w:rsidRPr="00914456">
        <w:rPr>
          <w:rFonts w:cstheme="minorHAnsi"/>
          <w:color w:val="000000" w:themeColor="text1"/>
        </w:rPr>
        <w:t>, siendo el coste por paciente y sesión de 5,31 US</w:t>
      </w:r>
      <w:r w:rsidR="004E2F8F">
        <w:rPr>
          <w:rFonts w:cstheme="minorHAnsi"/>
          <w:color w:val="000000" w:themeColor="text1"/>
        </w:rPr>
        <w:t>$</w:t>
      </w:r>
      <w:r w:rsidRPr="00914456">
        <w:rPr>
          <w:rFonts w:cstheme="minorHAnsi"/>
          <w:color w:val="000000" w:themeColor="text1"/>
        </w:rPr>
        <w:t xml:space="preserve">, es decir, un total de 573,04 </w:t>
      </w:r>
      <w:r w:rsidR="004E2F8F">
        <w:rPr>
          <w:rFonts w:cstheme="minorHAnsi"/>
          <w:color w:val="000000" w:themeColor="text1"/>
        </w:rPr>
        <w:t>US$</w:t>
      </w:r>
      <w:r w:rsidRPr="00914456">
        <w:rPr>
          <w:rFonts w:cstheme="minorHAnsi"/>
          <w:color w:val="000000" w:themeColor="text1"/>
        </w:rPr>
        <w:t xml:space="preserve">. Son pocos los programas de intervención en Atención Primaria junto con actividades deportivas que evalúan la efectividad y el coste </w:t>
      </w:r>
      <w:proofErr w:type="gramStart"/>
      <w:r w:rsidRPr="00914456">
        <w:rPr>
          <w:rFonts w:cstheme="minorHAnsi"/>
          <w:color w:val="000000" w:themeColor="text1"/>
        </w:rPr>
        <w:t>del mismo</w:t>
      </w:r>
      <w:proofErr w:type="gramEnd"/>
      <w:r w:rsidRPr="00914456">
        <w:rPr>
          <w:rFonts w:cstheme="minorHAnsi"/>
          <w:color w:val="000000" w:themeColor="text1"/>
        </w:rPr>
        <w:t xml:space="preserve">. Se recomienda seguir este ejemplo en los programas que se implementen en España en el marco de la Estrategia Nacional contra el Sedentarismo y la Inactividad Física. </w:t>
      </w:r>
    </w:p>
    <w:p w14:paraId="24DF915B" w14:textId="77777777" w:rsidR="00403C72" w:rsidRPr="0051709F" w:rsidRDefault="00403C72" w:rsidP="009B1F89">
      <w:pPr>
        <w:shd w:val="clear" w:color="auto" w:fill="FFFFFF" w:themeFill="background1"/>
        <w:jc w:val="both"/>
        <w:rPr>
          <w:rFonts w:cstheme="minorHAnsi"/>
          <w:color w:val="333333"/>
        </w:rPr>
      </w:pPr>
    </w:p>
    <w:p w14:paraId="2B015E7A" w14:textId="5F4DA150" w:rsidR="00D3447C" w:rsidRPr="0051709F" w:rsidRDefault="004E2F8F" w:rsidP="009B1F89">
      <w:pPr>
        <w:jc w:val="both"/>
        <w:rPr>
          <w:rFonts w:eastAsia="Calibri" w:cstheme="minorHAnsi"/>
          <w:lang w:val="es"/>
        </w:rPr>
      </w:pPr>
      <w:r>
        <w:rPr>
          <w:rFonts w:cstheme="minorHAnsi"/>
        </w:rPr>
        <w:t>Otro caso es e</w:t>
      </w:r>
      <w:r w:rsidR="00403C72" w:rsidRPr="0051709F">
        <w:rPr>
          <w:rFonts w:cstheme="minorHAnsi"/>
        </w:rPr>
        <w:t>l estudio LOFIT (</w:t>
      </w:r>
      <w:hyperlink r:id="rId49" w:history="1">
        <w:r w:rsidR="00403C72" w:rsidRPr="0051709F">
          <w:rPr>
            <w:rStyle w:val="Hipervnculo"/>
            <w:rFonts w:cstheme="minorHAnsi"/>
          </w:rPr>
          <w:t>https://www.lofitleefstijlloket.nl/</w:t>
        </w:r>
      </w:hyperlink>
      <w:r w:rsidR="00403C72" w:rsidRPr="0051709F">
        <w:rPr>
          <w:rFonts w:cstheme="minorHAnsi"/>
        </w:rPr>
        <w:t>)</w:t>
      </w:r>
      <w:r>
        <w:rPr>
          <w:rFonts w:cstheme="minorHAnsi"/>
        </w:rPr>
        <w:t>, que</w:t>
      </w:r>
      <w:r w:rsidR="00403C72" w:rsidRPr="0051709F">
        <w:rPr>
          <w:rFonts w:cstheme="minorHAnsi"/>
        </w:rPr>
        <w:t xml:space="preserve"> propone crear una oficina o </w:t>
      </w:r>
      <w:proofErr w:type="spellStart"/>
      <w:r w:rsidRPr="007B667D">
        <w:rPr>
          <w:rFonts w:eastAsia="Calibri" w:cstheme="minorHAnsi"/>
          <w:i/>
          <w:iCs/>
          <w:color w:val="202124"/>
          <w:lang w:val="es"/>
        </w:rPr>
        <w:t>f</w:t>
      </w:r>
      <w:r w:rsidR="00403C72" w:rsidRPr="007B667D">
        <w:rPr>
          <w:rFonts w:eastAsia="Calibri" w:cstheme="minorHAnsi"/>
          <w:i/>
          <w:iCs/>
          <w:color w:val="202124"/>
          <w:lang w:val="es"/>
        </w:rPr>
        <w:t>ront</w:t>
      </w:r>
      <w:proofErr w:type="spellEnd"/>
      <w:r w:rsidR="00403C72" w:rsidRPr="007B667D">
        <w:rPr>
          <w:rFonts w:eastAsia="Calibri" w:cstheme="minorHAnsi"/>
          <w:i/>
          <w:iCs/>
          <w:color w:val="202124"/>
          <w:lang w:val="es"/>
        </w:rPr>
        <w:t xml:space="preserve"> office</w:t>
      </w:r>
      <w:r w:rsidR="00403C72" w:rsidRPr="0051709F">
        <w:rPr>
          <w:rFonts w:eastAsia="Calibri" w:cstheme="minorHAnsi"/>
          <w:color w:val="202124"/>
          <w:lang w:val="es"/>
        </w:rPr>
        <w:t xml:space="preserve"> dedicada al estilo de vida (LFO) en atención secundaria/terciaria, al ya estar de sobra estudiado según los autores </w:t>
      </w:r>
      <w:r w:rsidR="000C0037">
        <w:rPr>
          <w:rFonts w:eastAsia="Calibri" w:cstheme="minorHAnsi"/>
          <w:color w:val="202124"/>
          <w:lang w:val="es"/>
        </w:rPr>
        <w:t>q</w:t>
      </w:r>
      <w:r w:rsidR="00403C72" w:rsidRPr="0051709F">
        <w:rPr>
          <w:rFonts w:eastAsia="Calibri" w:cstheme="minorHAnsi"/>
          <w:color w:val="202124"/>
          <w:lang w:val="es"/>
        </w:rPr>
        <w:t xml:space="preserve">ue los médicos no tienen tiempo para dedicarle a la “medicina del estilo de vida”. Se crea la figura del “Agente del estilo de vida”. Durante una primera visita, el agente del estilo de vida hará una valoración motivacional siguiendo seis pasos. </w:t>
      </w:r>
      <w:r w:rsidR="00403C72" w:rsidRPr="0051709F">
        <w:rPr>
          <w:rFonts w:eastAsia="Calibri" w:cstheme="minorHAnsi"/>
          <w:lang w:val="es"/>
        </w:rPr>
        <w:t>En estos seis pasos</w:t>
      </w:r>
      <w:r>
        <w:rPr>
          <w:rFonts w:eastAsia="Calibri" w:cstheme="minorHAnsi"/>
          <w:lang w:val="es"/>
        </w:rPr>
        <w:t>:</w:t>
      </w:r>
      <w:r w:rsidR="00403C72" w:rsidRPr="0051709F">
        <w:rPr>
          <w:rFonts w:eastAsia="Calibri" w:cstheme="minorHAnsi"/>
          <w:lang w:val="es"/>
        </w:rPr>
        <w:t xml:space="preserve"> el paciente y el agente de estilo de vida (1) se comprometerán entre sí. La actitud básica del agente de estilo de vida </w:t>
      </w:r>
      <w:r w:rsidR="00403C72" w:rsidRPr="0051709F">
        <w:rPr>
          <w:rFonts w:eastAsia="Calibri" w:cstheme="minorHAnsi"/>
          <w:lang w:val="es"/>
        </w:rPr>
        <w:lastRenderedPageBreak/>
        <w:t>hacia el paciente es sincera, empática, respetuosa y no juzga. En esta condición, es mucho más probable que los pacientes hablen libremente sobre sus luchas con problemas de estilo de vida y estarán más preparados para encontrar soluciones juntos; (2) determinar el comportamiento preferido para cambiar</w:t>
      </w:r>
      <w:r>
        <w:rPr>
          <w:rFonts w:eastAsia="Calibri" w:cstheme="minorHAnsi"/>
          <w:lang w:val="es"/>
        </w:rPr>
        <w:t>,</w:t>
      </w:r>
      <w:r w:rsidR="00403C72" w:rsidRPr="0051709F">
        <w:rPr>
          <w:rFonts w:eastAsia="Calibri" w:cstheme="minorHAnsi"/>
          <w:lang w:val="es"/>
        </w:rPr>
        <w:t xml:space="preserve"> es decir, actividad física, alimentación saludable, tabaquismo, estrés, alcohol, sueño</w:t>
      </w:r>
      <w:r>
        <w:rPr>
          <w:rFonts w:eastAsia="Calibri" w:cstheme="minorHAnsi"/>
          <w:lang w:val="es"/>
        </w:rPr>
        <w:t>,</w:t>
      </w:r>
      <w:r w:rsidR="00403C72" w:rsidRPr="0051709F">
        <w:rPr>
          <w:rFonts w:eastAsia="Calibri" w:cstheme="minorHAnsi"/>
          <w:lang w:val="es"/>
        </w:rPr>
        <w:t>; (3) discutir</w:t>
      </w:r>
      <w:r w:rsidR="00621565">
        <w:rPr>
          <w:rFonts w:eastAsia="Calibri" w:cstheme="minorHAnsi"/>
          <w:lang w:val="es"/>
        </w:rPr>
        <w:t>:</w:t>
      </w:r>
      <w:r w:rsidR="00403C72" w:rsidRPr="0051709F">
        <w:rPr>
          <w:rFonts w:eastAsia="Calibri" w:cstheme="minorHAnsi"/>
          <w:lang w:val="es"/>
        </w:rPr>
        <w:t xml:space="preserve"> pros y contras con respecto al estilo de vida actual y con respecto al cambio de estilo de vida previsto; b) las capacidades y oportunidades en el contexto del paciente (nivel de alfabetización (sanitaria), barreras lingüísticas, apoyo social y/o barreras sociales, barreras psicológicas, factores culturales y religiosos, situación financiera personal); las preferencias del paciente con respecto a la supervisión del cambio de estilo de vida (grupal, individual, ninguna); (4) </w:t>
      </w:r>
      <w:r w:rsidR="00621565">
        <w:rPr>
          <w:rFonts w:eastAsia="Calibri" w:cstheme="minorHAnsi"/>
          <w:lang w:val="es"/>
        </w:rPr>
        <w:t xml:space="preserve">el cuarto paso es </w:t>
      </w:r>
      <w:r w:rsidR="00403C72" w:rsidRPr="0051709F">
        <w:rPr>
          <w:rFonts w:eastAsia="Calibri" w:cstheme="minorHAnsi"/>
          <w:lang w:val="es"/>
        </w:rPr>
        <w:t xml:space="preserve">discutir qué iniciativa basada en el vecindario y la comunidad es la más adecuada para el paciente, teniendo en cuenta todos los factores del punto </w:t>
      </w:r>
      <w:r w:rsidR="00621565">
        <w:rPr>
          <w:rFonts w:eastAsia="Calibri" w:cstheme="minorHAnsi"/>
          <w:lang w:val="es"/>
        </w:rPr>
        <w:t>anterior</w:t>
      </w:r>
      <w:r w:rsidR="00403C72" w:rsidRPr="0051709F">
        <w:rPr>
          <w:rFonts w:eastAsia="Calibri" w:cstheme="minorHAnsi"/>
          <w:lang w:val="es"/>
        </w:rPr>
        <w:t>; (5) establecer un plan de acción específico al que se comprometan los pacientes; (6) poner en práctica el plan de acción, que conduce a una derivación a un programa comunitario de estilo de vida</w:t>
      </w:r>
      <w:r w:rsidR="00621565">
        <w:rPr>
          <w:rFonts w:eastAsia="Calibri" w:cstheme="minorHAnsi"/>
          <w:lang w:val="es"/>
        </w:rPr>
        <w:t>,</w:t>
      </w:r>
      <w:r w:rsidR="00403C72" w:rsidRPr="0051709F">
        <w:rPr>
          <w:rFonts w:eastAsia="Calibri" w:cstheme="minorHAnsi"/>
          <w:lang w:val="es"/>
        </w:rPr>
        <w:t xml:space="preserve"> por ejemplo, programas combinados de intervención en el estilo de vida, entrenadores para dejar de fumar, entrenadores de estilo de vida, entrenadores de actividad física, psicólogos, dietistas, fisioterapeutas, médicos generales, grupos locales de caminatas, gimnasio (de prevención), dominio social, asesoramiento sobre deudas, tratamiento de adicciones y a consensos prácticos sobre el seguimiento (van D</w:t>
      </w:r>
      <w:proofErr w:type="spellStart"/>
      <w:r w:rsidR="00403C72" w:rsidRPr="0051709F">
        <w:rPr>
          <w:rFonts w:cstheme="minorHAnsi"/>
        </w:rPr>
        <w:t>ij</w:t>
      </w:r>
      <w:proofErr w:type="spellEnd"/>
      <w:r w:rsidR="00403C72" w:rsidRPr="0051709F">
        <w:rPr>
          <w:rFonts w:eastAsia="Calibri" w:cstheme="minorHAnsi"/>
          <w:lang w:val="es"/>
        </w:rPr>
        <w:t>k y col, 2023).</w:t>
      </w:r>
    </w:p>
    <w:p w14:paraId="7BFE490A" w14:textId="77777777" w:rsidR="00D3447C" w:rsidRPr="0051709F" w:rsidRDefault="00D3447C" w:rsidP="009B1F89">
      <w:pPr>
        <w:jc w:val="both"/>
        <w:rPr>
          <w:rFonts w:eastAsia="Calibri" w:cstheme="minorHAnsi"/>
          <w:lang w:val="es"/>
        </w:rPr>
      </w:pPr>
    </w:p>
    <w:p w14:paraId="7FA54406" w14:textId="77777777" w:rsidR="00403C72" w:rsidRPr="0051709F" w:rsidRDefault="00403C72" w:rsidP="009B1F89">
      <w:pPr>
        <w:jc w:val="both"/>
        <w:rPr>
          <w:rFonts w:eastAsia="Calibri" w:cstheme="minorHAnsi"/>
          <w:color w:val="202124"/>
          <w:lang w:val="es"/>
        </w:rPr>
      </w:pPr>
    </w:p>
    <w:p w14:paraId="022F8ED9" w14:textId="26B7E1D5" w:rsidR="00403C72" w:rsidRPr="007B667D" w:rsidRDefault="00403C72" w:rsidP="00D3447C">
      <w:pPr>
        <w:jc w:val="center"/>
        <w:rPr>
          <w:rFonts w:cstheme="minorHAnsi"/>
          <w:sz w:val="22"/>
          <w:szCs w:val="22"/>
        </w:rPr>
      </w:pPr>
      <w:r w:rsidRPr="0051709F">
        <w:rPr>
          <w:rFonts w:cstheme="minorHAnsi"/>
          <w:noProof/>
          <w:lang w:val="en-GB" w:eastAsia="en-GB"/>
        </w:rPr>
        <w:drawing>
          <wp:inline distT="0" distB="0" distL="0" distR="0" wp14:anchorId="48609BF4" wp14:editId="3D4BB2F6">
            <wp:extent cx="4572000" cy="3267075"/>
            <wp:effectExtent l="0" t="0" r="0" b="0"/>
            <wp:docPr id="1332655344" name="Imagen 133265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572000" cy="3267075"/>
                    </a:xfrm>
                    <a:prstGeom prst="rect">
                      <a:avLst/>
                    </a:prstGeom>
                  </pic:spPr>
                </pic:pic>
              </a:graphicData>
            </a:graphic>
          </wp:inline>
        </w:drawing>
      </w:r>
      <w:r w:rsidRPr="0051709F">
        <w:rPr>
          <w:rFonts w:cstheme="minorHAnsi"/>
        </w:rPr>
        <w:br/>
      </w:r>
      <w:r w:rsidRPr="007B667D">
        <w:rPr>
          <w:rFonts w:cstheme="minorHAnsi"/>
          <w:sz w:val="22"/>
          <w:szCs w:val="22"/>
        </w:rPr>
        <w:t xml:space="preserve">Figura </w:t>
      </w:r>
      <w:r w:rsidR="000A7FE9" w:rsidRPr="007B667D">
        <w:rPr>
          <w:rFonts w:cstheme="minorHAnsi"/>
          <w:sz w:val="22"/>
          <w:szCs w:val="22"/>
        </w:rPr>
        <w:t>20</w:t>
      </w:r>
      <w:r w:rsidRPr="007B667D">
        <w:rPr>
          <w:rFonts w:cstheme="minorHAnsi"/>
          <w:sz w:val="22"/>
          <w:szCs w:val="22"/>
        </w:rPr>
        <w:t>. Tránsito del paciente en la intervención LOFIT</w:t>
      </w:r>
      <w:r w:rsidR="00145599" w:rsidRPr="007B667D">
        <w:rPr>
          <w:rFonts w:cstheme="minorHAnsi"/>
          <w:sz w:val="22"/>
          <w:szCs w:val="22"/>
        </w:rPr>
        <w:t>.</w:t>
      </w:r>
    </w:p>
    <w:p w14:paraId="22112BED" w14:textId="77777777" w:rsidR="00D3447C" w:rsidRPr="0051709F" w:rsidRDefault="00D3447C" w:rsidP="00D3447C">
      <w:pPr>
        <w:jc w:val="center"/>
        <w:rPr>
          <w:rFonts w:cstheme="minorHAnsi"/>
        </w:rPr>
      </w:pPr>
    </w:p>
    <w:p w14:paraId="25DC6DA3" w14:textId="77777777" w:rsidR="00D3447C" w:rsidRPr="0051709F" w:rsidRDefault="00D3447C" w:rsidP="00D3447C">
      <w:pPr>
        <w:jc w:val="center"/>
        <w:rPr>
          <w:rFonts w:cstheme="minorHAnsi"/>
        </w:rPr>
      </w:pPr>
    </w:p>
    <w:p w14:paraId="74F44A87" w14:textId="69616D34" w:rsidR="00403C72" w:rsidRPr="000C0037" w:rsidRDefault="00403C72" w:rsidP="009B1F89">
      <w:pPr>
        <w:jc w:val="both"/>
        <w:rPr>
          <w:rFonts w:eastAsia="Calibri" w:cstheme="minorHAnsi"/>
        </w:rPr>
      </w:pPr>
      <w:r w:rsidRPr="0051709F">
        <w:rPr>
          <w:rFonts w:eastAsia="Calibri" w:cstheme="minorHAnsi"/>
        </w:rPr>
        <w:t>Después de la derivación a una iniciativa de estilo de vida comunitaria, el agente de estilo de vida supervisará el progreso y mantendrá el contacto a través de una plataforma de comunicación de red segura en línea mientras el paciente esté bajo tratamiento en el hospital</w:t>
      </w:r>
      <w:r w:rsidR="00F02618" w:rsidRPr="0051709F">
        <w:rPr>
          <w:rFonts w:eastAsia="Calibri" w:cstheme="minorHAnsi"/>
        </w:rPr>
        <w:t xml:space="preserve"> (Figura </w:t>
      </w:r>
      <w:r w:rsidR="000A7FE9" w:rsidRPr="0051709F">
        <w:rPr>
          <w:rFonts w:eastAsia="Calibri" w:cstheme="minorHAnsi"/>
        </w:rPr>
        <w:t>20</w:t>
      </w:r>
      <w:r w:rsidR="00F02618" w:rsidRPr="0051709F">
        <w:rPr>
          <w:rFonts w:eastAsia="Calibri" w:cstheme="minorHAnsi"/>
        </w:rPr>
        <w:t>)</w:t>
      </w:r>
      <w:r w:rsidRPr="0051709F">
        <w:rPr>
          <w:rFonts w:eastAsia="Calibri" w:cstheme="minorHAnsi"/>
        </w:rPr>
        <w:t xml:space="preserve">. Esta plataforma permite la comunicación entre el paciente, las iniciativas de estilo de vida basadas en la comunidad y otras partes </w:t>
      </w:r>
      <w:r w:rsidRPr="0051709F">
        <w:rPr>
          <w:rFonts w:eastAsia="Calibri" w:cstheme="minorHAnsi"/>
        </w:rPr>
        <w:lastRenderedPageBreak/>
        <w:t>interesadas relevantes</w:t>
      </w:r>
      <w:r w:rsidR="00621565">
        <w:rPr>
          <w:rFonts w:eastAsia="Calibri" w:cstheme="minorHAnsi"/>
        </w:rPr>
        <w:t>,</w:t>
      </w:r>
      <w:r w:rsidRPr="0051709F">
        <w:rPr>
          <w:rFonts w:eastAsia="Calibri" w:cstheme="minorHAnsi"/>
        </w:rPr>
        <w:t xml:space="preserve"> por ejemplo, médico de AP</w:t>
      </w:r>
      <w:r w:rsidR="00621565">
        <w:rPr>
          <w:rFonts w:eastAsia="Calibri" w:cstheme="minorHAnsi"/>
        </w:rPr>
        <w:t xml:space="preserve"> o </w:t>
      </w:r>
      <w:r w:rsidRPr="0051709F">
        <w:rPr>
          <w:rFonts w:eastAsia="Calibri" w:cstheme="minorHAnsi"/>
        </w:rPr>
        <w:t>cuidador informal). La frecuencia de contacto entre las partes involucradas se adapta a las preferencias de los pacientes, las necesidades y las citas hospitalarias programadas. La duración de la intervención dependerá de la iniciativa de estilo de vida basada en la comunidad a la que se ha derivado al paciente. El agente de estilo de vida informará al profesional sanitario</w:t>
      </w:r>
      <w:r w:rsidR="00621565">
        <w:rPr>
          <w:rFonts w:eastAsia="Calibri" w:cstheme="minorHAnsi"/>
        </w:rPr>
        <w:t>,</w:t>
      </w:r>
      <w:r w:rsidRPr="0051709F">
        <w:rPr>
          <w:rFonts w:eastAsia="Calibri" w:cstheme="minorHAnsi"/>
        </w:rPr>
        <w:t xml:space="preserve"> regularmente </w:t>
      </w:r>
      <w:r w:rsidR="00621565" w:rsidRPr="0051709F">
        <w:rPr>
          <w:rFonts w:eastAsia="Calibri" w:cstheme="minorHAnsi"/>
        </w:rPr>
        <w:t>en el hospital</w:t>
      </w:r>
      <w:r w:rsidR="00621565">
        <w:rPr>
          <w:rFonts w:eastAsia="Calibri" w:cstheme="minorHAnsi"/>
        </w:rPr>
        <w:t>,</w:t>
      </w:r>
      <w:r w:rsidR="00621565" w:rsidRPr="0051709F">
        <w:rPr>
          <w:rFonts w:eastAsia="Calibri" w:cstheme="minorHAnsi"/>
        </w:rPr>
        <w:t xml:space="preserve"> </w:t>
      </w:r>
      <w:r w:rsidRPr="0051709F">
        <w:rPr>
          <w:rFonts w:eastAsia="Calibri" w:cstheme="minorHAnsi"/>
        </w:rPr>
        <w:t>sobre el progreso de sus pacientes a través del sistema de archivo electrónico del paciente. El proyecto LOFIT pretende evaluar este modelo de intervención mediante un e</w:t>
      </w:r>
      <w:r w:rsidR="00253B19" w:rsidRPr="0051709F">
        <w:rPr>
          <w:rFonts w:eastAsia="Calibri" w:cstheme="minorHAnsi"/>
        </w:rPr>
        <w:t>nsayo aleatorio controlado. La F</w:t>
      </w:r>
      <w:r w:rsidRPr="0051709F">
        <w:rPr>
          <w:rFonts w:eastAsia="Calibri" w:cstheme="minorHAnsi"/>
        </w:rPr>
        <w:t xml:space="preserve">igura </w:t>
      </w:r>
      <w:r w:rsidR="00253B19" w:rsidRPr="0051709F">
        <w:rPr>
          <w:rFonts w:eastAsia="Calibri" w:cstheme="minorHAnsi"/>
        </w:rPr>
        <w:t>20</w:t>
      </w:r>
      <w:r w:rsidRPr="0051709F">
        <w:rPr>
          <w:rFonts w:eastAsia="Calibri" w:cstheme="minorHAnsi"/>
        </w:rPr>
        <w:t xml:space="preserve"> muestra el recorrido que los pacientes emprenderán cuando sean aleatorizados en el grupo de intervención. La investigación se realiza en tres hospitales holandeses con pacientes con enfermedades cardiovasculares (hipertensión, hipercolesterolemia), metabólicas (diabetes tipo I y II) y musculoesqueléticas (osteoartritis, prótesis de rodilla o cadera). </w:t>
      </w:r>
      <w:r w:rsidR="000C0037">
        <w:rPr>
          <w:rFonts w:eastAsia="Calibri" w:cstheme="minorHAnsi"/>
        </w:rPr>
        <w:t xml:space="preserve"> </w:t>
      </w:r>
      <w:r w:rsidRPr="0051709F">
        <w:rPr>
          <w:rFonts w:cstheme="minorHAnsi"/>
        </w:rPr>
        <w:t>El agente de estilo de vida será un profesional con titulación universitaria y formación complementaria (van Dijk y col, 2023).</w:t>
      </w:r>
    </w:p>
    <w:p w14:paraId="4D7FA344" w14:textId="77777777" w:rsidR="00D3447C" w:rsidRPr="0051709F" w:rsidRDefault="00D3447C" w:rsidP="009B1F89">
      <w:pPr>
        <w:jc w:val="both"/>
        <w:rPr>
          <w:rFonts w:cstheme="minorHAnsi"/>
        </w:rPr>
      </w:pPr>
    </w:p>
    <w:p w14:paraId="5ADC1141" w14:textId="1484652E" w:rsidR="00403C72" w:rsidRPr="0051709F" w:rsidRDefault="00403C72" w:rsidP="009B1F89">
      <w:pPr>
        <w:jc w:val="both"/>
        <w:rPr>
          <w:rFonts w:eastAsia="Calibri" w:cstheme="minorHAnsi"/>
        </w:rPr>
      </w:pPr>
      <w:r w:rsidRPr="0051709F">
        <w:rPr>
          <w:rFonts w:eastAsia="Calibri" w:cstheme="minorHAnsi"/>
        </w:rPr>
        <w:t xml:space="preserve">Es interesante destacar </w:t>
      </w:r>
      <w:r w:rsidR="00732169" w:rsidRPr="0051709F">
        <w:rPr>
          <w:rFonts w:eastAsia="Calibri" w:cstheme="minorHAnsi"/>
        </w:rPr>
        <w:t>que,</w:t>
      </w:r>
      <w:r w:rsidRPr="0051709F">
        <w:rPr>
          <w:rFonts w:eastAsia="Calibri" w:cstheme="minorHAnsi"/>
        </w:rPr>
        <w:t xml:space="preserve"> en otro</w:t>
      </w:r>
      <w:r w:rsidR="00621565">
        <w:rPr>
          <w:rFonts w:eastAsia="Calibri" w:cstheme="minorHAnsi"/>
        </w:rPr>
        <w:t>s</w:t>
      </w:r>
      <w:r w:rsidRPr="0051709F">
        <w:rPr>
          <w:rFonts w:eastAsia="Calibri" w:cstheme="minorHAnsi"/>
        </w:rPr>
        <w:t xml:space="preserve"> estudio</w:t>
      </w:r>
      <w:r w:rsidR="00621565">
        <w:rPr>
          <w:rFonts w:eastAsia="Calibri" w:cstheme="minorHAnsi"/>
        </w:rPr>
        <w:t>s</w:t>
      </w:r>
      <w:r w:rsidRPr="0051709F">
        <w:rPr>
          <w:rFonts w:eastAsia="Calibri" w:cstheme="minorHAnsi"/>
        </w:rPr>
        <w:t xml:space="preserve"> realizado</w:t>
      </w:r>
      <w:r w:rsidR="00621565">
        <w:rPr>
          <w:rFonts w:eastAsia="Calibri" w:cstheme="minorHAnsi"/>
        </w:rPr>
        <w:t>s</w:t>
      </w:r>
      <w:r w:rsidRPr="0051709F">
        <w:rPr>
          <w:rFonts w:eastAsia="Calibri" w:cstheme="minorHAnsi"/>
        </w:rPr>
        <w:t xml:space="preserve"> en los Países Bajos</w:t>
      </w:r>
      <w:r w:rsidR="00621565">
        <w:rPr>
          <w:rFonts w:eastAsia="Calibri" w:cstheme="minorHAnsi"/>
        </w:rPr>
        <w:t>,</w:t>
      </w:r>
      <w:r w:rsidRPr="0051709F">
        <w:rPr>
          <w:rFonts w:eastAsia="Calibri" w:cstheme="minorHAnsi"/>
        </w:rPr>
        <w:t xml:space="preserve"> se observó que los pacientes hospitalarios estaban el 90% del tiempo en su habitación, 50% tumbado, 40% sentado y sólo el 10% del tiempo moviéndose, </w:t>
      </w:r>
      <w:r w:rsidR="00F02618" w:rsidRPr="0051709F">
        <w:rPr>
          <w:rFonts w:eastAsia="Calibri" w:cstheme="minorHAnsi"/>
        </w:rPr>
        <w:t>a pesar de que</w:t>
      </w:r>
      <w:r w:rsidRPr="0051709F">
        <w:rPr>
          <w:rFonts w:eastAsia="Calibri" w:cstheme="minorHAnsi"/>
        </w:rPr>
        <w:t xml:space="preserve"> el 67% era capaz de moverse de forma autónoma (</w:t>
      </w:r>
      <w:proofErr w:type="spellStart"/>
      <w:r w:rsidRPr="0051709F">
        <w:rPr>
          <w:rFonts w:eastAsia="Calibri" w:cstheme="minorHAnsi"/>
        </w:rPr>
        <w:t>Valkenet</w:t>
      </w:r>
      <w:proofErr w:type="spellEnd"/>
      <w:r w:rsidRPr="0051709F">
        <w:rPr>
          <w:rFonts w:eastAsia="Calibri" w:cstheme="minorHAnsi"/>
        </w:rPr>
        <w:t xml:space="preserve"> y col, 2019).</w:t>
      </w:r>
    </w:p>
    <w:p w14:paraId="0E17823E" w14:textId="77777777" w:rsidR="00D3447C" w:rsidRPr="0051709F" w:rsidRDefault="00D3447C" w:rsidP="009B1F89">
      <w:pPr>
        <w:jc w:val="both"/>
        <w:rPr>
          <w:rFonts w:eastAsia="Calibri" w:cstheme="minorHAnsi"/>
        </w:rPr>
      </w:pPr>
    </w:p>
    <w:p w14:paraId="00D44F48" w14:textId="40D12A2F" w:rsidR="00403C72" w:rsidRPr="0051709F" w:rsidRDefault="00621565" w:rsidP="009B1F89">
      <w:pPr>
        <w:jc w:val="both"/>
        <w:rPr>
          <w:rFonts w:eastAsia="Calibri" w:cstheme="minorHAnsi"/>
        </w:rPr>
      </w:pPr>
      <w:r>
        <w:rPr>
          <w:rFonts w:eastAsia="Calibri" w:cstheme="minorHAnsi"/>
        </w:rPr>
        <w:t xml:space="preserve">En este sentido, se destaca a continuación el proyecto de Hospitales Activos en el Reino Unido. </w:t>
      </w:r>
      <w:r w:rsidR="00403C72" w:rsidRPr="0051709F">
        <w:rPr>
          <w:rFonts w:eastAsia="Calibri" w:cstheme="minorHAnsi"/>
        </w:rPr>
        <w:t xml:space="preserve">En 2017, </w:t>
      </w:r>
      <w:proofErr w:type="spellStart"/>
      <w:r w:rsidR="00403C72" w:rsidRPr="007B667D">
        <w:rPr>
          <w:rFonts w:eastAsia="Calibri" w:cstheme="minorHAnsi"/>
          <w:i/>
          <w:iCs/>
        </w:rPr>
        <w:t>Public</w:t>
      </w:r>
      <w:proofErr w:type="spellEnd"/>
      <w:r w:rsidR="00403C72" w:rsidRPr="007B667D">
        <w:rPr>
          <w:rFonts w:eastAsia="Calibri" w:cstheme="minorHAnsi"/>
          <w:i/>
          <w:iCs/>
        </w:rPr>
        <w:t xml:space="preserve"> </w:t>
      </w:r>
      <w:proofErr w:type="spellStart"/>
      <w:r w:rsidR="00403C72" w:rsidRPr="007B667D">
        <w:rPr>
          <w:rFonts w:eastAsia="Calibri" w:cstheme="minorHAnsi"/>
          <w:i/>
          <w:iCs/>
        </w:rPr>
        <w:t>Health</w:t>
      </w:r>
      <w:proofErr w:type="spellEnd"/>
      <w:r w:rsidR="00403C72" w:rsidRPr="007B667D">
        <w:rPr>
          <w:rFonts w:eastAsia="Calibri" w:cstheme="minorHAnsi"/>
          <w:i/>
          <w:iCs/>
        </w:rPr>
        <w:t xml:space="preserve"> </w:t>
      </w:r>
      <w:proofErr w:type="spellStart"/>
      <w:r w:rsidR="00403C72" w:rsidRPr="007B667D">
        <w:rPr>
          <w:rFonts w:eastAsia="Calibri" w:cstheme="minorHAnsi"/>
          <w:i/>
          <w:iCs/>
        </w:rPr>
        <w:t>England</w:t>
      </w:r>
      <w:proofErr w:type="spellEnd"/>
      <w:r w:rsidR="00403C72" w:rsidRPr="007B667D">
        <w:rPr>
          <w:rFonts w:eastAsia="Calibri" w:cstheme="minorHAnsi"/>
          <w:i/>
          <w:iCs/>
        </w:rPr>
        <w:t xml:space="preserve"> and Sport</w:t>
      </w:r>
      <w:r w:rsidR="00403C72" w:rsidRPr="0051709F">
        <w:rPr>
          <w:rFonts w:eastAsia="Calibri" w:cstheme="minorHAnsi"/>
        </w:rPr>
        <w:t xml:space="preserve"> encarg</w:t>
      </w:r>
      <w:r>
        <w:rPr>
          <w:rFonts w:eastAsia="Calibri" w:cstheme="minorHAnsi"/>
        </w:rPr>
        <w:t>ó</w:t>
      </w:r>
      <w:r w:rsidR="00403C72" w:rsidRPr="0051709F">
        <w:rPr>
          <w:rFonts w:eastAsia="Calibri" w:cstheme="minorHAnsi"/>
        </w:rPr>
        <w:t xml:space="preserve"> un ensayo piloto para analizar la viabilidad y aceptación de incluir intervenciones de ejercicio físico en hospitales. Consistió en crear una unidad consultora de medicina del deporte y ejercicio (SEM) en el hospital universitario de Oxford en 4 servicios que anteriormente no habían incorporado la AF entre sus protocolos</w:t>
      </w:r>
      <w:r>
        <w:rPr>
          <w:rFonts w:eastAsia="Calibri" w:cstheme="minorHAnsi"/>
        </w:rPr>
        <w:t>:</w:t>
      </w:r>
      <w:r w:rsidR="00403C72" w:rsidRPr="0051709F">
        <w:rPr>
          <w:rFonts w:eastAsia="Calibri" w:cstheme="minorHAnsi"/>
        </w:rPr>
        <w:t xml:space="preserve"> Maternidad, Rehabilitación (post-amputación), Nefrología y Unidad de Medicina Compleja (</w:t>
      </w:r>
      <w:proofErr w:type="spellStart"/>
      <w:r w:rsidR="00403C72" w:rsidRPr="0051709F">
        <w:rPr>
          <w:rFonts w:eastAsia="Calibri" w:cstheme="minorHAnsi"/>
        </w:rPr>
        <w:t>Public</w:t>
      </w:r>
      <w:proofErr w:type="spellEnd"/>
      <w:r w:rsidR="00403C72" w:rsidRPr="0051709F">
        <w:rPr>
          <w:rFonts w:eastAsia="Calibri" w:cstheme="minorHAnsi"/>
        </w:rPr>
        <w:t xml:space="preserve"> </w:t>
      </w:r>
      <w:proofErr w:type="spellStart"/>
      <w:r w:rsidR="00403C72" w:rsidRPr="0051709F">
        <w:rPr>
          <w:rFonts w:eastAsia="Calibri" w:cstheme="minorHAnsi"/>
        </w:rPr>
        <w:t>Health</w:t>
      </w:r>
      <w:proofErr w:type="spellEnd"/>
      <w:r w:rsidR="00403C72" w:rsidRPr="0051709F">
        <w:rPr>
          <w:rFonts w:eastAsia="Calibri" w:cstheme="minorHAnsi"/>
        </w:rPr>
        <w:t xml:space="preserve"> </w:t>
      </w:r>
      <w:proofErr w:type="spellStart"/>
      <w:r w:rsidR="00403C72" w:rsidRPr="0051709F">
        <w:rPr>
          <w:rFonts w:eastAsia="Calibri" w:cstheme="minorHAnsi"/>
        </w:rPr>
        <w:t>England</w:t>
      </w:r>
      <w:proofErr w:type="spellEnd"/>
      <w:r w:rsidR="00403C72" w:rsidRPr="0051709F">
        <w:rPr>
          <w:rFonts w:eastAsia="Calibri" w:cstheme="minorHAnsi"/>
        </w:rPr>
        <w:t xml:space="preserve">, 2020; </w:t>
      </w:r>
      <w:proofErr w:type="spellStart"/>
      <w:r w:rsidR="00403C72" w:rsidRPr="0051709F">
        <w:rPr>
          <w:rFonts w:eastAsia="Calibri" w:cstheme="minorHAnsi"/>
        </w:rPr>
        <w:t>Brannan</w:t>
      </w:r>
      <w:proofErr w:type="spellEnd"/>
      <w:r w:rsidR="00403C72" w:rsidRPr="0051709F">
        <w:rPr>
          <w:rFonts w:eastAsia="Calibri" w:cstheme="minorHAnsi"/>
        </w:rPr>
        <w:t xml:space="preserve"> y col, 2019). Se diseñó una intervención multicomponente, en la que cada servicio tenía un protocolo de intervención diferente ajustado a la situación física y cultural, con el fin de aumentar los niveles de AF tanto durante la estancia hospitalaria como después de recibir el alta. En la Tabla </w:t>
      </w:r>
      <w:r w:rsidR="005B6008" w:rsidRPr="0051709F">
        <w:rPr>
          <w:rFonts w:eastAsia="Calibri" w:cstheme="minorHAnsi"/>
        </w:rPr>
        <w:t>7</w:t>
      </w:r>
      <w:r w:rsidR="00403C72" w:rsidRPr="0051709F">
        <w:rPr>
          <w:rFonts w:eastAsia="Calibri" w:cstheme="minorHAnsi"/>
        </w:rPr>
        <w:t xml:space="preserve"> se puede apreciar la organización interna del programa.</w:t>
      </w:r>
    </w:p>
    <w:p w14:paraId="1D921C2B" w14:textId="77777777" w:rsidR="00D3447C" w:rsidRPr="0051709F" w:rsidRDefault="00D3447C" w:rsidP="009B1F89">
      <w:pPr>
        <w:jc w:val="both"/>
        <w:rPr>
          <w:rFonts w:eastAsia="Calibri" w:cstheme="minorHAnsi"/>
        </w:rPr>
      </w:pPr>
    </w:p>
    <w:p w14:paraId="784B82C9" w14:textId="77777777" w:rsidR="00BF32FF" w:rsidRDefault="00BF32FF" w:rsidP="00145599">
      <w:pPr>
        <w:jc w:val="center"/>
        <w:rPr>
          <w:rFonts w:eastAsia="Calibri" w:cstheme="minorHAnsi"/>
          <w:i/>
          <w:iCs/>
          <w:sz w:val="22"/>
          <w:szCs w:val="22"/>
        </w:rPr>
      </w:pPr>
    </w:p>
    <w:p w14:paraId="1237BF0A" w14:textId="77777777" w:rsidR="00BF32FF" w:rsidRDefault="00BF32FF" w:rsidP="00145599">
      <w:pPr>
        <w:jc w:val="center"/>
        <w:rPr>
          <w:rFonts w:eastAsia="Calibri" w:cstheme="minorHAnsi"/>
          <w:i/>
          <w:iCs/>
          <w:sz w:val="22"/>
          <w:szCs w:val="22"/>
        </w:rPr>
      </w:pPr>
    </w:p>
    <w:p w14:paraId="0185227F" w14:textId="77777777" w:rsidR="00BF32FF" w:rsidRDefault="00BF32FF" w:rsidP="00145599">
      <w:pPr>
        <w:jc w:val="center"/>
        <w:rPr>
          <w:rFonts w:eastAsia="Calibri" w:cstheme="minorHAnsi"/>
          <w:i/>
          <w:iCs/>
          <w:sz w:val="22"/>
          <w:szCs w:val="22"/>
        </w:rPr>
      </w:pPr>
    </w:p>
    <w:p w14:paraId="02575902" w14:textId="77777777" w:rsidR="00BF32FF" w:rsidRDefault="00BF32FF" w:rsidP="00145599">
      <w:pPr>
        <w:jc w:val="center"/>
        <w:rPr>
          <w:rFonts w:eastAsia="Calibri" w:cstheme="minorHAnsi"/>
          <w:i/>
          <w:iCs/>
          <w:sz w:val="22"/>
          <w:szCs w:val="22"/>
        </w:rPr>
      </w:pPr>
    </w:p>
    <w:p w14:paraId="18BB2AB0" w14:textId="77777777" w:rsidR="00BF32FF" w:rsidRDefault="00BF32FF" w:rsidP="00145599">
      <w:pPr>
        <w:jc w:val="center"/>
        <w:rPr>
          <w:rFonts w:eastAsia="Calibri" w:cstheme="minorHAnsi"/>
          <w:i/>
          <w:iCs/>
          <w:sz w:val="22"/>
          <w:szCs w:val="22"/>
        </w:rPr>
      </w:pPr>
    </w:p>
    <w:p w14:paraId="338C9B63" w14:textId="77777777" w:rsidR="00BF32FF" w:rsidRDefault="00BF32FF" w:rsidP="00145599">
      <w:pPr>
        <w:jc w:val="center"/>
        <w:rPr>
          <w:rFonts w:eastAsia="Calibri" w:cstheme="minorHAnsi"/>
          <w:i/>
          <w:iCs/>
          <w:sz w:val="22"/>
          <w:szCs w:val="22"/>
        </w:rPr>
      </w:pPr>
    </w:p>
    <w:p w14:paraId="7DDDACEF" w14:textId="77777777" w:rsidR="00BF32FF" w:rsidRDefault="00BF32FF" w:rsidP="00145599">
      <w:pPr>
        <w:jc w:val="center"/>
        <w:rPr>
          <w:rFonts w:eastAsia="Calibri" w:cstheme="minorHAnsi"/>
          <w:i/>
          <w:iCs/>
          <w:sz w:val="22"/>
          <w:szCs w:val="22"/>
        </w:rPr>
      </w:pPr>
    </w:p>
    <w:p w14:paraId="0A1154B5" w14:textId="77777777" w:rsidR="00BF32FF" w:rsidRDefault="00BF32FF" w:rsidP="00145599">
      <w:pPr>
        <w:jc w:val="center"/>
        <w:rPr>
          <w:rFonts w:eastAsia="Calibri" w:cstheme="minorHAnsi"/>
          <w:i/>
          <w:iCs/>
          <w:sz w:val="22"/>
          <w:szCs w:val="22"/>
        </w:rPr>
      </w:pPr>
    </w:p>
    <w:p w14:paraId="409DE2AF" w14:textId="77777777" w:rsidR="00BF32FF" w:rsidRDefault="00BF32FF" w:rsidP="00145599">
      <w:pPr>
        <w:jc w:val="center"/>
        <w:rPr>
          <w:rFonts w:eastAsia="Calibri" w:cstheme="minorHAnsi"/>
          <w:i/>
          <w:iCs/>
          <w:sz w:val="22"/>
          <w:szCs w:val="22"/>
        </w:rPr>
      </w:pPr>
    </w:p>
    <w:p w14:paraId="2DD479FC" w14:textId="77777777" w:rsidR="00BF32FF" w:rsidRDefault="00BF32FF" w:rsidP="00145599">
      <w:pPr>
        <w:jc w:val="center"/>
        <w:rPr>
          <w:rFonts w:eastAsia="Calibri" w:cstheme="minorHAnsi"/>
          <w:i/>
          <w:iCs/>
          <w:sz w:val="22"/>
          <w:szCs w:val="22"/>
        </w:rPr>
      </w:pPr>
    </w:p>
    <w:p w14:paraId="1DC9EA99" w14:textId="77777777" w:rsidR="00BF32FF" w:rsidRDefault="00BF32FF" w:rsidP="00145599">
      <w:pPr>
        <w:jc w:val="center"/>
        <w:rPr>
          <w:rFonts w:eastAsia="Calibri" w:cstheme="minorHAnsi"/>
          <w:i/>
          <w:iCs/>
          <w:sz w:val="22"/>
          <w:szCs w:val="22"/>
        </w:rPr>
      </w:pPr>
    </w:p>
    <w:p w14:paraId="5055F866" w14:textId="77777777" w:rsidR="00BF32FF" w:rsidRDefault="00BF32FF" w:rsidP="00145599">
      <w:pPr>
        <w:jc w:val="center"/>
        <w:rPr>
          <w:rFonts w:eastAsia="Calibri" w:cstheme="minorHAnsi"/>
          <w:i/>
          <w:iCs/>
          <w:sz w:val="22"/>
          <w:szCs w:val="22"/>
        </w:rPr>
      </w:pPr>
    </w:p>
    <w:p w14:paraId="370DBDB7" w14:textId="77777777" w:rsidR="00BF32FF" w:rsidRDefault="00BF32FF" w:rsidP="00145599">
      <w:pPr>
        <w:jc w:val="center"/>
        <w:rPr>
          <w:rFonts w:eastAsia="Calibri" w:cstheme="minorHAnsi"/>
          <w:i/>
          <w:iCs/>
          <w:sz w:val="22"/>
          <w:szCs w:val="22"/>
        </w:rPr>
      </w:pPr>
    </w:p>
    <w:p w14:paraId="530F5E5E" w14:textId="77777777" w:rsidR="00BF32FF" w:rsidRDefault="00BF32FF" w:rsidP="00145599">
      <w:pPr>
        <w:jc w:val="center"/>
        <w:rPr>
          <w:rFonts w:eastAsia="Calibri" w:cstheme="minorHAnsi"/>
          <w:i/>
          <w:iCs/>
          <w:sz w:val="22"/>
          <w:szCs w:val="22"/>
        </w:rPr>
      </w:pPr>
    </w:p>
    <w:p w14:paraId="26146F43" w14:textId="77777777" w:rsidR="00BF32FF" w:rsidRDefault="00BF32FF" w:rsidP="00145599">
      <w:pPr>
        <w:jc w:val="center"/>
        <w:rPr>
          <w:rFonts w:eastAsia="Calibri" w:cstheme="minorHAnsi"/>
          <w:i/>
          <w:iCs/>
          <w:sz w:val="22"/>
          <w:szCs w:val="22"/>
        </w:rPr>
      </w:pPr>
    </w:p>
    <w:p w14:paraId="24CA966E" w14:textId="77777777" w:rsidR="00BF32FF" w:rsidRDefault="00BF32FF" w:rsidP="00145599">
      <w:pPr>
        <w:jc w:val="center"/>
        <w:rPr>
          <w:rFonts w:eastAsia="Calibri" w:cstheme="minorHAnsi"/>
          <w:i/>
          <w:iCs/>
          <w:sz w:val="22"/>
          <w:szCs w:val="22"/>
        </w:rPr>
      </w:pPr>
    </w:p>
    <w:p w14:paraId="472652AB" w14:textId="78FD3441" w:rsidR="00403C72" w:rsidRPr="007B667D" w:rsidRDefault="00403C72" w:rsidP="00145599">
      <w:pPr>
        <w:jc w:val="center"/>
        <w:rPr>
          <w:rFonts w:eastAsia="Calibri" w:cstheme="minorHAnsi"/>
          <w:bCs/>
          <w:i/>
          <w:iCs/>
          <w:sz w:val="22"/>
          <w:szCs w:val="22"/>
        </w:rPr>
      </w:pPr>
      <w:r w:rsidRPr="007B667D">
        <w:rPr>
          <w:rFonts w:eastAsia="Calibri" w:cstheme="minorHAnsi"/>
          <w:i/>
          <w:iCs/>
          <w:sz w:val="22"/>
          <w:szCs w:val="22"/>
        </w:rPr>
        <w:lastRenderedPageBreak/>
        <w:t xml:space="preserve">Tabla </w:t>
      </w:r>
      <w:r w:rsidR="005B6008" w:rsidRPr="007B667D">
        <w:rPr>
          <w:rFonts w:eastAsia="Calibri" w:cstheme="minorHAnsi"/>
          <w:i/>
          <w:iCs/>
          <w:sz w:val="22"/>
          <w:szCs w:val="22"/>
        </w:rPr>
        <w:t>7</w:t>
      </w:r>
      <w:r w:rsidRPr="007B667D">
        <w:rPr>
          <w:rFonts w:eastAsia="Calibri" w:cstheme="minorHAnsi"/>
          <w:i/>
          <w:iCs/>
          <w:sz w:val="22"/>
          <w:szCs w:val="22"/>
        </w:rPr>
        <w:t xml:space="preserve">. </w:t>
      </w:r>
      <w:r w:rsidRPr="007B667D">
        <w:rPr>
          <w:rFonts w:eastAsia="Calibri" w:cstheme="minorHAnsi"/>
          <w:bCs/>
          <w:i/>
          <w:iCs/>
          <w:sz w:val="22"/>
          <w:szCs w:val="22"/>
        </w:rPr>
        <w:t>Estructura del equipo encargado de desarrollar el piloto de Hospital Activo en el Hospital de Oxford</w:t>
      </w:r>
    </w:p>
    <w:p w14:paraId="78BC0777" w14:textId="7C5F64CD" w:rsidR="00D3447C" w:rsidRPr="0051709F" w:rsidRDefault="00403C72" w:rsidP="009B1F89">
      <w:pPr>
        <w:jc w:val="both"/>
        <w:rPr>
          <w:rFonts w:eastAsia="Calibri" w:cstheme="minorHAnsi"/>
        </w:rPr>
      </w:pPr>
      <w:r w:rsidRPr="0051709F">
        <w:rPr>
          <w:rFonts w:eastAsia="Calibri" w:cstheme="minorHAnsi"/>
        </w:rPr>
        <w:t xml:space="preserve"> </w:t>
      </w:r>
      <w:r w:rsidR="00BF32FF">
        <w:rPr>
          <w:noProof/>
        </w:rPr>
        <w:drawing>
          <wp:inline distT="0" distB="0" distL="0" distR="0" wp14:anchorId="72AAF465" wp14:editId="38949F3C">
            <wp:extent cx="5560749" cy="3219450"/>
            <wp:effectExtent l="0" t="0" r="1905" b="0"/>
            <wp:docPr id="94851866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18668" name="Imagen 1" descr="Interfaz de usuario gráfica, Texto, Aplicación&#10;&#10;Descripción generada automáticamente"/>
                    <pic:cNvPicPr/>
                  </pic:nvPicPr>
                  <pic:blipFill>
                    <a:blip r:embed="rId51"/>
                    <a:stretch>
                      <a:fillRect/>
                    </a:stretch>
                  </pic:blipFill>
                  <pic:spPr>
                    <a:xfrm>
                      <a:off x="0" y="0"/>
                      <a:ext cx="5565789" cy="3222368"/>
                    </a:xfrm>
                    <a:prstGeom prst="rect">
                      <a:avLst/>
                    </a:prstGeom>
                  </pic:spPr>
                </pic:pic>
              </a:graphicData>
            </a:graphic>
          </wp:inline>
        </w:drawing>
      </w:r>
    </w:p>
    <w:p w14:paraId="5DBE5F73" w14:textId="77777777" w:rsidR="00D3447C" w:rsidRPr="0051709F" w:rsidRDefault="00D3447C" w:rsidP="009B1F89">
      <w:pPr>
        <w:jc w:val="both"/>
        <w:rPr>
          <w:rFonts w:eastAsia="Calibri" w:cstheme="minorHAnsi"/>
        </w:rPr>
      </w:pPr>
    </w:p>
    <w:p w14:paraId="6CAF7B5E" w14:textId="2FC6DEAC" w:rsidR="00403C72" w:rsidRPr="0051709F" w:rsidRDefault="00403C72" w:rsidP="009B1F89">
      <w:pPr>
        <w:jc w:val="both"/>
        <w:rPr>
          <w:rFonts w:eastAsia="Calibri" w:cstheme="minorHAnsi"/>
        </w:rPr>
      </w:pPr>
      <w:r w:rsidRPr="0051709F">
        <w:rPr>
          <w:rFonts w:eastAsia="Calibri" w:cstheme="minorHAnsi"/>
        </w:rPr>
        <w:t>En 2021, Myers y col. analizaron mediante metodología cualitativa (entrevistas) y datos objetivos el resultado general de</w:t>
      </w:r>
      <w:r w:rsidR="00F53E19">
        <w:rPr>
          <w:rFonts w:eastAsia="Calibri" w:cstheme="minorHAnsi"/>
        </w:rPr>
        <w:t xml:space="preserve"> este</w:t>
      </w:r>
      <w:r w:rsidRPr="0051709F">
        <w:rPr>
          <w:rFonts w:eastAsia="Calibri" w:cstheme="minorHAnsi"/>
        </w:rPr>
        <w:t xml:space="preserve"> ensayo piloto.</w:t>
      </w:r>
    </w:p>
    <w:p w14:paraId="34A07751" w14:textId="77777777" w:rsidR="00D3447C" w:rsidRPr="0051709F" w:rsidRDefault="00D3447C" w:rsidP="009B1F89">
      <w:pPr>
        <w:jc w:val="both"/>
        <w:rPr>
          <w:rFonts w:eastAsia="Calibri" w:cstheme="minorHAnsi"/>
        </w:rPr>
      </w:pPr>
    </w:p>
    <w:p w14:paraId="231CAD9A" w14:textId="7F771C6C" w:rsidR="00403C72" w:rsidRPr="0051709F" w:rsidRDefault="00403C72" w:rsidP="009B1F89">
      <w:pPr>
        <w:jc w:val="both"/>
        <w:rPr>
          <w:rFonts w:eastAsia="Calibri" w:cstheme="minorHAnsi"/>
        </w:rPr>
      </w:pPr>
      <w:r w:rsidRPr="0051709F">
        <w:rPr>
          <w:rFonts w:eastAsia="Calibri" w:cstheme="minorHAnsi"/>
        </w:rPr>
        <w:t xml:space="preserve">Las entrevistas identificaron la importancia de que el ensayo piloto de Hospital Activo </w:t>
      </w:r>
      <w:r w:rsidR="0050480B">
        <w:rPr>
          <w:rFonts w:eastAsia="Calibri" w:cstheme="minorHAnsi"/>
        </w:rPr>
        <w:t>fuera</w:t>
      </w:r>
      <w:r w:rsidR="0050480B" w:rsidRPr="0051709F">
        <w:rPr>
          <w:rFonts w:eastAsia="Calibri" w:cstheme="minorHAnsi"/>
        </w:rPr>
        <w:t xml:space="preserve"> </w:t>
      </w:r>
      <w:r w:rsidRPr="0051709F">
        <w:rPr>
          <w:rFonts w:eastAsia="Calibri" w:cstheme="minorHAnsi"/>
        </w:rPr>
        <w:t>dirigido por un consultor especializado SEM</w:t>
      </w:r>
      <w:r w:rsidR="0050480B">
        <w:rPr>
          <w:rFonts w:eastAsia="Calibri" w:cstheme="minorHAnsi"/>
        </w:rPr>
        <w:t>, y ello por:</w:t>
      </w:r>
      <w:r w:rsidRPr="0051709F">
        <w:rPr>
          <w:rFonts w:eastAsia="Calibri" w:cstheme="minorHAnsi"/>
        </w:rPr>
        <w:t xml:space="preserve"> i) tener relaciones de confianza con los tomadores de decisiones, </w:t>
      </w:r>
      <w:proofErr w:type="spellStart"/>
      <w:r w:rsidRPr="0051709F">
        <w:rPr>
          <w:rFonts w:eastAsia="Calibri" w:cstheme="minorHAnsi"/>
        </w:rPr>
        <w:t>ii</w:t>
      </w:r>
      <w:proofErr w:type="spellEnd"/>
      <w:r w:rsidRPr="0051709F">
        <w:rPr>
          <w:rFonts w:eastAsia="Calibri" w:cstheme="minorHAnsi"/>
        </w:rPr>
        <w:t xml:space="preserve">) tener suficiente influencia para efectuar el cambio, </w:t>
      </w:r>
      <w:proofErr w:type="spellStart"/>
      <w:r w:rsidRPr="0051709F">
        <w:rPr>
          <w:rFonts w:eastAsia="Calibri" w:cstheme="minorHAnsi"/>
        </w:rPr>
        <w:t>iii</w:t>
      </w:r>
      <w:proofErr w:type="spellEnd"/>
      <w:r w:rsidRPr="0051709F">
        <w:rPr>
          <w:rFonts w:eastAsia="Calibri" w:cstheme="minorHAnsi"/>
        </w:rPr>
        <w:t xml:space="preserve">) identificar campeones (convencidos) dentro del sistema, y </w:t>
      </w:r>
      <w:proofErr w:type="spellStart"/>
      <w:r w:rsidRPr="0051709F">
        <w:rPr>
          <w:rFonts w:eastAsia="Calibri" w:cstheme="minorHAnsi"/>
        </w:rPr>
        <w:t>iv</w:t>
      </w:r>
      <w:proofErr w:type="spellEnd"/>
      <w:r w:rsidRPr="0051709F">
        <w:rPr>
          <w:rFonts w:eastAsia="Calibri" w:cstheme="minorHAnsi"/>
        </w:rPr>
        <w:t xml:space="preserve">) ser adaptable al cambio y garantizar que el programa se ajuste a marcos estratégicos más amplios. Los profesionales sanitarios enfatizaron la importancia de que las intervenciones de </w:t>
      </w:r>
      <w:r w:rsidRPr="007B667D">
        <w:rPr>
          <w:rFonts w:eastAsia="Calibri" w:cstheme="minorHAnsi"/>
          <w:i/>
          <w:iCs/>
        </w:rPr>
        <w:t>Active Hospital</w:t>
      </w:r>
      <w:r w:rsidRPr="0051709F">
        <w:rPr>
          <w:rFonts w:eastAsia="Calibri" w:cstheme="minorHAnsi"/>
        </w:rPr>
        <w:t xml:space="preserve"> se ajusten fácilmente a las prácticas de trabajo existentes, </w:t>
      </w:r>
      <w:r w:rsidR="0050480B">
        <w:rPr>
          <w:rFonts w:eastAsia="Calibri" w:cstheme="minorHAnsi"/>
        </w:rPr>
        <w:t xml:space="preserve">a </w:t>
      </w:r>
      <w:r w:rsidRPr="0051709F">
        <w:rPr>
          <w:rFonts w:eastAsia="Calibri" w:cstheme="minorHAnsi"/>
        </w:rPr>
        <w:t xml:space="preserve">la necesidad de capacitación del personal y de adaptar las intervenciones a las necesidades individuales de los pacientes. El ensayo piloto de </w:t>
      </w:r>
      <w:r w:rsidRPr="007B667D">
        <w:rPr>
          <w:rFonts w:eastAsia="Calibri" w:cstheme="minorHAnsi"/>
          <w:i/>
          <w:iCs/>
        </w:rPr>
        <w:t>Active Hospital</w:t>
      </w:r>
      <w:r w:rsidRPr="0051709F">
        <w:rPr>
          <w:rFonts w:eastAsia="Calibri" w:cstheme="minorHAnsi"/>
        </w:rPr>
        <w:t xml:space="preserve"> fue bien recibido por los pacientes</w:t>
      </w:r>
      <w:r w:rsidR="0050480B">
        <w:rPr>
          <w:rFonts w:eastAsia="Calibri" w:cstheme="minorHAnsi"/>
        </w:rPr>
        <w:t>.</w:t>
      </w:r>
      <w:r w:rsidRPr="0051709F">
        <w:rPr>
          <w:rFonts w:eastAsia="Calibri" w:cstheme="minorHAnsi"/>
        </w:rPr>
        <w:t xml:space="preserve"> </w:t>
      </w:r>
      <w:r w:rsidR="0050480B">
        <w:rPr>
          <w:rFonts w:eastAsia="Calibri" w:cstheme="minorHAnsi"/>
        </w:rPr>
        <w:t>S</w:t>
      </w:r>
      <w:r w:rsidRPr="0051709F">
        <w:rPr>
          <w:rFonts w:eastAsia="Calibri" w:cstheme="minorHAnsi"/>
        </w:rPr>
        <w:t>in embargo, la falta de recursos dedicados y la falta de capacidad para administrar la intervención de ejercicio fue destacada como un desafío tanto por los pacientes como por los profesionales sanitarios.</w:t>
      </w:r>
    </w:p>
    <w:p w14:paraId="38416087" w14:textId="77777777" w:rsidR="00D3447C" w:rsidRPr="0051709F" w:rsidRDefault="00D3447C" w:rsidP="009B1F89">
      <w:pPr>
        <w:jc w:val="both"/>
        <w:rPr>
          <w:rFonts w:eastAsia="Calibri" w:cstheme="minorHAnsi"/>
        </w:rPr>
      </w:pPr>
    </w:p>
    <w:p w14:paraId="1E3CA884" w14:textId="33163BAC" w:rsidR="00403C72" w:rsidRPr="0051709F" w:rsidRDefault="00403C72" w:rsidP="009B1F89">
      <w:pPr>
        <w:jc w:val="both"/>
        <w:rPr>
          <w:rFonts w:eastAsia="Calibri" w:cstheme="minorHAnsi"/>
        </w:rPr>
      </w:pPr>
      <w:r w:rsidRPr="0051709F">
        <w:rPr>
          <w:rFonts w:eastAsia="Calibri" w:cstheme="minorHAnsi"/>
        </w:rPr>
        <w:t xml:space="preserve">Myers y col. (2021) </w:t>
      </w:r>
      <w:r w:rsidR="0050480B">
        <w:rPr>
          <w:rFonts w:eastAsia="Calibri" w:cstheme="minorHAnsi"/>
        </w:rPr>
        <w:t>p</w:t>
      </w:r>
      <w:r w:rsidRPr="0051709F">
        <w:rPr>
          <w:rFonts w:eastAsia="Calibri" w:cstheme="minorHAnsi"/>
        </w:rPr>
        <w:t>roponen siete aspectos como reflexión para futuras intervenciones</w:t>
      </w:r>
      <w:r w:rsidR="0050480B">
        <w:rPr>
          <w:rFonts w:eastAsia="Calibri" w:cstheme="minorHAnsi"/>
        </w:rPr>
        <w:t xml:space="preserve"> de esta naturaleza</w:t>
      </w:r>
      <w:r w:rsidRPr="0051709F">
        <w:rPr>
          <w:rFonts w:eastAsia="Calibri" w:cstheme="minorHAnsi"/>
        </w:rPr>
        <w:t>:</w:t>
      </w:r>
    </w:p>
    <w:p w14:paraId="6C85091C" w14:textId="77777777" w:rsidR="00D3447C" w:rsidRPr="0051709F" w:rsidRDefault="00D3447C" w:rsidP="009B1F89">
      <w:pPr>
        <w:jc w:val="both"/>
        <w:rPr>
          <w:rFonts w:eastAsia="Calibri" w:cstheme="minorHAnsi"/>
        </w:rPr>
      </w:pPr>
    </w:p>
    <w:p w14:paraId="181992F1" w14:textId="546FB917"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Un enfoque dirigido por un consultor especializado SEM facilita llegar a acuerdos, lograr un mandato para la acción y decidir cómo se pueden implementar las intervenciones. Cuando un enfoque dirigido por un consultor (o equivalente) no es factible o apropiado, las entregas del programa deben tener en cuenta el tiempo necesario para que el equipo de liderazgo desarrolle relaciones de confianza con quienes trabajan en el terreno. Un enfoque más modesto centrado en menos servicios clínicos podría ser apropiado para </w:t>
      </w:r>
      <w:r w:rsidRPr="0051709F">
        <w:rPr>
          <w:rFonts w:asciiTheme="minorHAnsi" w:eastAsia="Calibri" w:hAnsiTheme="minorHAnsi" w:cstheme="minorHAnsi"/>
          <w:sz w:val="24"/>
          <w:szCs w:val="24"/>
          <w:lang w:val="es-ES"/>
        </w:rPr>
        <w:lastRenderedPageBreak/>
        <w:t>proporcionar el tiempo y el espacio necesarios para centrarse en forjar relaciones de confianza e integrarse en el sistema.</w:t>
      </w:r>
    </w:p>
    <w:p w14:paraId="2826E9DD" w14:textId="76FC09DA"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Llevar a cabo un mapeo al comienzo del </w:t>
      </w:r>
      <w:r w:rsidR="0050480B">
        <w:rPr>
          <w:rFonts w:asciiTheme="minorHAnsi" w:eastAsia="Calibri" w:hAnsiTheme="minorHAnsi" w:cstheme="minorHAnsi"/>
          <w:sz w:val="24"/>
          <w:szCs w:val="24"/>
          <w:lang w:val="es-ES"/>
        </w:rPr>
        <w:t>programa</w:t>
      </w:r>
      <w:r w:rsidR="0050480B" w:rsidRPr="0051709F">
        <w:rPr>
          <w:rFonts w:asciiTheme="minorHAnsi" w:eastAsia="Calibri" w:hAnsiTheme="minorHAnsi" w:cstheme="minorHAnsi"/>
          <w:sz w:val="24"/>
          <w:szCs w:val="24"/>
          <w:lang w:val="es-ES"/>
        </w:rPr>
        <w:t xml:space="preserve"> </w:t>
      </w:r>
      <w:r w:rsidRPr="0051709F">
        <w:rPr>
          <w:rFonts w:asciiTheme="minorHAnsi" w:eastAsia="Calibri" w:hAnsiTheme="minorHAnsi" w:cstheme="minorHAnsi"/>
          <w:sz w:val="24"/>
          <w:szCs w:val="24"/>
          <w:lang w:val="es-ES"/>
        </w:rPr>
        <w:t>para explorar el entorno físico y social del hospital, quién está trabajando dónde, qué se puede encajar en dónde, qué se está haciendo bien en el hospital, dónde se pueden aumentar las cosas y dónde están los socios clave, sería un primer paso sensato en la implementación de futuras intervenciones de Hospital Activo.</w:t>
      </w:r>
    </w:p>
    <w:p w14:paraId="77E6939B" w14:textId="048D286B"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Pensar ampliamente sobre quiénes son los actores clave y las partes interesadas e involucrarlas desde el principio para ayudar a diseñar e implementar la intervención</w:t>
      </w:r>
      <w:r w:rsidR="0050480B">
        <w:rPr>
          <w:rFonts w:asciiTheme="minorHAnsi" w:eastAsia="Calibri" w:hAnsiTheme="minorHAnsi" w:cstheme="minorHAnsi"/>
          <w:sz w:val="24"/>
          <w:szCs w:val="24"/>
          <w:lang w:val="es-ES"/>
        </w:rPr>
        <w:t xml:space="preserve">. </w:t>
      </w:r>
      <w:r w:rsidR="000C0037">
        <w:rPr>
          <w:rFonts w:asciiTheme="minorHAnsi" w:eastAsia="Calibri" w:hAnsiTheme="minorHAnsi" w:cstheme="minorHAnsi"/>
          <w:sz w:val="24"/>
          <w:szCs w:val="24"/>
          <w:lang w:val="es-ES"/>
        </w:rPr>
        <w:t>Esto</w:t>
      </w:r>
      <w:r w:rsidRPr="0051709F">
        <w:rPr>
          <w:rFonts w:asciiTheme="minorHAnsi" w:eastAsia="Calibri" w:hAnsiTheme="minorHAnsi" w:cstheme="minorHAnsi"/>
          <w:sz w:val="24"/>
          <w:szCs w:val="24"/>
          <w:lang w:val="es-ES"/>
        </w:rPr>
        <w:t xml:space="preserve"> aumentará la probabilidad de que el servicio sea adecuado para su propósito y sostenible en el tiempo. Es probable que el proyecto se beneficie de un conocimiento más amplio y profundo y desde múltiples perspectivas del sistema hospitalario. Una limitación potencial fue el enfoque de arriba hacia abajo adoptado para el ensayo piloto del Hospital Activo de Oxford. El éxito requiere la aceptación no s</w:t>
      </w:r>
      <w:r w:rsidR="0050480B">
        <w:rPr>
          <w:rFonts w:asciiTheme="minorHAnsi" w:eastAsia="Calibri" w:hAnsiTheme="minorHAnsi" w:cstheme="minorHAnsi"/>
          <w:sz w:val="24"/>
          <w:szCs w:val="24"/>
          <w:lang w:val="es-ES"/>
        </w:rPr>
        <w:t>ó</w:t>
      </w:r>
      <w:r w:rsidRPr="0051709F">
        <w:rPr>
          <w:rFonts w:asciiTheme="minorHAnsi" w:eastAsia="Calibri" w:hAnsiTheme="minorHAnsi" w:cstheme="minorHAnsi"/>
          <w:sz w:val="24"/>
          <w:szCs w:val="24"/>
          <w:lang w:val="es-ES"/>
        </w:rPr>
        <w:t xml:space="preserve">lo de quienes lideraban el proyecto, sino también del personal sanitario que presta la atención sobre el terreno. Es posible que se requiera cierta transferencia de liderazgo/ responsabilidad de los consultores SEM al resto de trabajadores del hospital para garantizar la sostenibilidad del </w:t>
      </w:r>
      <w:r w:rsidR="0050480B">
        <w:rPr>
          <w:rFonts w:asciiTheme="minorHAnsi" w:eastAsia="Calibri" w:hAnsiTheme="minorHAnsi" w:cstheme="minorHAnsi"/>
          <w:sz w:val="24"/>
          <w:szCs w:val="24"/>
          <w:lang w:val="es-ES"/>
        </w:rPr>
        <w:t>programa</w:t>
      </w:r>
      <w:r w:rsidRPr="0051709F">
        <w:rPr>
          <w:rFonts w:asciiTheme="minorHAnsi" w:eastAsia="Calibri" w:hAnsiTheme="minorHAnsi" w:cstheme="minorHAnsi"/>
          <w:sz w:val="24"/>
          <w:szCs w:val="24"/>
          <w:lang w:val="es-ES"/>
        </w:rPr>
        <w:t>.</w:t>
      </w:r>
    </w:p>
    <w:p w14:paraId="63B996B8" w14:textId="7B8454E0"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Identificar a los principales partidarios o convencidos del proyecto en el terreno puede impulsar el compromiso, la </w:t>
      </w:r>
      <w:r w:rsidR="0050480B">
        <w:rPr>
          <w:rFonts w:asciiTheme="minorHAnsi" w:eastAsia="Calibri" w:hAnsiTheme="minorHAnsi" w:cstheme="minorHAnsi"/>
          <w:sz w:val="24"/>
          <w:szCs w:val="24"/>
          <w:lang w:val="es-ES"/>
        </w:rPr>
        <w:t>apropiación</w:t>
      </w:r>
      <w:r w:rsidR="0050480B" w:rsidRPr="0051709F">
        <w:rPr>
          <w:rFonts w:asciiTheme="minorHAnsi" w:eastAsia="Calibri" w:hAnsiTheme="minorHAnsi" w:cstheme="minorHAnsi"/>
          <w:sz w:val="24"/>
          <w:szCs w:val="24"/>
          <w:lang w:val="es-ES"/>
        </w:rPr>
        <w:t xml:space="preserve"> </w:t>
      </w:r>
      <w:r w:rsidRPr="0051709F">
        <w:rPr>
          <w:rFonts w:asciiTheme="minorHAnsi" w:eastAsia="Calibri" w:hAnsiTheme="minorHAnsi" w:cstheme="minorHAnsi"/>
          <w:sz w:val="24"/>
          <w:szCs w:val="24"/>
          <w:lang w:val="es-ES"/>
        </w:rPr>
        <w:t>y el cambio. Idealmente, estos defensores del proyecto deben comprender una variedad de profesiones en todos los niveles dentro de la organización. Los agentes de cambio y los líderes dentro del sistema no deben limitarse al personal clínico.</w:t>
      </w:r>
    </w:p>
    <w:p w14:paraId="61D802F5" w14:textId="09D68F2E"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Debe haber una alineación estratégica con las prioridades más amplias de la organización y, cuando sea posible, con los presupuestos sanitarios en general. Esto ayudará a defender el cambio y a involucrar a los altos directivos.</w:t>
      </w:r>
    </w:p>
    <w:p w14:paraId="36F66358" w14:textId="1EB90372"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Construir un plan de sostenibilidad desde el principio significará que cualquier cambio está significativamente integrado en el sistema y será menos probable que </w:t>
      </w:r>
      <w:r w:rsidR="0050480B">
        <w:rPr>
          <w:rFonts w:asciiTheme="minorHAnsi" w:eastAsia="Calibri" w:hAnsiTheme="minorHAnsi" w:cstheme="minorHAnsi"/>
          <w:sz w:val="24"/>
          <w:szCs w:val="24"/>
          <w:lang w:val="es-ES"/>
        </w:rPr>
        <w:t xml:space="preserve">desaparezca </w:t>
      </w:r>
      <w:r w:rsidRPr="0051709F">
        <w:rPr>
          <w:rFonts w:asciiTheme="minorHAnsi" w:eastAsia="Calibri" w:hAnsiTheme="minorHAnsi" w:cstheme="minorHAnsi"/>
          <w:sz w:val="24"/>
          <w:szCs w:val="24"/>
          <w:lang w:val="es-ES"/>
        </w:rPr>
        <w:t>cuando finalice el proyecto o cuando las personas clave cambien de puesto de trabajo.</w:t>
      </w:r>
    </w:p>
    <w:p w14:paraId="254E07DA" w14:textId="6407CA85" w:rsidR="00403C72" w:rsidRPr="0051709F" w:rsidRDefault="00403C72" w:rsidP="00E6399B">
      <w:pPr>
        <w:pStyle w:val="Prrafodelista"/>
        <w:numPr>
          <w:ilvl w:val="0"/>
          <w:numId w:val="80"/>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Ser abierto y reflexivo sobre los fracasos facilitará las capacidades de aprendizaje. Incorporar procesos que ayuden al equipo a revisar, reflexionar e iterar será clave para el proceso de aprendizaje. La flexibilidad y la capacidad de adaptarse rápidamente al cambio son esenciales.</w:t>
      </w:r>
    </w:p>
    <w:p w14:paraId="3D900AB7" w14:textId="77777777" w:rsidR="00403C72" w:rsidRPr="0051709F" w:rsidRDefault="00403C72" w:rsidP="009B1F89">
      <w:pPr>
        <w:jc w:val="both"/>
        <w:rPr>
          <w:rFonts w:eastAsia="Calibri" w:cstheme="minorHAnsi"/>
        </w:rPr>
      </w:pPr>
    </w:p>
    <w:p w14:paraId="59F7E41F" w14:textId="2C84213B" w:rsidR="00403C72" w:rsidRPr="0051709F" w:rsidRDefault="00403C72" w:rsidP="009B1F89">
      <w:pPr>
        <w:jc w:val="both"/>
        <w:rPr>
          <w:rFonts w:cstheme="minorHAnsi"/>
        </w:rPr>
      </w:pPr>
      <w:r w:rsidRPr="0051709F">
        <w:rPr>
          <w:rFonts w:cstheme="minorHAnsi"/>
        </w:rPr>
        <w:t>La Estrategia debe tener previst</w:t>
      </w:r>
      <w:r w:rsidR="000C0037">
        <w:rPr>
          <w:rFonts w:cstheme="minorHAnsi"/>
        </w:rPr>
        <w:t>os</w:t>
      </w:r>
      <w:r w:rsidRPr="0051709F">
        <w:rPr>
          <w:rFonts w:cstheme="minorHAnsi"/>
        </w:rPr>
        <w:t xml:space="preserve"> los incentivos para que los profesionales sanitarios que ya están en un nivel muy alto de trabajo y tiempo escaso de consulta se sientan motivados para asumir trabajo adicional.</w:t>
      </w:r>
    </w:p>
    <w:p w14:paraId="3186479E" w14:textId="77777777" w:rsidR="00D3447C" w:rsidRPr="0051709F" w:rsidRDefault="00D3447C" w:rsidP="009B1F89">
      <w:pPr>
        <w:shd w:val="clear" w:color="auto" w:fill="FFFFFF" w:themeFill="background1"/>
        <w:jc w:val="both"/>
        <w:rPr>
          <w:rFonts w:cstheme="minorHAnsi"/>
          <w:color w:val="333333"/>
        </w:rPr>
      </w:pPr>
    </w:p>
    <w:p w14:paraId="4FC55561" w14:textId="654F8AF2" w:rsidR="00403C72" w:rsidRPr="0051709F" w:rsidRDefault="00403C72" w:rsidP="00914456">
      <w:pPr>
        <w:pStyle w:val="Ttulo2"/>
        <w:numPr>
          <w:ilvl w:val="0"/>
          <w:numId w:val="0"/>
        </w:numPr>
        <w:jc w:val="both"/>
        <w:rPr>
          <w:rFonts w:asciiTheme="minorHAnsi" w:eastAsia="Times New Roman" w:hAnsiTheme="minorHAnsi" w:cstheme="minorHAnsi"/>
          <w:sz w:val="24"/>
          <w:szCs w:val="24"/>
          <w:lang w:val="es-ES" w:eastAsia="es-ES"/>
        </w:rPr>
      </w:pPr>
      <w:r w:rsidRPr="0051709F">
        <w:rPr>
          <w:rFonts w:asciiTheme="minorHAnsi" w:eastAsia="Times New Roman" w:hAnsiTheme="minorHAnsi" w:cstheme="minorHAnsi"/>
          <w:sz w:val="24"/>
          <w:szCs w:val="24"/>
          <w:lang w:val="es-ES" w:eastAsia="es-ES"/>
        </w:rPr>
        <w:t xml:space="preserve">Propuesta preliminar de actuaciones coordinadas identificando a aquellos </w:t>
      </w:r>
      <w:r w:rsidR="00DF3DF5" w:rsidRPr="0051709F">
        <w:rPr>
          <w:rFonts w:asciiTheme="minorHAnsi" w:eastAsia="Times New Roman" w:hAnsiTheme="minorHAnsi" w:cstheme="minorHAnsi"/>
          <w:sz w:val="24"/>
          <w:szCs w:val="24"/>
          <w:lang w:val="es-ES" w:eastAsia="es-ES"/>
        </w:rPr>
        <w:t>agentes a implicar en cada caso</w:t>
      </w:r>
    </w:p>
    <w:p w14:paraId="606949D8" w14:textId="77777777" w:rsidR="00403C72" w:rsidRPr="0051709F" w:rsidRDefault="00403C72" w:rsidP="009B1F89">
      <w:pPr>
        <w:jc w:val="both"/>
        <w:rPr>
          <w:rFonts w:cstheme="minorHAnsi"/>
        </w:rPr>
      </w:pPr>
    </w:p>
    <w:p w14:paraId="4242DAFB" w14:textId="11C4E051" w:rsidR="00403C72" w:rsidRPr="0051709F" w:rsidRDefault="00403C72" w:rsidP="009B1F89">
      <w:pPr>
        <w:jc w:val="both"/>
        <w:rPr>
          <w:rFonts w:cstheme="minorHAnsi"/>
        </w:rPr>
      </w:pPr>
      <w:r w:rsidRPr="0051709F">
        <w:rPr>
          <w:rFonts w:cstheme="minorHAnsi"/>
        </w:rPr>
        <w:t xml:space="preserve">En España hay aproximadamente 8.110 municipios en los que habitan más de 47,2 millones de personas (datos de 2021). Los municipios rurales de pequeño tamaño representan el 78% del total (unos 6.327), donde residen casi 4,5 millones de personas (el 9,5% del total), mientras que los micromunicipios rurales suponen el 57% del total </w:t>
      </w:r>
      <w:r w:rsidRPr="0051709F">
        <w:rPr>
          <w:rFonts w:cstheme="minorHAnsi"/>
        </w:rPr>
        <w:lastRenderedPageBreak/>
        <w:t>(4.623), y cuentan con 1,4 millones de habitantes (el 2,4% del total). Castilla y León, Castilla-La Mancha, Extremadura y Aragón</w:t>
      </w:r>
      <w:r w:rsidR="0050480B">
        <w:rPr>
          <w:rFonts w:cstheme="minorHAnsi"/>
        </w:rPr>
        <w:t>,</w:t>
      </w:r>
      <w:r w:rsidRPr="0051709F">
        <w:rPr>
          <w:rFonts w:cstheme="minorHAnsi"/>
        </w:rPr>
        <w:t xml:space="preserve"> concentran el 63,5% del total de municipios rurales de pequeño tamaño </w:t>
      </w:r>
      <w:r w:rsidR="0050480B">
        <w:rPr>
          <w:rFonts w:cstheme="minorHAnsi"/>
        </w:rPr>
        <w:t>en España</w:t>
      </w:r>
      <w:r w:rsidRPr="0051709F">
        <w:rPr>
          <w:rFonts w:cstheme="minorHAnsi"/>
        </w:rPr>
        <w:t>, y hasta el 72,2% de los micromunicipios rurales (C</w:t>
      </w:r>
      <w:r w:rsidR="00C32E99" w:rsidRPr="0051709F">
        <w:rPr>
          <w:rFonts w:cstheme="minorHAnsi"/>
        </w:rPr>
        <w:t>onsejo General de Colegios de Farmacéuticos</w:t>
      </w:r>
      <w:r w:rsidRPr="0051709F">
        <w:rPr>
          <w:rFonts w:cstheme="minorHAnsi"/>
        </w:rPr>
        <w:t>, 2023).</w:t>
      </w:r>
    </w:p>
    <w:p w14:paraId="5E77BFC6" w14:textId="77777777" w:rsidR="00D3447C" w:rsidRPr="0051709F" w:rsidRDefault="00D3447C" w:rsidP="009B1F89">
      <w:pPr>
        <w:jc w:val="both"/>
        <w:rPr>
          <w:rFonts w:cstheme="minorHAnsi"/>
        </w:rPr>
      </w:pPr>
    </w:p>
    <w:p w14:paraId="19D79E29" w14:textId="48DE316E" w:rsidR="00403C72" w:rsidRPr="0051709F" w:rsidRDefault="00403C72" w:rsidP="009B1F89">
      <w:pPr>
        <w:jc w:val="both"/>
        <w:rPr>
          <w:rFonts w:cstheme="minorHAnsi"/>
        </w:rPr>
      </w:pPr>
      <w:r w:rsidRPr="0051709F">
        <w:rPr>
          <w:rFonts w:cstheme="minorHAnsi"/>
        </w:rPr>
        <w:t xml:space="preserve">Se debe crear un marco de referencia en el que tengan cabida todos los agentes implicados en actividad física y salud, aprovechar los recursos existentes y diferenciar entre promoción de la AF y combatir el sedentarismo para toda la población y la pauta de ejercicio a la dosis correcta para la población con patología especifica. En el caso de las NDC, es fundamental situar al paciente en el centro de </w:t>
      </w:r>
      <w:r w:rsidR="0050480B">
        <w:rPr>
          <w:rFonts w:cstheme="minorHAnsi"/>
        </w:rPr>
        <w:t xml:space="preserve">la </w:t>
      </w:r>
      <w:r w:rsidRPr="0051709F">
        <w:rPr>
          <w:rFonts w:cstheme="minorHAnsi"/>
        </w:rPr>
        <w:t xml:space="preserve">acción, realizar una valoración funcional correcta y pautar la dosis adecuada de ejercicio físico, tomando en cuenta los posibles riesgos y contraindicaciones, tal </w:t>
      </w:r>
      <w:r w:rsidR="00253B19" w:rsidRPr="0051709F">
        <w:rPr>
          <w:rFonts w:cstheme="minorHAnsi"/>
        </w:rPr>
        <w:t>y como se muestra en la Figura 21</w:t>
      </w:r>
      <w:r w:rsidRPr="0051709F">
        <w:rPr>
          <w:rFonts w:cstheme="minorHAnsi"/>
        </w:rPr>
        <w:t>.</w:t>
      </w:r>
    </w:p>
    <w:p w14:paraId="7FDB4F9A" w14:textId="77777777" w:rsidR="00403C72" w:rsidRPr="0051709F" w:rsidRDefault="00403C72" w:rsidP="009B1F89">
      <w:pPr>
        <w:jc w:val="both"/>
        <w:rPr>
          <w:rFonts w:cstheme="minorHAnsi"/>
        </w:rPr>
      </w:pPr>
    </w:p>
    <w:p w14:paraId="1B89B671" w14:textId="0F1B3709" w:rsidR="00403C72" w:rsidRPr="0051709F" w:rsidRDefault="00403C72" w:rsidP="009B1F89">
      <w:pPr>
        <w:jc w:val="both"/>
        <w:rPr>
          <w:rFonts w:cstheme="minorHAnsi"/>
        </w:rPr>
      </w:pPr>
      <w:r w:rsidRPr="0051709F">
        <w:rPr>
          <w:rFonts w:cstheme="minorHAnsi"/>
          <w:noProof/>
          <w:lang w:val="en-GB" w:eastAsia="en-GB"/>
        </w:rPr>
        <w:drawing>
          <wp:inline distT="0" distB="0" distL="0" distR="0" wp14:anchorId="3701B15D" wp14:editId="1687FEC7">
            <wp:extent cx="5257800" cy="3549014"/>
            <wp:effectExtent l="0" t="0" r="0" b="0"/>
            <wp:docPr id="758612191" name="Imagen 75861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67732" cy="3555718"/>
                    </a:xfrm>
                    <a:prstGeom prst="rect">
                      <a:avLst/>
                    </a:prstGeom>
                  </pic:spPr>
                </pic:pic>
              </a:graphicData>
            </a:graphic>
          </wp:inline>
        </w:drawing>
      </w:r>
    </w:p>
    <w:p w14:paraId="61621CB5" w14:textId="77777777" w:rsidR="00D3447C" w:rsidRPr="0051709F" w:rsidRDefault="00D3447C" w:rsidP="009B1F89">
      <w:pPr>
        <w:jc w:val="both"/>
        <w:rPr>
          <w:rFonts w:cstheme="minorHAnsi"/>
        </w:rPr>
      </w:pPr>
    </w:p>
    <w:p w14:paraId="0D28CB52" w14:textId="775F6A8A" w:rsidR="00403C72" w:rsidRPr="007B667D" w:rsidRDefault="00403C72" w:rsidP="007B667D">
      <w:pPr>
        <w:jc w:val="center"/>
        <w:rPr>
          <w:rFonts w:cstheme="minorHAnsi"/>
          <w:i/>
          <w:iCs/>
          <w:sz w:val="22"/>
          <w:szCs w:val="22"/>
        </w:rPr>
      </w:pPr>
      <w:r w:rsidRPr="007B667D">
        <w:rPr>
          <w:rFonts w:cstheme="minorHAnsi"/>
          <w:i/>
          <w:iCs/>
          <w:sz w:val="22"/>
          <w:szCs w:val="22"/>
        </w:rPr>
        <w:t xml:space="preserve">Figura </w:t>
      </w:r>
      <w:r w:rsidR="00253B19" w:rsidRPr="007B667D">
        <w:rPr>
          <w:rFonts w:cstheme="minorHAnsi"/>
          <w:i/>
          <w:iCs/>
          <w:sz w:val="22"/>
          <w:szCs w:val="22"/>
        </w:rPr>
        <w:t>21</w:t>
      </w:r>
      <w:r w:rsidRPr="007B667D">
        <w:rPr>
          <w:rFonts w:cstheme="minorHAnsi"/>
          <w:i/>
          <w:iCs/>
          <w:sz w:val="22"/>
          <w:szCs w:val="22"/>
        </w:rPr>
        <w:t>. Evaluación y prescripción de ejercicio en personas con patología (elaboración propia)</w:t>
      </w:r>
      <w:r w:rsidR="00145599" w:rsidRPr="007B667D">
        <w:rPr>
          <w:rFonts w:cstheme="minorHAnsi"/>
          <w:i/>
          <w:iCs/>
          <w:sz w:val="22"/>
          <w:szCs w:val="22"/>
        </w:rPr>
        <w:t>.</w:t>
      </w:r>
    </w:p>
    <w:p w14:paraId="012F1350" w14:textId="77777777" w:rsidR="0039359B" w:rsidRPr="007B667D" w:rsidRDefault="0039359B" w:rsidP="007B667D">
      <w:pPr>
        <w:jc w:val="center"/>
        <w:rPr>
          <w:rFonts w:cstheme="minorHAnsi"/>
          <w:i/>
          <w:iCs/>
          <w:sz w:val="22"/>
          <w:szCs w:val="22"/>
        </w:rPr>
      </w:pPr>
    </w:p>
    <w:p w14:paraId="710CBA17" w14:textId="77777777" w:rsidR="00403C72" w:rsidRPr="0051709F" w:rsidRDefault="00403C72" w:rsidP="009B1F89">
      <w:pPr>
        <w:jc w:val="both"/>
        <w:rPr>
          <w:rFonts w:cstheme="minorHAnsi"/>
        </w:rPr>
      </w:pPr>
      <w:r w:rsidRPr="0051709F">
        <w:rPr>
          <w:rFonts w:cstheme="minorHAnsi"/>
          <w:noProof/>
          <w:lang w:val="en-GB" w:eastAsia="en-GB"/>
        </w:rPr>
        <w:lastRenderedPageBreak/>
        <w:drawing>
          <wp:inline distT="0" distB="0" distL="0" distR="0" wp14:anchorId="6A864303" wp14:editId="0AB9D75F">
            <wp:extent cx="5722260" cy="3659862"/>
            <wp:effectExtent l="0" t="0" r="0" b="0"/>
            <wp:docPr id="296596332" name="Imagen 296596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2260" cy="3659862"/>
                    </a:xfrm>
                    <a:prstGeom prst="rect">
                      <a:avLst/>
                    </a:prstGeom>
                  </pic:spPr>
                </pic:pic>
              </a:graphicData>
            </a:graphic>
          </wp:inline>
        </w:drawing>
      </w:r>
    </w:p>
    <w:p w14:paraId="7B1C24F2" w14:textId="26CFED4A" w:rsidR="0039359B" w:rsidRPr="007B667D" w:rsidRDefault="00253B19" w:rsidP="0039359B">
      <w:pPr>
        <w:jc w:val="center"/>
        <w:rPr>
          <w:rFonts w:cstheme="minorHAnsi"/>
          <w:i/>
          <w:iCs/>
          <w:sz w:val="22"/>
          <w:szCs w:val="22"/>
        </w:rPr>
      </w:pPr>
      <w:r w:rsidRPr="007B667D">
        <w:rPr>
          <w:rFonts w:cstheme="minorHAnsi"/>
          <w:i/>
          <w:iCs/>
          <w:sz w:val="22"/>
          <w:szCs w:val="22"/>
        </w:rPr>
        <w:t>Figura 22</w:t>
      </w:r>
      <w:r w:rsidR="00403C72" w:rsidRPr="007B667D">
        <w:rPr>
          <w:rFonts w:cstheme="minorHAnsi"/>
          <w:i/>
          <w:iCs/>
          <w:sz w:val="22"/>
          <w:szCs w:val="22"/>
        </w:rPr>
        <w:t xml:space="preserve">. Implicación organizativa de los profesionales en el Sistema Nacional de Salud </w:t>
      </w:r>
      <w:r w:rsidR="000C0037" w:rsidRPr="007B667D">
        <w:rPr>
          <w:rFonts w:cstheme="minorHAnsi"/>
          <w:i/>
          <w:iCs/>
          <w:sz w:val="22"/>
          <w:szCs w:val="22"/>
        </w:rPr>
        <w:t>con relación a</w:t>
      </w:r>
      <w:r w:rsidR="00403C72" w:rsidRPr="007B667D">
        <w:rPr>
          <w:rFonts w:cstheme="minorHAnsi"/>
          <w:i/>
          <w:iCs/>
          <w:sz w:val="22"/>
          <w:szCs w:val="22"/>
        </w:rPr>
        <w:t xml:space="preserve"> la Estrategia Nacional contra el Sedentarismo y la Inactividad Física </w:t>
      </w:r>
    </w:p>
    <w:p w14:paraId="104BF221" w14:textId="228718E2" w:rsidR="00403C72" w:rsidRPr="007B667D" w:rsidRDefault="00403C72" w:rsidP="0039359B">
      <w:pPr>
        <w:jc w:val="center"/>
        <w:rPr>
          <w:rFonts w:cstheme="minorHAnsi"/>
          <w:i/>
          <w:iCs/>
          <w:sz w:val="22"/>
          <w:szCs w:val="22"/>
        </w:rPr>
      </w:pPr>
      <w:r w:rsidRPr="007B667D">
        <w:rPr>
          <w:rFonts w:cstheme="minorHAnsi"/>
          <w:i/>
          <w:iCs/>
          <w:sz w:val="22"/>
          <w:szCs w:val="22"/>
        </w:rPr>
        <w:t>(elaboración propia)</w:t>
      </w:r>
      <w:r w:rsidR="00145599" w:rsidRPr="007B667D">
        <w:rPr>
          <w:rFonts w:cstheme="minorHAnsi"/>
          <w:i/>
          <w:iCs/>
          <w:sz w:val="22"/>
          <w:szCs w:val="22"/>
        </w:rPr>
        <w:t>.</w:t>
      </w:r>
    </w:p>
    <w:p w14:paraId="188001BF" w14:textId="77777777" w:rsidR="0039359B" w:rsidRPr="0051709F" w:rsidRDefault="0039359B" w:rsidP="009B1F89">
      <w:pPr>
        <w:jc w:val="both"/>
        <w:rPr>
          <w:rFonts w:cstheme="minorHAnsi"/>
        </w:rPr>
      </w:pPr>
    </w:p>
    <w:p w14:paraId="7AEBD2EA" w14:textId="221B013B" w:rsidR="00403C72" w:rsidRPr="0051709F" w:rsidRDefault="00403C72" w:rsidP="009B1F89">
      <w:pPr>
        <w:jc w:val="both"/>
        <w:rPr>
          <w:rFonts w:cstheme="minorHAnsi"/>
        </w:rPr>
      </w:pPr>
      <w:r w:rsidRPr="0051709F">
        <w:rPr>
          <w:rFonts w:cstheme="minorHAnsi"/>
        </w:rPr>
        <w:t xml:space="preserve">Se debe diferenciar entre Promoción de Actividad Física en personas aparentemente sanas y prescripción de ejercicio para el tratamiento de NCD y prevención secundaria. </w:t>
      </w:r>
    </w:p>
    <w:p w14:paraId="18B72D29" w14:textId="77777777" w:rsidR="0039359B" w:rsidRPr="0051709F" w:rsidRDefault="0039359B" w:rsidP="009B1F89">
      <w:pPr>
        <w:jc w:val="both"/>
        <w:rPr>
          <w:rFonts w:cstheme="minorHAnsi"/>
        </w:rPr>
      </w:pPr>
    </w:p>
    <w:p w14:paraId="44076267" w14:textId="1A58A85B" w:rsidR="00403C72" w:rsidRPr="0051709F" w:rsidRDefault="0050480B" w:rsidP="009B1F89">
      <w:pPr>
        <w:jc w:val="both"/>
        <w:rPr>
          <w:rFonts w:cstheme="minorHAnsi"/>
        </w:rPr>
      </w:pPr>
      <w:r>
        <w:rPr>
          <w:rFonts w:cstheme="minorHAnsi"/>
        </w:rPr>
        <w:t>Se propone</w:t>
      </w:r>
      <w:r w:rsidRPr="0051709F">
        <w:rPr>
          <w:rFonts w:cstheme="minorHAnsi"/>
        </w:rPr>
        <w:t xml:space="preserve"> </w:t>
      </w:r>
      <w:r w:rsidR="00403C72" w:rsidRPr="0051709F">
        <w:rPr>
          <w:rFonts w:cstheme="minorHAnsi"/>
        </w:rPr>
        <w:t xml:space="preserve">utilizar recursos existentes, que bien ya están disponibles y adaptados a </w:t>
      </w:r>
      <w:r>
        <w:rPr>
          <w:rFonts w:cstheme="minorHAnsi"/>
        </w:rPr>
        <w:t>nuestro contexto nacional</w:t>
      </w:r>
      <w:r w:rsidR="00403C72" w:rsidRPr="0051709F">
        <w:rPr>
          <w:rFonts w:cstheme="minorHAnsi"/>
        </w:rPr>
        <w:t xml:space="preserve">, o que fácilmente se pueden adaptar a la realidad española. </w:t>
      </w:r>
    </w:p>
    <w:p w14:paraId="74BB6A6D" w14:textId="77777777" w:rsidR="0039359B" w:rsidRPr="0051709F" w:rsidRDefault="0039359B" w:rsidP="009B1F89">
      <w:pPr>
        <w:jc w:val="both"/>
        <w:rPr>
          <w:rFonts w:cstheme="minorHAnsi"/>
        </w:rPr>
      </w:pPr>
    </w:p>
    <w:p w14:paraId="6A56EBF2" w14:textId="573A5507" w:rsidR="00403C72" w:rsidRPr="0051709F" w:rsidRDefault="00403C72" w:rsidP="009B1F89">
      <w:pPr>
        <w:jc w:val="both"/>
        <w:rPr>
          <w:rFonts w:eastAsia="Calibri" w:cstheme="minorHAnsi"/>
        </w:rPr>
      </w:pPr>
      <w:r w:rsidRPr="0051709F">
        <w:rPr>
          <w:rFonts w:eastAsia="Calibri" w:cstheme="minorHAnsi"/>
        </w:rPr>
        <w:t xml:space="preserve">En este sentido, </w:t>
      </w:r>
      <w:proofErr w:type="spellStart"/>
      <w:r w:rsidRPr="007B667D">
        <w:rPr>
          <w:rFonts w:eastAsia="Calibri" w:cstheme="minorHAnsi"/>
          <w:i/>
          <w:iCs/>
        </w:rPr>
        <w:t>Exercise</w:t>
      </w:r>
      <w:proofErr w:type="spellEnd"/>
      <w:r w:rsidRPr="007B667D">
        <w:rPr>
          <w:rFonts w:eastAsia="Calibri" w:cstheme="minorHAnsi"/>
          <w:i/>
          <w:iCs/>
        </w:rPr>
        <w:t xml:space="preserve"> </w:t>
      </w:r>
      <w:proofErr w:type="spellStart"/>
      <w:r w:rsidRPr="007B667D">
        <w:rPr>
          <w:rFonts w:eastAsia="Calibri" w:cstheme="minorHAnsi"/>
          <w:i/>
          <w:iCs/>
        </w:rPr>
        <w:t>is</w:t>
      </w:r>
      <w:proofErr w:type="spellEnd"/>
      <w:r w:rsidRPr="007B667D">
        <w:rPr>
          <w:rFonts w:eastAsia="Calibri" w:cstheme="minorHAnsi"/>
          <w:i/>
          <w:iCs/>
        </w:rPr>
        <w:t xml:space="preserve"> Medicine</w:t>
      </w:r>
      <w:r w:rsidRPr="007B667D">
        <w:rPr>
          <w:rFonts w:eastAsia="Calibri" w:cstheme="minorHAnsi"/>
          <w:i/>
          <w:iCs/>
          <w:vertAlign w:val="superscript"/>
        </w:rPr>
        <w:t>®</w:t>
      </w:r>
      <w:r w:rsidRPr="0051709F">
        <w:rPr>
          <w:rFonts w:eastAsia="Calibri" w:cstheme="minorHAnsi"/>
        </w:rPr>
        <w:t xml:space="preserve"> ha creado una serie de documentos </w:t>
      </w:r>
      <w:r w:rsidRPr="007B667D">
        <w:rPr>
          <w:rFonts w:eastAsia="Calibri" w:cstheme="minorHAnsi"/>
          <w:i/>
          <w:iCs/>
        </w:rPr>
        <w:t>“</w:t>
      </w:r>
      <w:proofErr w:type="spellStart"/>
      <w:r w:rsidRPr="007B667D">
        <w:rPr>
          <w:rFonts w:eastAsia="Calibri" w:cstheme="minorHAnsi"/>
          <w:i/>
          <w:iCs/>
        </w:rPr>
        <w:t>Rx</w:t>
      </w:r>
      <w:proofErr w:type="spellEnd"/>
      <w:r w:rsidRPr="007B667D">
        <w:rPr>
          <w:rFonts w:eastAsia="Calibri" w:cstheme="minorHAnsi"/>
          <w:i/>
          <w:iCs/>
        </w:rPr>
        <w:t xml:space="preserve"> </w:t>
      </w:r>
      <w:proofErr w:type="spellStart"/>
      <w:r w:rsidRPr="007B667D">
        <w:rPr>
          <w:rFonts w:eastAsia="Calibri" w:cstheme="minorHAnsi"/>
          <w:i/>
          <w:iCs/>
        </w:rPr>
        <w:t>for</w:t>
      </w:r>
      <w:proofErr w:type="spellEnd"/>
      <w:r w:rsidRPr="007B667D">
        <w:rPr>
          <w:rFonts w:eastAsia="Calibri" w:cstheme="minorHAnsi"/>
          <w:i/>
          <w:iCs/>
        </w:rPr>
        <w:t xml:space="preserve"> </w:t>
      </w:r>
      <w:proofErr w:type="spellStart"/>
      <w:r w:rsidRPr="007B667D">
        <w:rPr>
          <w:rFonts w:eastAsia="Calibri" w:cstheme="minorHAnsi"/>
          <w:i/>
          <w:iCs/>
        </w:rPr>
        <w:t>Health</w:t>
      </w:r>
      <w:proofErr w:type="spellEnd"/>
      <w:r w:rsidRPr="007B667D">
        <w:rPr>
          <w:rFonts w:eastAsia="Calibri" w:cstheme="minorHAnsi"/>
          <w:i/>
          <w:iCs/>
        </w:rPr>
        <w:t>”</w:t>
      </w:r>
      <w:r w:rsidRPr="0051709F">
        <w:rPr>
          <w:rFonts w:eastAsia="Calibri" w:cstheme="minorHAnsi"/>
        </w:rPr>
        <w:t xml:space="preserve"> para poder dar recomendaciones generales tanto a individuos sedentarios de todas las edades (</w:t>
      </w:r>
      <w:proofErr w:type="spellStart"/>
      <w:r w:rsidRPr="0051709F">
        <w:rPr>
          <w:rFonts w:eastAsia="Calibri" w:cstheme="minorHAnsi"/>
          <w:b/>
          <w:bCs/>
        </w:rPr>
        <w:t>Foundational</w:t>
      </w:r>
      <w:proofErr w:type="spellEnd"/>
      <w:r w:rsidRPr="0051709F">
        <w:rPr>
          <w:rFonts w:eastAsia="Calibri" w:cstheme="minorHAnsi"/>
          <w:b/>
          <w:bCs/>
        </w:rPr>
        <w:t xml:space="preserve"> </w:t>
      </w:r>
      <w:proofErr w:type="spellStart"/>
      <w:r w:rsidRPr="0051709F">
        <w:rPr>
          <w:rFonts w:eastAsia="Calibri" w:cstheme="minorHAnsi"/>
          <w:b/>
          <w:bCs/>
        </w:rPr>
        <w:t>Exercise</w:t>
      </w:r>
      <w:proofErr w:type="spellEnd"/>
      <w:r w:rsidRPr="0051709F">
        <w:rPr>
          <w:rFonts w:eastAsia="Calibri" w:cstheme="minorHAnsi"/>
          <w:b/>
          <w:bCs/>
        </w:rPr>
        <w:t xml:space="preserve"> </w:t>
      </w:r>
      <w:proofErr w:type="spellStart"/>
      <w:r w:rsidRPr="0051709F">
        <w:rPr>
          <w:rFonts w:eastAsia="Calibri" w:cstheme="minorHAnsi"/>
          <w:b/>
          <w:bCs/>
        </w:rPr>
        <w:t>Rx</w:t>
      </w:r>
      <w:proofErr w:type="spellEnd"/>
      <w:r w:rsidRPr="0051709F">
        <w:rPr>
          <w:rFonts w:eastAsia="Calibri" w:cstheme="minorHAnsi"/>
          <w:b/>
          <w:bCs/>
        </w:rPr>
        <w:t xml:space="preserve">) </w:t>
      </w:r>
      <w:r w:rsidRPr="0051709F">
        <w:rPr>
          <w:rFonts w:eastAsia="Calibri" w:cstheme="minorHAnsi"/>
        </w:rPr>
        <w:t>como a pacientes con 30 NCD u otras patologías</w:t>
      </w:r>
      <w:r w:rsidRPr="0051709F">
        <w:rPr>
          <w:rFonts w:eastAsia="Calibri" w:cstheme="minorHAnsi"/>
          <w:b/>
          <w:bCs/>
        </w:rPr>
        <w:t xml:space="preserve"> (</w:t>
      </w:r>
      <w:proofErr w:type="spellStart"/>
      <w:r w:rsidRPr="0051709F">
        <w:rPr>
          <w:rFonts w:eastAsia="Calibri" w:cstheme="minorHAnsi"/>
          <w:b/>
          <w:bCs/>
        </w:rPr>
        <w:t>Exercise</w:t>
      </w:r>
      <w:proofErr w:type="spellEnd"/>
      <w:r w:rsidRPr="0051709F">
        <w:rPr>
          <w:rFonts w:eastAsia="Calibri" w:cstheme="minorHAnsi"/>
          <w:b/>
          <w:bCs/>
        </w:rPr>
        <w:t xml:space="preserve"> </w:t>
      </w:r>
      <w:proofErr w:type="spellStart"/>
      <w:r w:rsidRPr="0051709F">
        <w:rPr>
          <w:rFonts w:eastAsia="Calibri" w:cstheme="minorHAnsi"/>
          <w:b/>
          <w:bCs/>
        </w:rPr>
        <w:t>Rx</w:t>
      </w:r>
      <w:proofErr w:type="spellEnd"/>
      <w:r w:rsidRPr="0051709F">
        <w:rPr>
          <w:rFonts w:eastAsia="Calibri" w:cstheme="minorHAnsi"/>
          <w:b/>
          <w:bCs/>
        </w:rPr>
        <w:t xml:space="preserve"> </w:t>
      </w:r>
      <w:proofErr w:type="spellStart"/>
      <w:r w:rsidRPr="0051709F">
        <w:rPr>
          <w:rFonts w:eastAsia="Calibri" w:cstheme="minorHAnsi"/>
          <w:b/>
          <w:bCs/>
        </w:rPr>
        <w:t>for</w:t>
      </w:r>
      <w:proofErr w:type="spellEnd"/>
      <w:r w:rsidRPr="0051709F">
        <w:rPr>
          <w:rFonts w:eastAsia="Calibri" w:cstheme="minorHAnsi"/>
          <w:b/>
          <w:bCs/>
        </w:rPr>
        <w:t xml:space="preserve"> Medical </w:t>
      </w:r>
      <w:proofErr w:type="spellStart"/>
      <w:r w:rsidRPr="0051709F">
        <w:rPr>
          <w:rFonts w:eastAsia="Calibri" w:cstheme="minorHAnsi"/>
          <w:b/>
          <w:bCs/>
        </w:rPr>
        <w:t>Conditions</w:t>
      </w:r>
      <w:proofErr w:type="spellEnd"/>
      <w:r w:rsidRPr="0051709F">
        <w:rPr>
          <w:rFonts w:eastAsia="Calibri" w:cstheme="minorHAnsi"/>
          <w:b/>
          <w:bCs/>
        </w:rPr>
        <w:t xml:space="preserve">). </w:t>
      </w:r>
      <w:r w:rsidRPr="0051709F">
        <w:rPr>
          <w:rFonts w:eastAsia="Calibri" w:cstheme="minorHAnsi"/>
        </w:rPr>
        <w:t xml:space="preserve">Estos documentos han sido elaborados por un amplio grupo de expertos coordinados por ACSM, que incluyen a investigadores y clínicos y están todos disponibles en español (se pueden descargar en esta dirección </w:t>
      </w:r>
      <w:hyperlink r:id="rId54" w:history="1">
        <w:r w:rsidRPr="0051709F">
          <w:rPr>
            <w:rStyle w:val="Hipervnculo"/>
            <w:rFonts w:eastAsia="Calibri" w:cstheme="minorHAnsi"/>
          </w:rPr>
          <w:t>https://www.exerciseismedicine.org/eim-in-action/health-care/resources/rx-for-health-series/</w:t>
        </w:r>
      </w:hyperlink>
      <w:r w:rsidRPr="0051709F">
        <w:rPr>
          <w:rFonts w:eastAsia="Calibri" w:cstheme="minorHAnsi"/>
        </w:rPr>
        <w:t>)</w:t>
      </w:r>
      <w:r w:rsidR="005779E5">
        <w:rPr>
          <w:rFonts w:eastAsia="Calibri" w:cstheme="minorHAnsi"/>
        </w:rPr>
        <w:t>.</w:t>
      </w:r>
    </w:p>
    <w:p w14:paraId="71FC7EA5" w14:textId="77777777" w:rsidR="0039359B" w:rsidRPr="0051709F" w:rsidRDefault="0039359B" w:rsidP="009B1F89">
      <w:pPr>
        <w:jc w:val="both"/>
        <w:rPr>
          <w:rFonts w:eastAsia="Calibri" w:cstheme="minorHAnsi"/>
        </w:rPr>
      </w:pPr>
    </w:p>
    <w:p w14:paraId="23A69DA6" w14:textId="645CD0F3" w:rsidR="00403C72" w:rsidRPr="0051709F" w:rsidRDefault="00403C72" w:rsidP="009B1F89">
      <w:pPr>
        <w:jc w:val="both"/>
        <w:rPr>
          <w:rFonts w:eastAsia="Calibri" w:cstheme="minorHAnsi"/>
        </w:rPr>
      </w:pPr>
      <w:r w:rsidRPr="0051709F">
        <w:rPr>
          <w:rFonts w:eastAsia="Calibri" w:cstheme="minorHAnsi"/>
        </w:rPr>
        <w:t xml:space="preserve">Estos folletos se han diseñado para que sirvan de apoyo a los profesionales sanitarios y los profesionales del ejercicio cuando se dan las recomendaciones/indicaciones </w:t>
      </w:r>
      <w:r w:rsidR="000C0037" w:rsidRPr="0051709F">
        <w:rPr>
          <w:rFonts w:eastAsia="Calibri" w:cstheme="minorHAnsi"/>
        </w:rPr>
        <w:t>en relación con el</w:t>
      </w:r>
      <w:r w:rsidRPr="0051709F">
        <w:rPr>
          <w:rFonts w:eastAsia="Calibri" w:cstheme="minorHAnsi"/>
        </w:rPr>
        <w:t xml:space="preserve"> ejercicio físico para sus pacientes. </w:t>
      </w:r>
      <w:r w:rsidR="005779E5">
        <w:rPr>
          <w:rFonts w:eastAsia="Calibri" w:cstheme="minorHAnsi"/>
        </w:rPr>
        <w:t>E</w:t>
      </w:r>
      <w:r w:rsidRPr="0051709F">
        <w:rPr>
          <w:rFonts w:eastAsia="Calibri" w:cstheme="minorHAnsi"/>
        </w:rPr>
        <w:t xml:space="preserve">s importante que los usuarios, bien pacientes sanos o con patología, puedan tener acceso a esta información y llevarse la pauta de ejercicio para su consulta de forma sencilla.  </w:t>
      </w:r>
    </w:p>
    <w:p w14:paraId="773B5024" w14:textId="77777777" w:rsidR="0039359B" w:rsidRPr="0051709F" w:rsidRDefault="0039359B" w:rsidP="009B1F89">
      <w:pPr>
        <w:jc w:val="both"/>
        <w:rPr>
          <w:rFonts w:eastAsia="Calibri" w:cstheme="minorHAnsi"/>
        </w:rPr>
      </w:pPr>
    </w:p>
    <w:p w14:paraId="40807E45" w14:textId="72368E1E" w:rsidR="0039359B" w:rsidRPr="0051709F" w:rsidRDefault="00403C72" w:rsidP="009B1F89">
      <w:pPr>
        <w:jc w:val="both"/>
        <w:rPr>
          <w:rFonts w:cstheme="minorHAnsi"/>
        </w:rPr>
      </w:pPr>
      <w:r w:rsidRPr="0051709F">
        <w:rPr>
          <w:rFonts w:cstheme="minorHAnsi"/>
        </w:rPr>
        <w:t xml:space="preserve">Hay otros muchos recursos disponibles, en formato guías, programas, avalados por científicos y </w:t>
      </w:r>
      <w:r w:rsidR="005779E5" w:rsidRPr="0051709F">
        <w:rPr>
          <w:rFonts w:cstheme="minorHAnsi"/>
        </w:rPr>
        <w:t>clínicos</w:t>
      </w:r>
      <w:r w:rsidRPr="0051709F">
        <w:rPr>
          <w:rFonts w:cstheme="minorHAnsi"/>
        </w:rPr>
        <w:t xml:space="preserve"> expertos, que pueden pasar a formar parte del repositorio que se propone (ver anexo).</w:t>
      </w:r>
    </w:p>
    <w:p w14:paraId="49FAB103" w14:textId="397E61F3" w:rsidR="00403C72" w:rsidRPr="0051709F" w:rsidRDefault="00000000" w:rsidP="009B1F89">
      <w:pPr>
        <w:jc w:val="both"/>
        <w:rPr>
          <w:rFonts w:cstheme="minorHAnsi"/>
        </w:rPr>
      </w:pPr>
      <w:hyperlink r:id="rId55" w:history="1"/>
    </w:p>
    <w:p w14:paraId="31659369" w14:textId="288E0D4F" w:rsidR="00403C72" w:rsidRPr="0051709F" w:rsidRDefault="00403C72" w:rsidP="009B1F89">
      <w:pPr>
        <w:jc w:val="both"/>
        <w:rPr>
          <w:rFonts w:eastAsiaTheme="minorEastAsia" w:cstheme="minorHAnsi"/>
          <w:color w:val="000000" w:themeColor="text1"/>
        </w:rPr>
      </w:pPr>
      <w:r w:rsidRPr="0051709F">
        <w:rPr>
          <w:rFonts w:eastAsiaTheme="minorEastAsia" w:cstheme="minorHAnsi"/>
        </w:rPr>
        <w:t xml:space="preserve">Como ya </w:t>
      </w:r>
      <w:r w:rsidR="005779E5">
        <w:rPr>
          <w:rFonts w:eastAsiaTheme="minorEastAsia" w:cstheme="minorHAnsi"/>
        </w:rPr>
        <w:t>se ha</w:t>
      </w:r>
      <w:r w:rsidR="005779E5" w:rsidRPr="0051709F">
        <w:rPr>
          <w:rFonts w:eastAsiaTheme="minorEastAsia" w:cstheme="minorHAnsi"/>
        </w:rPr>
        <w:t xml:space="preserve"> </w:t>
      </w:r>
      <w:r w:rsidRPr="0051709F">
        <w:rPr>
          <w:rFonts w:eastAsiaTheme="minorEastAsia" w:cstheme="minorHAnsi"/>
        </w:rPr>
        <w:t>indicado, se recomienda integrar en est</w:t>
      </w:r>
      <w:r w:rsidR="005779E5">
        <w:rPr>
          <w:rFonts w:eastAsiaTheme="minorEastAsia" w:cstheme="minorHAnsi"/>
        </w:rPr>
        <w:t>a</w:t>
      </w:r>
      <w:r w:rsidRPr="0051709F">
        <w:rPr>
          <w:rFonts w:eastAsiaTheme="minorEastAsia" w:cstheme="minorHAnsi"/>
        </w:rPr>
        <w:t xml:space="preserve"> </w:t>
      </w:r>
      <w:r w:rsidR="005779E5">
        <w:rPr>
          <w:rFonts w:eastAsiaTheme="minorEastAsia" w:cstheme="minorHAnsi"/>
        </w:rPr>
        <w:t>Estrategia</w:t>
      </w:r>
      <w:r w:rsidRPr="0051709F">
        <w:rPr>
          <w:rFonts w:eastAsiaTheme="minorEastAsia" w:cstheme="minorHAnsi"/>
        </w:rPr>
        <w:t xml:space="preserve"> a los agentes que ya forman parte del Sistema Nacional de Salud (</w:t>
      </w:r>
      <w:r w:rsidR="00F02618" w:rsidRPr="0051709F">
        <w:rPr>
          <w:rFonts w:eastAsiaTheme="minorEastAsia" w:cstheme="minorHAnsi"/>
        </w:rPr>
        <w:t>Figura</w:t>
      </w:r>
      <w:r w:rsidRPr="0051709F">
        <w:rPr>
          <w:rFonts w:eastAsiaTheme="minorEastAsia" w:cstheme="minorHAnsi"/>
        </w:rPr>
        <w:t xml:space="preserve"> </w:t>
      </w:r>
      <w:r w:rsidR="00253B19" w:rsidRPr="0051709F">
        <w:rPr>
          <w:rFonts w:eastAsiaTheme="minorEastAsia" w:cstheme="minorHAnsi"/>
        </w:rPr>
        <w:t>22</w:t>
      </w:r>
      <w:r w:rsidRPr="0051709F">
        <w:rPr>
          <w:rFonts w:eastAsiaTheme="minorEastAsia" w:cstheme="minorHAnsi"/>
          <w:color w:val="000000" w:themeColor="text1"/>
        </w:rPr>
        <w:t>)</w:t>
      </w:r>
      <w:r w:rsidR="005779E5">
        <w:rPr>
          <w:rFonts w:eastAsiaTheme="minorEastAsia" w:cstheme="minorHAnsi"/>
          <w:color w:val="000000" w:themeColor="text1"/>
        </w:rPr>
        <w:t>:</w:t>
      </w:r>
    </w:p>
    <w:p w14:paraId="775F4D4D" w14:textId="46E133F7" w:rsidR="00F02618" w:rsidRPr="0051709F" w:rsidRDefault="00F02618" w:rsidP="00E6399B">
      <w:pPr>
        <w:pStyle w:val="Prrafodelista"/>
        <w:numPr>
          <w:ilvl w:val="0"/>
          <w:numId w:val="81"/>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t>Médicos</w:t>
      </w:r>
      <w:proofErr w:type="spellEnd"/>
      <w:r w:rsidR="005779E5">
        <w:rPr>
          <w:rFonts w:asciiTheme="minorHAnsi" w:hAnsiTheme="minorHAnsi" w:cstheme="minorHAnsi"/>
          <w:sz w:val="24"/>
          <w:szCs w:val="24"/>
        </w:rPr>
        <w:t>,</w:t>
      </w:r>
      <w:r w:rsidRPr="0051709F">
        <w:rPr>
          <w:rFonts w:asciiTheme="minorHAnsi" w:hAnsiTheme="minorHAnsi" w:cstheme="minorHAnsi"/>
          <w:sz w:val="24"/>
          <w:szCs w:val="24"/>
        </w:rPr>
        <w:t xml:space="preserve"> </w:t>
      </w:r>
    </w:p>
    <w:p w14:paraId="1E258307" w14:textId="48937581" w:rsidR="00F02618" w:rsidRPr="0051709F" w:rsidRDefault="00F02618" w:rsidP="00E6399B">
      <w:pPr>
        <w:numPr>
          <w:ilvl w:val="0"/>
          <w:numId w:val="81"/>
        </w:numPr>
        <w:jc w:val="both"/>
        <w:rPr>
          <w:rFonts w:cstheme="minorHAnsi"/>
          <w:lang w:val="en-US"/>
        </w:rPr>
      </w:pPr>
      <w:proofErr w:type="spellStart"/>
      <w:r w:rsidRPr="0051709F">
        <w:rPr>
          <w:rFonts w:cstheme="minorHAnsi"/>
          <w:lang w:val="en-US"/>
        </w:rPr>
        <w:t>Enfermeras</w:t>
      </w:r>
      <w:proofErr w:type="spellEnd"/>
      <w:r w:rsidRPr="0051709F">
        <w:rPr>
          <w:rFonts w:cstheme="minorHAnsi"/>
          <w:lang w:val="en-US"/>
        </w:rPr>
        <w:t>/</w:t>
      </w:r>
      <w:proofErr w:type="spellStart"/>
      <w:r w:rsidRPr="0051709F">
        <w:rPr>
          <w:rFonts w:cstheme="minorHAnsi"/>
          <w:lang w:val="en-US"/>
        </w:rPr>
        <w:t>os</w:t>
      </w:r>
      <w:proofErr w:type="spellEnd"/>
      <w:r w:rsidR="005779E5">
        <w:rPr>
          <w:rFonts w:cstheme="minorHAnsi"/>
          <w:lang w:val="en-US"/>
        </w:rPr>
        <w:t>,</w:t>
      </w:r>
    </w:p>
    <w:p w14:paraId="2020675B" w14:textId="5C0FA97B" w:rsidR="00F02618" w:rsidRPr="0051709F" w:rsidRDefault="00F02618" w:rsidP="00E6399B">
      <w:pPr>
        <w:numPr>
          <w:ilvl w:val="0"/>
          <w:numId w:val="81"/>
        </w:numPr>
        <w:jc w:val="both"/>
        <w:rPr>
          <w:rFonts w:cstheme="minorHAnsi"/>
          <w:lang w:val="en-US"/>
        </w:rPr>
      </w:pPr>
      <w:proofErr w:type="spellStart"/>
      <w:r w:rsidRPr="0051709F">
        <w:rPr>
          <w:rFonts w:cstheme="minorHAnsi"/>
          <w:lang w:val="en-US"/>
        </w:rPr>
        <w:t>Fisioterapeutas</w:t>
      </w:r>
      <w:proofErr w:type="spellEnd"/>
      <w:r w:rsidR="005779E5">
        <w:rPr>
          <w:rFonts w:cstheme="minorHAnsi"/>
          <w:lang w:val="en-US"/>
        </w:rPr>
        <w:t>,</w:t>
      </w:r>
    </w:p>
    <w:p w14:paraId="1629D04C" w14:textId="5FE5C8CB" w:rsidR="00F02618" w:rsidRPr="0051709F" w:rsidRDefault="00F02618" w:rsidP="00E6399B">
      <w:pPr>
        <w:numPr>
          <w:ilvl w:val="0"/>
          <w:numId w:val="81"/>
        </w:numPr>
        <w:jc w:val="both"/>
        <w:rPr>
          <w:rFonts w:cstheme="minorHAnsi"/>
          <w:lang w:val="en-US"/>
        </w:rPr>
      </w:pPr>
      <w:proofErr w:type="spellStart"/>
      <w:r w:rsidRPr="0051709F">
        <w:rPr>
          <w:rFonts w:cstheme="minorHAnsi"/>
          <w:lang w:val="en-US"/>
        </w:rPr>
        <w:t>Farmacéuticos</w:t>
      </w:r>
      <w:proofErr w:type="spellEnd"/>
      <w:r w:rsidR="005779E5">
        <w:rPr>
          <w:rFonts w:cstheme="minorHAnsi"/>
          <w:lang w:val="en-US"/>
        </w:rPr>
        <w:t>.</w:t>
      </w:r>
    </w:p>
    <w:p w14:paraId="2498C922" w14:textId="77777777" w:rsidR="00F02618" w:rsidRPr="0051709F" w:rsidRDefault="00F02618" w:rsidP="00F02618">
      <w:pPr>
        <w:ind w:left="720"/>
        <w:jc w:val="both"/>
        <w:rPr>
          <w:rFonts w:cstheme="minorHAnsi"/>
          <w:lang w:val="en-US"/>
        </w:rPr>
      </w:pPr>
    </w:p>
    <w:p w14:paraId="5D28BCF6" w14:textId="7A5DF189" w:rsidR="00F02618" w:rsidRPr="0051709F" w:rsidRDefault="00F02618" w:rsidP="00F02618">
      <w:pPr>
        <w:jc w:val="both"/>
        <w:rPr>
          <w:rFonts w:cstheme="minorHAnsi"/>
        </w:rPr>
      </w:pPr>
      <w:r w:rsidRPr="0051709F">
        <w:rPr>
          <w:rFonts w:cstheme="minorHAnsi"/>
        </w:rPr>
        <w:t>Hay otros profesionales que forman parte del Sistema Nacional de Salud en algunas Comunidades Autónomas o que no forman parte</w:t>
      </w:r>
      <w:r w:rsidR="005779E5">
        <w:rPr>
          <w:rFonts w:cstheme="minorHAnsi"/>
        </w:rPr>
        <w:t xml:space="preserve"> de ese </w:t>
      </w:r>
      <w:r w:rsidR="000C0037">
        <w:rPr>
          <w:rFonts w:cstheme="minorHAnsi"/>
        </w:rPr>
        <w:t>sistema,</w:t>
      </w:r>
      <w:r w:rsidR="005779E5">
        <w:rPr>
          <w:rFonts w:cstheme="minorHAnsi"/>
        </w:rPr>
        <w:t xml:space="preserve"> </w:t>
      </w:r>
      <w:r w:rsidRPr="0051709F">
        <w:rPr>
          <w:rFonts w:cstheme="minorHAnsi"/>
        </w:rPr>
        <w:t>pero deberían incluirse:</w:t>
      </w:r>
    </w:p>
    <w:p w14:paraId="7EE622E6" w14:textId="5144264F" w:rsidR="00F02618" w:rsidRPr="0051709F" w:rsidRDefault="00F02618" w:rsidP="00E6399B">
      <w:pPr>
        <w:numPr>
          <w:ilvl w:val="0"/>
          <w:numId w:val="81"/>
        </w:numPr>
        <w:jc w:val="both"/>
        <w:rPr>
          <w:rFonts w:cstheme="minorHAnsi"/>
          <w:lang w:val="en-US"/>
        </w:rPr>
      </w:pPr>
      <w:proofErr w:type="spellStart"/>
      <w:r w:rsidRPr="0051709F">
        <w:rPr>
          <w:rFonts w:cstheme="minorHAnsi"/>
          <w:lang w:val="en-US"/>
        </w:rPr>
        <w:t>Nutricionistas</w:t>
      </w:r>
      <w:proofErr w:type="spellEnd"/>
      <w:r w:rsidR="005779E5">
        <w:rPr>
          <w:rFonts w:cstheme="minorHAnsi"/>
          <w:lang w:val="en-US"/>
        </w:rPr>
        <w:t>,</w:t>
      </w:r>
    </w:p>
    <w:p w14:paraId="5DD5C338" w14:textId="3E7E9158" w:rsidR="00F02618" w:rsidRPr="0051709F" w:rsidRDefault="00F02618" w:rsidP="00E6399B">
      <w:pPr>
        <w:numPr>
          <w:ilvl w:val="0"/>
          <w:numId w:val="81"/>
        </w:numPr>
        <w:jc w:val="both"/>
        <w:rPr>
          <w:rFonts w:cstheme="minorHAnsi"/>
          <w:lang w:val="en-US"/>
        </w:rPr>
      </w:pPr>
      <w:proofErr w:type="spellStart"/>
      <w:r w:rsidRPr="0051709F">
        <w:rPr>
          <w:rFonts w:cstheme="minorHAnsi"/>
          <w:lang w:val="en-US"/>
        </w:rPr>
        <w:t>Psicólogos</w:t>
      </w:r>
      <w:proofErr w:type="spellEnd"/>
      <w:r w:rsidR="005779E5">
        <w:rPr>
          <w:rFonts w:cstheme="minorHAnsi"/>
          <w:lang w:val="en-US"/>
        </w:rPr>
        <w:t>,</w:t>
      </w:r>
    </w:p>
    <w:p w14:paraId="6CAF2A4F" w14:textId="189AC559" w:rsidR="00F02618" w:rsidRPr="0051709F" w:rsidRDefault="00F02618" w:rsidP="00E6399B">
      <w:pPr>
        <w:numPr>
          <w:ilvl w:val="0"/>
          <w:numId w:val="81"/>
        </w:numPr>
        <w:jc w:val="both"/>
        <w:rPr>
          <w:rFonts w:cstheme="minorHAnsi"/>
        </w:rPr>
      </w:pPr>
      <w:r w:rsidRPr="0051709F">
        <w:rPr>
          <w:rFonts w:cstheme="minorHAnsi"/>
        </w:rPr>
        <w:t>Educadores físico-deportivos</w:t>
      </w:r>
      <w:r w:rsidR="005779E5">
        <w:rPr>
          <w:rFonts w:cstheme="minorHAnsi"/>
        </w:rPr>
        <w:t>,</w:t>
      </w:r>
    </w:p>
    <w:p w14:paraId="16F71947" w14:textId="3D7416B8" w:rsidR="00F02618" w:rsidRPr="0051709F" w:rsidRDefault="00F02618" w:rsidP="00E6399B">
      <w:pPr>
        <w:numPr>
          <w:ilvl w:val="0"/>
          <w:numId w:val="81"/>
        </w:numPr>
        <w:jc w:val="both"/>
        <w:rPr>
          <w:rFonts w:cstheme="minorHAnsi"/>
        </w:rPr>
      </w:pPr>
      <w:r w:rsidRPr="0051709F">
        <w:rPr>
          <w:rFonts w:cstheme="minorHAnsi"/>
        </w:rPr>
        <w:t>Terapeutas ocupacionales</w:t>
      </w:r>
      <w:r w:rsidR="005779E5">
        <w:rPr>
          <w:rFonts w:cstheme="minorHAnsi"/>
        </w:rPr>
        <w:t>,</w:t>
      </w:r>
    </w:p>
    <w:p w14:paraId="209186F2" w14:textId="29986BBC" w:rsidR="00F02618" w:rsidRPr="0051709F" w:rsidRDefault="00F02618" w:rsidP="00E6399B">
      <w:pPr>
        <w:numPr>
          <w:ilvl w:val="0"/>
          <w:numId w:val="81"/>
        </w:numPr>
        <w:jc w:val="both"/>
        <w:rPr>
          <w:rFonts w:cstheme="minorHAnsi"/>
        </w:rPr>
      </w:pPr>
      <w:r w:rsidRPr="0051709F">
        <w:rPr>
          <w:rFonts w:cstheme="minorHAnsi"/>
        </w:rPr>
        <w:t>Podólogos deportivos</w:t>
      </w:r>
      <w:r w:rsidR="005779E5">
        <w:rPr>
          <w:rFonts w:cstheme="minorHAnsi"/>
        </w:rPr>
        <w:t>.</w:t>
      </w:r>
    </w:p>
    <w:p w14:paraId="09F2B6B4" w14:textId="77777777" w:rsidR="00F02618" w:rsidRPr="0051709F" w:rsidRDefault="00F02618" w:rsidP="00F02618">
      <w:pPr>
        <w:jc w:val="both"/>
        <w:rPr>
          <w:rFonts w:cstheme="minorHAnsi"/>
        </w:rPr>
      </w:pPr>
    </w:p>
    <w:p w14:paraId="3F57C120" w14:textId="7007EA7D" w:rsidR="00F02618" w:rsidRPr="0051709F" w:rsidRDefault="00F02618" w:rsidP="00F02618">
      <w:pPr>
        <w:jc w:val="both"/>
        <w:rPr>
          <w:rFonts w:cstheme="minorHAnsi"/>
        </w:rPr>
      </w:pPr>
      <w:r w:rsidRPr="0051709F">
        <w:rPr>
          <w:rFonts w:cstheme="minorHAnsi"/>
        </w:rPr>
        <w:t>También, tal y como se ha indicado anteriormente, todos estos agentes</w:t>
      </w:r>
      <w:r w:rsidR="005779E5">
        <w:rPr>
          <w:rFonts w:cstheme="minorHAnsi"/>
        </w:rPr>
        <w:t>,</w:t>
      </w:r>
      <w:r w:rsidRPr="0051709F">
        <w:rPr>
          <w:rFonts w:cstheme="minorHAnsi"/>
        </w:rPr>
        <w:t xml:space="preserve"> según el caso</w:t>
      </w:r>
      <w:r w:rsidR="005779E5">
        <w:rPr>
          <w:rFonts w:cstheme="minorHAnsi"/>
        </w:rPr>
        <w:t>,</w:t>
      </w:r>
      <w:r w:rsidRPr="0051709F">
        <w:rPr>
          <w:rFonts w:cstheme="minorHAnsi"/>
        </w:rPr>
        <w:t xml:space="preserve"> necesitan formación específica tanto en promoción de la actividad física y lucha contra el sedentarismo</w:t>
      </w:r>
      <w:r w:rsidR="005779E5">
        <w:rPr>
          <w:rFonts w:cstheme="minorHAnsi"/>
        </w:rPr>
        <w:t>,</w:t>
      </w:r>
      <w:r w:rsidRPr="0051709F">
        <w:rPr>
          <w:rFonts w:cstheme="minorHAnsi"/>
        </w:rPr>
        <w:t xml:space="preserve"> como en</w:t>
      </w:r>
      <w:r w:rsidR="005779E5">
        <w:rPr>
          <w:rFonts w:cstheme="minorHAnsi"/>
        </w:rPr>
        <w:t xml:space="preserve"> el</w:t>
      </w:r>
      <w:r w:rsidRPr="0051709F">
        <w:rPr>
          <w:rFonts w:cstheme="minorHAnsi"/>
        </w:rPr>
        <w:t xml:space="preserve"> caso de utilizar el ejercicio como parte de la prevención y/o tratamiento de una NCD. Asimismo, </w:t>
      </w:r>
      <w:r w:rsidR="005779E5">
        <w:rPr>
          <w:rFonts w:cstheme="minorHAnsi"/>
        </w:rPr>
        <w:t>resulta</w:t>
      </w:r>
      <w:r w:rsidR="005779E5" w:rsidRPr="0051709F">
        <w:rPr>
          <w:rFonts w:cstheme="minorHAnsi"/>
        </w:rPr>
        <w:t xml:space="preserve"> </w:t>
      </w:r>
      <w:r w:rsidRPr="0051709F">
        <w:rPr>
          <w:rFonts w:cstheme="minorHAnsi"/>
        </w:rPr>
        <w:t>imprescindible la colaboración entre los profesionales para alcanzar los objetivos previstos.</w:t>
      </w:r>
    </w:p>
    <w:p w14:paraId="75AC24B7" w14:textId="77777777" w:rsidR="00403C72" w:rsidRPr="0051709F" w:rsidRDefault="00403C72" w:rsidP="009B1F89">
      <w:pPr>
        <w:jc w:val="both"/>
        <w:rPr>
          <w:rFonts w:cstheme="minorHAnsi"/>
        </w:rPr>
      </w:pPr>
    </w:p>
    <w:p w14:paraId="68096EC6"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FARMACIA COMUNITARIA</w:t>
      </w:r>
    </w:p>
    <w:p w14:paraId="108A144A" w14:textId="77777777" w:rsidR="00D403AA" w:rsidRPr="0051709F" w:rsidRDefault="00D403AA" w:rsidP="009B1F89">
      <w:pPr>
        <w:jc w:val="both"/>
        <w:rPr>
          <w:rFonts w:cstheme="minorHAnsi"/>
        </w:rPr>
      </w:pPr>
    </w:p>
    <w:p w14:paraId="71D5EA31" w14:textId="0D6C188C" w:rsidR="005779E5" w:rsidRDefault="00403C72" w:rsidP="009B1F89">
      <w:pPr>
        <w:tabs>
          <w:tab w:val="left" w:pos="7230"/>
          <w:tab w:val="left" w:pos="7513"/>
          <w:tab w:val="left" w:pos="7655"/>
          <w:tab w:val="left" w:pos="8504"/>
        </w:tabs>
        <w:jc w:val="both"/>
        <w:rPr>
          <w:rFonts w:cstheme="minorHAnsi"/>
        </w:rPr>
      </w:pPr>
      <w:r w:rsidRPr="0051709F">
        <w:rPr>
          <w:rFonts w:cstheme="minorHAnsi"/>
        </w:rPr>
        <w:t>La farmacia comunitaria ofrece una oportunidad de llegar tanto a los ciudadanos de las grandes ciudades como de pequeños municipios. En la actualidad, de las 22</w:t>
      </w:r>
      <w:r w:rsidR="005779E5">
        <w:rPr>
          <w:rFonts w:cstheme="minorHAnsi"/>
        </w:rPr>
        <w:t>.</w:t>
      </w:r>
      <w:r w:rsidRPr="0051709F">
        <w:rPr>
          <w:rFonts w:cstheme="minorHAnsi"/>
        </w:rPr>
        <w:t>000 farmacias existentes en toda España, 5.339 farmacias están ubicadas en municipios rurales. De ellas</w:t>
      </w:r>
      <w:r w:rsidR="005779E5">
        <w:rPr>
          <w:rFonts w:cstheme="minorHAnsi"/>
        </w:rPr>
        <w:t>,</w:t>
      </w:r>
      <w:r w:rsidRPr="0051709F">
        <w:rPr>
          <w:rFonts w:cstheme="minorHAnsi"/>
        </w:rPr>
        <w:t xml:space="preserve"> 2.128 se encuentran en municipios con población inferior a los 1.000 habitantes y 1.208 en municipios de menos de 500</w:t>
      </w:r>
      <w:r w:rsidR="005779E5">
        <w:rPr>
          <w:rFonts w:cstheme="minorHAnsi"/>
        </w:rPr>
        <w:t xml:space="preserve"> habitantes</w:t>
      </w:r>
      <w:r w:rsidRPr="0051709F">
        <w:rPr>
          <w:rFonts w:cstheme="minorHAnsi"/>
        </w:rPr>
        <w:t xml:space="preserve"> (Consejo General de Colegios Oficiales de Farmacéuticos, 2022). El 99% de la población española dispone de una farmacia en su municipio. Según el </w:t>
      </w:r>
      <w:r w:rsidRPr="007B667D">
        <w:rPr>
          <w:rFonts w:cstheme="minorHAnsi"/>
          <w:i/>
          <w:iCs/>
        </w:rPr>
        <w:t xml:space="preserve">STADA </w:t>
      </w:r>
      <w:proofErr w:type="spellStart"/>
      <w:r w:rsidRPr="007B667D">
        <w:rPr>
          <w:rFonts w:cstheme="minorHAnsi"/>
          <w:i/>
          <w:iCs/>
        </w:rPr>
        <w:t>Health</w:t>
      </w:r>
      <w:proofErr w:type="spellEnd"/>
      <w:r w:rsidRPr="007B667D">
        <w:rPr>
          <w:rFonts w:cstheme="minorHAnsi"/>
          <w:i/>
          <w:iCs/>
        </w:rPr>
        <w:t xml:space="preserve"> </w:t>
      </w:r>
      <w:proofErr w:type="spellStart"/>
      <w:r w:rsidRPr="007B667D">
        <w:rPr>
          <w:rFonts w:cstheme="minorHAnsi"/>
          <w:i/>
          <w:iCs/>
        </w:rPr>
        <w:t>Report</w:t>
      </w:r>
      <w:proofErr w:type="spellEnd"/>
      <w:r w:rsidRPr="007B667D">
        <w:rPr>
          <w:rFonts w:cstheme="minorHAnsi"/>
          <w:i/>
          <w:iCs/>
        </w:rPr>
        <w:t xml:space="preserve"> 2022</w:t>
      </w:r>
      <w:r w:rsidRPr="0051709F">
        <w:rPr>
          <w:rFonts w:cstheme="minorHAnsi"/>
        </w:rPr>
        <w:t>, el 72% de los adultos españoles declara visitar una oficina de farmacia al menos una vez al mes</w:t>
      </w:r>
    </w:p>
    <w:p w14:paraId="199AE794" w14:textId="06F66956" w:rsidR="00F02618" w:rsidRPr="0051709F" w:rsidRDefault="00403C72" w:rsidP="009B1F89">
      <w:pPr>
        <w:tabs>
          <w:tab w:val="left" w:pos="7230"/>
          <w:tab w:val="left" w:pos="7513"/>
          <w:tab w:val="left" w:pos="7655"/>
          <w:tab w:val="left" w:pos="8504"/>
        </w:tabs>
        <w:jc w:val="both"/>
        <w:rPr>
          <w:rFonts w:cstheme="minorHAnsi"/>
        </w:rPr>
      </w:pPr>
      <w:r w:rsidRPr="0051709F">
        <w:rPr>
          <w:rFonts w:cstheme="minorHAnsi"/>
        </w:rPr>
        <w:t>(</w:t>
      </w:r>
      <w:hyperlink r:id="rId56" w:history="1">
        <w:r w:rsidR="00F02618" w:rsidRPr="0051709F">
          <w:rPr>
            <w:rStyle w:val="Hipervnculo"/>
            <w:rFonts w:cstheme="minorHAnsi"/>
          </w:rPr>
          <w:t>https://elglobal.es/farmacia/el-72-de-espanoles-visita-al-menos-una-vez-al-mes-las-farmacias/</w:t>
        </w:r>
      </w:hyperlink>
      <w:r w:rsidRPr="0051709F">
        <w:rPr>
          <w:rFonts w:cstheme="minorHAnsi"/>
        </w:rPr>
        <w:t>)</w:t>
      </w:r>
      <w:r w:rsidR="00F02618" w:rsidRPr="0051709F">
        <w:rPr>
          <w:rFonts w:cstheme="minorHAnsi"/>
        </w:rPr>
        <w:t>.</w:t>
      </w:r>
    </w:p>
    <w:p w14:paraId="58954FD1" w14:textId="77777777" w:rsidR="00D403AA" w:rsidRPr="0051709F" w:rsidRDefault="00D403AA" w:rsidP="009B1F89">
      <w:pPr>
        <w:tabs>
          <w:tab w:val="left" w:pos="7230"/>
          <w:tab w:val="left" w:pos="7513"/>
          <w:tab w:val="left" w:pos="7655"/>
          <w:tab w:val="left" w:pos="8504"/>
        </w:tabs>
        <w:jc w:val="both"/>
        <w:rPr>
          <w:rFonts w:cstheme="minorHAnsi"/>
        </w:rPr>
      </w:pPr>
    </w:p>
    <w:p w14:paraId="031FED69" w14:textId="466CA9B5" w:rsidR="00403C72" w:rsidRPr="0051709F" w:rsidRDefault="00403C72" w:rsidP="009B1F89">
      <w:pPr>
        <w:tabs>
          <w:tab w:val="left" w:pos="7230"/>
          <w:tab w:val="left" w:pos="7513"/>
          <w:tab w:val="left" w:pos="7655"/>
          <w:tab w:val="left" w:pos="8504"/>
        </w:tabs>
        <w:jc w:val="both"/>
        <w:rPr>
          <w:rFonts w:eastAsia="Calibri" w:cstheme="minorHAnsi"/>
        </w:rPr>
      </w:pPr>
      <w:r w:rsidRPr="0051709F">
        <w:rPr>
          <w:rFonts w:eastAsia="Calibri" w:cstheme="minorHAnsi"/>
        </w:rPr>
        <w:t xml:space="preserve">Muchas personas sin patología concreta acuden a la farmacia para medicamentos sin receta o productos de parafarmacia. Este colectivo puede ser receptor de consejos de promoción de la actividad física y reducción del sedentarismo, ya que incluye a personas de todas las edades, incluidos padres y madres sobre los que se puede actuar para informar </w:t>
      </w:r>
      <w:r w:rsidR="00732169" w:rsidRPr="0051709F">
        <w:rPr>
          <w:rFonts w:eastAsia="Calibri" w:cstheme="minorHAnsi"/>
        </w:rPr>
        <w:t>con relación a</w:t>
      </w:r>
      <w:r w:rsidRPr="0051709F">
        <w:rPr>
          <w:rFonts w:eastAsia="Calibri" w:cstheme="minorHAnsi"/>
        </w:rPr>
        <w:t xml:space="preserve"> la importancia de la actividad física </w:t>
      </w:r>
      <w:r w:rsidR="005779E5">
        <w:rPr>
          <w:rFonts w:eastAsia="Calibri" w:cstheme="minorHAnsi"/>
        </w:rPr>
        <w:t>de</w:t>
      </w:r>
      <w:r w:rsidR="005779E5" w:rsidRPr="0051709F">
        <w:rPr>
          <w:rFonts w:eastAsia="Calibri" w:cstheme="minorHAnsi"/>
        </w:rPr>
        <w:t xml:space="preserve"> </w:t>
      </w:r>
      <w:r w:rsidRPr="0051709F">
        <w:rPr>
          <w:rFonts w:eastAsia="Calibri" w:cstheme="minorHAnsi"/>
        </w:rPr>
        <w:t xml:space="preserve">sus hijos. Asimismo, muchas personas mayores acuden a la farmacia. El farmacéutico es un profesional altamente cualificado, que recibe formación continuada tanto del Consejo General de Colegios Oficiales de Farmacéuticos como por parte de otras instituciones. En el </w:t>
      </w:r>
      <w:r w:rsidR="005779E5" w:rsidRPr="005779E5">
        <w:rPr>
          <w:rFonts w:eastAsia="Calibri" w:cstheme="minorHAnsi"/>
        </w:rPr>
        <w:t xml:space="preserve">Plan de Educación Nutricional por el Farmacéutico </w:t>
      </w:r>
      <w:r w:rsidR="005779E5">
        <w:rPr>
          <w:rFonts w:eastAsia="Calibri" w:cstheme="minorHAnsi"/>
        </w:rPr>
        <w:t>(</w:t>
      </w:r>
      <w:r w:rsidRPr="0051709F">
        <w:rPr>
          <w:rFonts w:eastAsia="Calibri" w:cstheme="minorHAnsi"/>
        </w:rPr>
        <w:t>PLENUFAR</w:t>
      </w:r>
      <w:r w:rsidR="005779E5">
        <w:rPr>
          <w:rFonts w:eastAsia="Calibri" w:cstheme="minorHAnsi"/>
        </w:rPr>
        <w:t>)</w:t>
      </w:r>
      <w:r w:rsidRPr="0051709F">
        <w:rPr>
          <w:rFonts w:eastAsia="Calibri" w:cstheme="minorHAnsi"/>
        </w:rPr>
        <w:t xml:space="preserve"> 6</w:t>
      </w:r>
      <w:r w:rsidR="005779E5">
        <w:rPr>
          <w:rFonts w:eastAsia="Calibri" w:cstheme="minorHAnsi"/>
        </w:rPr>
        <w:t>,</w:t>
      </w:r>
      <w:r w:rsidRPr="0051709F">
        <w:rPr>
          <w:rFonts w:eastAsia="Calibri" w:cstheme="minorHAnsi"/>
        </w:rPr>
        <w:t xml:space="preserve"> ya se inició una formación relacionada con la nutrición y el ejercicio físico, que incluía aspectos básicos de actividad física y salud y de fisiología del ejercicio. Se puede realizar una formación específica en </w:t>
      </w:r>
      <w:r w:rsidRPr="0051709F">
        <w:rPr>
          <w:rFonts w:eastAsia="Calibri" w:cstheme="minorHAnsi"/>
        </w:rPr>
        <w:lastRenderedPageBreak/>
        <w:t>promoción de la actividad física y de lucha contra el sedentarismo y de identificación del riesgo</w:t>
      </w:r>
      <w:r w:rsidR="00B713C1">
        <w:rPr>
          <w:rFonts w:eastAsia="Calibri" w:cstheme="minorHAnsi"/>
        </w:rPr>
        <w:t xml:space="preserve"> asociado a este</w:t>
      </w:r>
      <w:r w:rsidRPr="0051709F">
        <w:rPr>
          <w:rFonts w:eastAsia="Calibri" w:cstheme="minorHAnsi"/>
        </w:rPr>
        <w:t>. En los casos de NCD</w:t>
      </w:r>
      <w:r w:rsidR="00B713C1">
        <w:rPr>
          <w:rFonts w:eastAsia="Calibri" w:cstheme="minorHAnsi"/>
        </w:rPr>
        <w:t xml:space="preserve"> o</w:t>
      </w:r>
      <w:r w:rsidRPr="0051709F">
        <w:rPr>
          <w:rFonts w:eastAsia="Calibri" w:cstheme="minorHAnsi"/>
        </w:rPr>
        <w:t xml:space="preserve"> fragilidad, el farmacéutico debe derivar al centro de atención primaria especializado en ejercicio para su diagnóstico y tratamiento.</w:t>
      </w:r>
    </w:p>
    <w:p w14:paraId="46058A42" w14:textId="77777777" w:rsidR="00D403AA" w:rsidRPr="0051709F" w:rsidRDefault="00D403AA" w:rsidP="009B1F89">
      <w:pPr>
        <w:tabs>
          <w:tab w:val="left" w:pos="7230"/>
          <w:tab w:val="left" w:pos="7513"/>
          <w:tab w:val="left" w:pos="7655"/>
          <w:tab w:val="left" w:pos="8504"/>
        </w:tabs>
        <w:jc w:val="both"/>
        <w:rPr>
          <w:rFonts w:eastAsia="Calibri" w:cstheme="minorHAnsi"/>
        </w:rPr>
      </w:pPr>
    </w:p>
    <w:p w14:paraId="7AE3968E" w14:textId="0C604C9D" w:rsidR="00403C72" w:rsidRPr="0051709F" w:rsidRDefault="00403C72" w:rsidP="009B1F89">
      <w:pPr>
        <w:tabs>
          <w:tab w:val="left" w:pos="7230"/>
          <w:tab w:val="left" w:pos="7513"/>
          <w:tab w:val="left" w:pos="7655"/>
          <w:tab w:val="left" w:pos="8504"/>
        </w:tabs>
        <w:jc w:val="both"/>
        <w:rPr>
          <w:rFonts w:cstheme="minorHAnsi"/>
        </w:rPr>
      </w:pPr>
      <w:r w:rsidRPr="0051709F">
        <w:rPr>
          <w:rFonts w:cstheme="minorHAnsi"/>
        </w:rPr>
        <w:t>Implicar a</w:t>
      </w:r>
      <w:r w:rsidR="00B713C1">
        <w:rPr>
          <w:rFonts w:cstheme="minorHAnsi"/>
        </w:rPr>
        <w:t>l</w:t>
      </w:r>
      <w:r w:rsidRPr="0051709F">
        <w:rPr>
          <w:rFonts w:cstheme="minorHAnsi"/>
        </w:rPr>
        <w:t xml:space="preserve"> Consejo General de Colegios Oficiales de Farmacéuticos, Sociedades científicas (Sociedad Española de Nutrición, Sociedad Española de Farmacia Clínica, Familiar y Comunitaria SEFAC </w:t>
      </w:r>
      <w:hyperlink r:id="rId57" w:history="1">
        <w:r w:rsidRPr="0051709F">
          <w:rPr>
            <w:rStyle w:val="Hipervnculo"/>
            <w:rFonts w:cstheme="minorHAnsi"/>
          </w:rPr>
          <w:t>https://www.sefac.org/</w:t>
        </w:r>
      </w:hyperlink>
      <w:r w:rsidRPr="0051709F">
        <w:rPr>
          <w:rFonts w:cstheme="minorHAnsi"/>
        </w:rPr>
        <w:t>)</w:t>
      </w:r>
      <w:r w:rsidR="00F02618" w:rsidRPr="0051709F">
        <w:rPr>
          <w:rFonts w:cstheme="minorHAnsi"/>
        </w:rPr>
        <w:t xml:space="preserve"> entre otros</w:t>
      </w:r>
      <w:r w:rsidR="00B713C1">
        <w:rPr>
          <w:rFonts w:cstheme="minorHAnsi"/>
        </w:rPr>
        <w:t xml:space="preserve"> en la puesta en marcha de esta iniciativa</w:t>
      </w:r>
      <w:r w:rsidR="00F02618" w:rsidRPr="0051709F">
        <w:rPr>
          <w:rFonts w:cstheme="minorHAnsi"/>
        </w:rPr>
        <w:t>.</w:t>
      </w:r>
    </w:p>
    <w:p w14:paraId="0813B563" w14:textId="77777777" w:rsidR="00403C72" w:rsidRPr="0051709F" w:rsidRDefault="00403C72" w:rsidP="009B1F89">
      <w:pPr>
        <w:tabs>
          <w:tab w:val="left" w:pos="7230"/>
          <w:tab w:val="left" w:pos="7513"/>
          <w:tab w:val="left" w:pos="7655"/>
          <w:tab w:val="left" w:pos="8504"/>
        </w:tabs>
        <w:jc w:val="both"/>
        <w:rPr>
          <w:rFonts w:cstheme="minorHAnsi"/>
        </w:rPr>
      </w:pPr>
    </w:p>
    <w:p w14:paraId="77223B74"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CENTROS DE ATENCIÓN PRIMARIA</w:t>
      </w:r>
    </w:p>
    <w:p w14:paraId="5950AB41" w14:textId="77777777" w:rsidR="00D403AA" w:rsidRPr="0051709F" w:rsidRDefault="00D403AA" w:rsidP="009B1F89">
      <w:pPr>
        <w:jc w:val="both"/>
        <w:rPr>
          <w:rFonts w:cstheme="minorHAnsi"/>
        </w:rPr>
      </w:pPr>
    </w:p>
    <w:p w14:paraId="774FBC96" w14:textId="77777777" w:rsidR="00403C72" w:rsidRPr="0051709F" w:rsidRDefault="00403C72" w:rsidP="009B1F89">
      <w:pPr>
        <w:jc w:val="both"/>
        <w:rPr>
          <w:rFonts w:cstheme="minorHAnsi"/>
        </w:rPr>
      </w:pPr>
      <w:r w:rsidRPr="0051709F">
        <w:rPr>
          <w:rFonts w:cstheme="minorHAnsi"/>
        </w:rPr>
        <w:t>Los centros de salud de atención primaria se consideran un buen recurso para promocionar la actividad física, ya que se estima que alrededor del 80% de los adultos visitan a su médico de familia al menos una vez al año (Martin-Borras y col, 2018; Bull y col, 2015).</w:t>
      </w:r>
    </w:p>
    <w:p w14:paraId="0F7D9B63" w14:textId="77777777" w:rsidR="00D403AA" w:rsidRPr="0051709F" w:rsidRDefault="00D403AA" w:rsidP="009B1F89">
      <w:pPr>
        <w:jc w:val="both"/>
        <w:rPr>
          <w:rFonts w:cstheme="minorHAnsi"/>
        </w:rPr>
      </w:pPr>
    </w:p>
    <w:p w14:paraId="49FF5AC6" w14:textId="26B4E405" w:rsidR="00D403AA" w:rsidRPr="0051709F" w:rsidRDefault="00403C72" w:rsidP="009B1F89">
      <w:pPr>
        <w:jc w:val="both"/>
        <w:rPr>
          <w:rFonts w:cstheme="minorHAnsi"/>
        </w:rPr>
      </w:pPr>
      <w:r w:rsidRPr="0051709F">
        <w:rPr>
          <w:rFonts w:cstheme="minorHAnsi"/>
        </w:rPr>
        <w:t>En España, en 2021, había 3</w:t>
      </w:r>
      <w:r w:rsidR="00B713C1">
        <w:rPr>
          <w:rFonts w:cstheme="minorHAnsi"/>
        </w:rPr>
        <w:t>.</w:t>
      </w:r>
      <w:r w:rsidRPr="0051709F">
        <w:rPr>
          <w:rFonts w:cstheme="minorHAnsi"/>
        </w:rPr>
        <w:t>033 centros de salud y 10</w:t>
      </w:r>
      <w:r w:rsidR="00B713C1">
        <w:rPr>
          <w:rFonts w:cstheme="minorHAnsi"/>
        </w:rPr>
        <w:t>.</w:t>
      </w:r>
      <w:r w:rsidRPr="0051709F">
        <w:rPr>
          <w:rFonts w:cstheme="minorHAnsi"/>
        </w:rPr>
        <w:t xml:space="preserve">018 Consultorios locales distribuidos según se desprende de la </w:t>
      </w:r>
      <w:r w:rsidR="005B6008" w:rsidRPr="0051709F">
        <w:rPr>
          <w:rFonts w:cstheme="minorHAnsi"/>
        </w:rPr>
        <w:t>Tabla 8.</w:t>
      </w:r>
    </w:p>
    <w:p w14:paraId="0E865455" w14:textId="77777777" w:rsidR="00D403AA" w:rsidRDefault="00D403AA" w:rsidP="009B1F89">
      <w:pPr>
        <w:jc w:val="both"/>
        <w:rPr>
          <w:rFonts w:cstheme="minorHAnsi"/>
        </w:rPr>
      </w:pPr>
    </w:p>
    <w:p w14:paraId="5A295342" w14:textId="54819A4B" w:rsidR="00914456" w:rsidRDefault="00B713C1" w:rsidP="009B1F89">
      <w:pPr>
        <w:jc w:val="both"/>
        <w:rPr>
          <w:rFonts w:cstheme="minorHAnsi"/>
        </w:rPr>
      </w:pPr>
      <w:r w:rsidRPr="0051709F">
        <w:rPr>
          <w:rFonts w:cstheme="minorHAnsi"/>
          <w:noProof/>
          <w:lang w:val="en-GB" w:eastAsia="en-GB"/>
        </w:rPr>
        <w:drawing>
          <wp:inline distT="0" distB="0" distL="0" distR="0" wp14:anchorId="0B09148D" wp14:editId="76662EE0">
            <wp:extent cx="4632768" cy="3977640"/>
            <wp:effectExtent l="0" t="0" r="0" b="3810"/>
            <wp:docPr id="612744110" name="Imagen 612744110"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44110" name="Imagen 612744110" descr="Interfaz de usuario gráfica, Aplicación, Tabla, Excel&#10;&#10;Descripción generada automáticamente"/>
                    <pic:cNvPicPr/>
                  </pic:nvPicPr>
                  <pic:blipFill rotWithShape="1">
                    <a:blip r:embed="rId58"/>
                    <a:srcRect l="34776" t="36026" r="27362" b="6188"/>
                    <a:stretch/>
                  </pic:blipFill>
                  <pic:spPr bwMode="auto">
                    <a:xfrm>
                      <a:off x="0" y="0"/>
                      <a:ext cx="4642305" cy="3985828"/>
                    </a:xfrm>
                    <a:prstGeom prst="rect">
                      <a:avLst/>
                    </a:prstGeom>
                    <a:ln>
                      <a:noFill/>
                    </a:ln>
                    <a:extLst>
                      <a:ext uri="{53640926-AAD7-44D8-BBD7-CCE9431645EC}">
                        <a14:shadowObscured xmlns:a14="http://schemas.microsoft.com/office/drawing/2010/main"/>
                      </a:ext>
                    </a:extLst>
                  </pic:spPr>
                </pic:pic>
              </a:graphicData>
            </a:graphic>
          </wp:inline>
        </w:drawing>
      </w:r>
    </w:p>
    <w:p w14:paraId="10800633" w14:textId="77777777" w:rsidR="00914456" w:rsidRDefault="00914456" w:rsidP="009B1F89">
      <w:pPr>
        <w:jc w:val="both"/>
        <w:rPr>
          <w:rFonts w:cstheme="minorHAnsi"/>
        </w:rPr>
      </w:pPr>
    </w:p>
    <w:p w14:paraId="7CCDFDCD" w14:textId="7B75F339" w:rsidR="00403C72" w:rsidRPr="007B667D" w:rsidRDefault="005B6008" w:rsidP="00D403AA">
      <w:pPr>
        <w:jc w:val="center"/>
        <w:rPr>
          <w:rFonts w:cstheme="minorHAnsi"/>
          <w:i/>
          <w:iCs/>
          <w:sz w:val="22"/>
          <w:szCs w:val="22"/>
        </w:rPr>
      </w:pPr>
      <w:r w:rsidRPr="007B667D">
        <w:rPr>
          <w:rFonts w:cstheme="minorHAnsi"/>
          <w:i/>
          <w:iCs/>
          <w:sz w:val="22"/>
          <w:szCs w:val="22"/>
        </w:rPr>
        <w:t>Tabla</w:t>
      </w:r>
      <w:r w:rsidR="00403C72" w:rsidRPr="007B667D">
        <w:rPr>
          <w:rFonts w:cstheme="minorHAnsi"/>
          <w:i/>
          <w:iCs/>
          <w:sz w:val="22"/>
          <w:szCs w:val="22"/>
        </w:rPr>
        <w:t xml:space="preserve"> </w:t>
      </w:r>
      <w:r w:rsidRPr="007B667D">
        <w:rPr>
          <w:rFonts w:cstheme="minorHAnsi"/>
          <w:i/>
          <w:iCs/>
          <w:sz w:val="22"/>
          <w:szCs w:val="22"/>
        </w:rPr>
        <w:t>8</w:t>
      </w:r>
      <w:r w:rsidR="00403C72" w:rsidRPr="007B667D">
        <w:rPr>
          <w:rFonts w:cstheme="minorHAnsi"/>
          <w:i/>
          <w:iCs/>
          <w:sz w:val="22"/>
          <w:szCs w:val="22"/>
        </w:rPr>
        <w:t xml:space="preserve">. Número de centros de salud y consultorios de Atención Primaria del Sistema Nacional de Salud (SNS) según comunidad autónoma (2021) </w:t>
      </w:r>
      <w:hyperlink r:id="rId59" w:history="1">
        <w:r w:rsidR="00403C72" w:rsidRPr="007B667D">
          <w:rPr>
            <w:rStyle w:val="Hipervnculo"/>
            <w:rFonts w:cstheme="minorHAnsi"/>
            <w:i/>
            <w:iCs/>
            <w:sz w:val="22"/>
            <w:szCs w:val="22"/>
          </w:rPr>
          <w:t>https://www.sanidad.gob.es/estadEstudios/sanidadDatos/tablas/tabla16.htm</w:t>
        </w:r>
      </w:hyperlink>
    </w:p>
    <w:p w14:paraId="058EA0A1" w14:textId="6567C7AC" w:rsidR="00403C72" w:rsidRPr="0051709F" w:rsidRDefault="00403C72" w:rsidP="00D403AA">
      <w:pPr>
        <w:jc w:val="center"/>
        <w:rPr>
          <w:rFonts w:cstheme="minorHAnsi"/>
        </w:rPr>
      </w:pPr>
    </w:p>
    <w:p w14:paraId="4B398E19" w14:textId="77777777" w:rsidR="00D403AA" w:rsidRDefault="00D403AA" w:rsidP="009B1F89">
      <w:pPr>
        <w:jc w:val="both"/>
        <w:rPr>
          <w:rFonts w:cstheme="minorHAnsi"/>
        </w:rPr>
      </w:pPr>
    </w:p>
    <w:p w14:paraId="49FA6BFC" w14:textId="77777777" w:rsidR="00914456" w:rsidRPr="0051709F" w:rsidRDefault="00914456" w:rsidP="009B1F89">
      <w:pPr>
        <w:jc w:val="both"/>
        <w:rPr>
          <w:rFonts w:cstheme="minorHAnsi"/>
        </w:rPr>
      </w:pPr>
    </w:p>
    <w:p w14:paraId="4BB4FD68" w14:textId="567E6D72" w:rsidR="00403C72" w:rsidRPr="0051709F" w:rsidRDefault="00403C72" w:rsidP="009B1F89">
      <w:pPr>
        <w:jc w:val="both"/>
        <w:rPr>
          <w:rFonts w:cstheme="minorHAnsi"/>
        </w:rPr>
      </w:pPr>
      <w:r w:rsidRPr="0051709F">
        <w:rPr>
          <w:rFonts w:cstheme="minorHAnsi"/>
        </w:rPr>
        <w:lastRenderedPageBreak/>
        <w:t xml:space="preserve">El sistema sanitario público español garantiza el acceso universal y gratuito de todos los ciudadanos a la atención médica. Por tanto, no discrimina por ninguna causa y lo convierte en un modelo inclusivo. </w:t>
      </w:r>
    </w:p>
    <w:p w14:paraId="668BC861" w14:textId="77777777" w:rsidR="00D403AA" w:rsidRPr="0051709F" w:rsidRDefault="00D403AA" w:rsidP="009B1F89">
      <w:pPr>
        <w:jc w:val="both"/>
        <w:rPr>
          <w:rFonts w:cstheme="minorHAnsi"/>
        </w:rPr>
      </w:pPr>
    </w:p>
    <w:p w14:paraId="796A4C1B" w14:textId="2E09DFCD" w:rsidR="00403C72" w:rsidRPr="0051709F" w:rsidRDefault="00403C72" w:rsidP="009B1F89">
      <w:pPr>
        <w:jc w:val="both"/>
        <w:rPr>
          <w:rFonts w:eastAsia="Calibri" w:cstheme="minorHAnsi"/>
          <w:color w:val="000000" w:themeColor="text1"/>
        </w:rPr>
      </w:pPr>
      <w:r w:rsidRPr="0051709F">
        <w:rPr>
          <w:rFonts w:eastAsia="Calibri" w:cstheme="minorHAnsi"/>
          <w:color w:val="000000" w:themeColor="text1"/>
        </w:rPr>
        <w:t>Planteada la búsqueda de soluciones para la implementación de</w:t>
      </w:r>
      <w:r w:rsidR="00B713C1">
        <w:rPr>
          <w:rFonts w:eastAsia="Calibri" w:cstheme="minorHAnsi"/>
          <w:color w:val="000000" w:themeColor="text1"/>
        </w:rPr>
        <w:t>l</w:t>
      </w:r>
      <w:r w:rsidRPr="0051709F">
        <w:rPr>
          <w:rFonts w:eastAsia="Calibri" w:cstheme="minorHAnsi"/>
          <w:color w:val="000000" w:themeColor="text1"/>
        </w:rPr>
        <w:t xml:space="preserve"> EIM en </w:t>
      </w:r>
      <w:r w:rsidR="00B713C1">
        <w:rPr>
          <w:rFonts w:eastAsia="Calibri" w:cstheme="minorHAnsi"/>
          <w:color w:val="000000" w:themeColor="text1"/>
        </w:rPr>
        <w:t>la atención primaria</w:t>
      </w:r>
      <w:r w:rsidRPr="0051709F">
        <w:rPr>
          <w:rFonts w:eastAsia="Calibri" w:cstheme="minorHAnsi"/>
          <w:color w:val="000000" w:themeColor="text1"/>
        </w:rPr>
        <w:t xml:space="preserve">, en la investigación de Calonge-Pascual (2019), </w:t>
      </w:r>
      <w:r w:rsidR="00B713C1">
        <w:rPr>
          <w:rFonts w:eastAsia="Calibri" w:cstheme="minorHAnsi"/>
          <w:color w:val="000000" w:themeColor="text1"/>
        </w:rPr>
        <w:t xml:space="preserve">se concluyó que </w:t>
      </w:r>
      <w:r w:rsidRPr="0051709F">
        <w:rPr>
          <w:rFonts w:eastAsia="Calibri" w:cstheme="minorHAnsi"/>
          <w:color w:val="000000" w:themeColor="text1"/>
        </w:rPr>
        <w:t>el 72,4% de los médicos y el 88,1% de las enfermeras indicaron que debía</w:t>
      </w:r>
      <w:r w:rsidR="00B713C1">
        <w:rPr>
          <w:rFonts w:eastAsia="Calibri" w:cstheme="minorHAnsi"/>
          <w:color w:val="000000" w:themeColor="text1"/>
        </w:rPr>
        <w:t>n</w:t>
      </w:r>
      <w:r w:rsidRPr="0051709F">
        <w:rPr>
          <w:rFonts w:eastAsia="Calibri" w:cstheme="minorHAnsi"/>
          <w:color w:val="000000" w:themeColor="text1"/>
        </w:rPr>
        <w:t xml:space="preserve"> mejorar la herramienta para diagnosticar la AF y el sedentarismo en la anamnesis de</w:t>
      </w:r>
      <w:r w:rsidR="00B713C1">
        <w:rPr>
          <w:rFonts w:eastAsia="Calibri" w:cstheme="minorHAnsi"/>
          <w:color w:val="000000" w:themeColor="text1"/>
        </w:rPr>
        <w:t xml:space="preserve"> la</w:t>
      </w:r>
      <w:r w:rsidRPr="0051709F">
        <w:rPr>
          <w:rFonts w:eastAsia="Calibri" w:cstheme="minorHAnsi"/>
          <w:color w:val="000000" w:themeColor="text1"/>
        </w:rPr>
        <w:t xml:space="preserve"> AP. Máximo consenso (90%) hubo en torno a crear una equipo interdisciplinar de prescripción de ejercicio (PDE), ofrecer cursos de formación específicos, realizar difusión para generar conocimiento en la población y en</w:t>
      </w:r>
      <w:r w:rsidR="00B713C1">
        <w:rPr>
          <w:rFonts w:eastAsia="Calibri" w:cstheme="minorHAnsi"/>
          <w:color w:val="000000" w:themeColor="text1"/>
        </w:rPr>
        <w:t>tre</w:t>
      </w:r>
      <w:r w:rsidRPr="0051709F">
        <w:rPr>
          <w:rFonts w:eastAsia="Calibri" w:cstheme="minorHAnsi"/>
          <w:color w:val="000000" w:themeColor="text1"/>
        </w:rPr>
        <w:t xml:space="preserve"> los profesionales, implantación progresiva del modelo PDE y aumentar el tiempo en consulta. Otras propuestas con un consenso superior al 70% fueron crear espacios específicos de PDE en los centros de salud, mejora de recursos económicos y materiales, formar a un líder en PDE en cada centro de salud, utilizar la primera visita de enfermería para el diagnóstico y colaborar con recursos públicos externos.</w:t>
      </w:r>
    </w:p>
    <w:p w14:paraId="421AEC3D" w14:textId="77777777" w:rsidR="00D403AA" w:rsidRPr="0051709F" w:rsidRDefault="00D403AA" w:rsidP="009B1F89">
      <w:pPr>
        <w:jc w:val="both"/>
        <w:rPr>
          <w:rFonts w:eastAsia="Calibri" w:cstheme="minorHAnsi"/>
          <w:color w:val="000000" w:themeColor="text1"/>
        </w:rPr>
      </w:pPr>
    </w:p>
    <w:p w14:paraId="11C13C4E" w14:textId="37925E53" w:rsidR="00D403AA" w:rsidRPr="007B667D" w:rsidRDefault="00403C72" w:rsidP="009B1F89">
      <w:pPr>
        <w:jc w:val="both"/>
        <w:rPr>
          <w:rFonts w:cstheme="minorHAnsi"/>
          <w:u w:val="single"/>
        </w:rPr>
      </w:pPr>
      <w:r w:rsidRPr="007B667D">
        <w:rPr>
          <w:rFonts w:cstheme="minorHAnsi"/>
          <w:u w:val="single"/>
        </w:rPr>
        <w:t>Enfermería</w:t>
      </w:r>
    </w:p>
    <w:p w14:paraId="762B5C1E" w14:textId="77777777" w:rsidR="000D0DBF" w:rsidRDefault="000D0DBF" w:rsidP="009B1F89">
      <w:pPr>
        <w:jc w:val="both"/>
        <w:rPr>
          <w:rFonts w:cstheme="minorHAnsi"/>
        </w:rPr>
      </w:pPr>
    </w:p>
    <w:p w14:paraId="7773710B" w14:textId="5D147DCF" w:rsidR="00403C72" w:rsidRPr="0051709F" w:rsidRDefault="00403C72" w:rsidP="009B1F89">
      <w:pPr>
        <w:jc w:val="both"/>
        <w:rPr>
          <w:rFonts w:cstheme="minorHAnsi"/>
        </w:rPr>
      </w:pPr>
      <w:r w:rsidRPr="0051709F">
        <w:rPr>
          <w:rFonts w:cstheme="minorHAnsi"/>
        </w:rPr>
        <w:t xml:space="preserve">Según los datos estadísticos más recientes, del total de enfermeras que trabajan en el SNS, alrededor del 19% lo hace en AP (Tabla </w:t>
      </w:r>
      <w:r w:rsidR="005B6008" w:rsidRPr="0051709F">
        <w:rPr>
          <w:rFonts w:cstheme="minorHAnsi"/>
        </w:rPr>
        <w:t>9</w:t>
      </w:r>
      <w:r w:rsidRPr="0051709F">
        <w:rPr>
          <w:rFonts w:cstheme="minorHAnsi"/>
        </w:rPr>
        <w:t>).</w:t>
      </w:r>
    </w:p>
    <w:p w14:paraId="22C4BCCB" w14:textId="77777777" w:rsidR="00403C72" w:rsidRPr="0051709F" w:rsidRDefault="00403C72" w:rsidP="009B1F89">
      <w:pPr>
        <w:jc w:val="both"/>
        <w:rPr>
          <w:rFonts w:eastAsiaTheme="minorEastAsia" w:cstheme="minorHAnsi"/>
        </w:rPr>
      </w:pPr>
    </w:p>
    <w:p w14:paraId="1C27D831" w14:textId="77777777" w:rsidR="00B713C1" w:rsidRDefault="00B713C1">
      <w:pPr>
        <w:rPr>
          <w:rFonts w:cstheme="minorHAnsi"/>
          <w:i/>
          <w:iCs/>
          <w:sz w:val="22"/>
          <w:szCs w:val="22"/>
        </w:rPr>
      </w:pPr>
      <w:r>
        <w:rPr>
          <w:rFonts w:cstheme="minorHAnsi"/>
          <w:i/>
          <w:iCs/>
          <w:sz w:val="22"/>
          <w:szCs w:val="22"/>
        </w:rPr>
        <w:br w:type="page"/>
      </w:r>
    </w:p>
    <w:p w14:paraId="708B6CB8" w14:textId="41D17950" w:rsidR="00403C72" w:rsidRPr="007B667D" w:rsidRDefault="00403C72" w:rsidP="00D403AA">
      <w:pPr>
        <w:jc w:val="center"/>
        <w:rPr>
          <w:rFonts w:cstheme="minorHAnsi"/>
          <w:i/>
          <w:iCs/>
          <w:sz w:val="22"/>
          <w:szCs w:val="22"/>
        </w:rPr>
      </w:pPr>
      <w:r w:rsidRPr="007B667D">
        <w:rPr>
          <w:rFonts w:cstheme="minorHAnsi"/>
          <w:i/>
          <w:iCs/>
          <w:sz w:val="22"/>
          <w:szCs w:val="22"/>
        </w:rPr>
        <w:lastRenderedPageBreak/>
        <w:t xml:space="preserve">Tabla </w:t>
      </w:r>
      <w:r w:rsidR="005B6008" w:rsidRPr="007B667D">
        <w:rPr>
          <w:rFonts w:cstheme="minorHAnsi"/>
          <w:i/>
          <w:iCs/>
          <w:sz w:val="22"/>
          <w:szCs w:val="22"/>
        </w:rPr>
        <w:t>9</w:t>
      </w:r>
      <w:r w:rsidRPr="007B667D">
        <w:rPr>
          <w:rFonts w:cstheme="minorHAnsi"/>
          <w:i/>
          <w:iCs/>
          <w:sz w:val="22"/>
          <w:szCs w:val="22"/>
        </w:rPr>
        <w:t>. Número de profesionales de la enfermería que trabajan en el Sistema Nacional de Salud (SNS) en Atención Primaria, Atención Hospitalaria, Servicios de urgencias y emergencias (112/061) y Especialistas en formación según comunidad autónoma. Datos 2021. (</w:t>
      </w:r>
      <w:hyperlink r:id="rId60" w:history="1">
        <w:r w:rsidRPr="007B667D">
          <w:rPr>
            <w:rStyle w:val="Hipervnculo"/>
            <w:rFonts w:cstheme="minorHAnsi"/>
            <w:i/>
            <w:iCs/>
            <w:sz w:val="22"/>
            <w:szCs w:val="22"/>
          </w:rPr>
          <w:t>https://www.sanidad.gob.es/estadEstudios/sanidadDatos/tablas/tabla14.htm</w:t>
        </w:r>
      </w:hyperlink>
      <w:r w:rsidRPr="007B667D">
        <w:rPr>
          <w:rFonts w:cstheme="minorHAnsi"/>
          <w:i/>
          <w:iCs/>
          <w:sz w:val="22"/>
          <w:szCs w:val="22"/>
        </w:rPr>
        <w:t xml:space="preserve"> )</w:t>
      </w:r>
    </w:p>
    <w:p w14:paraId="2FD6B8CB" w14:textId="77777777" w:rsidR="00403C72" w:rsidRPr="007B667D" w:rsidRDefault="00403C72" w:rsidP="00D403AA">
      <w:pPr>
        <w:jc w:val="center"/>
        <w:rPr>
          <w:rFonts w:cstheme="minorHAnsi"/>
          <w:i/>
          <w:iCs/>
          <w:sz w:val="22"/>
          <w:szCs w:val="22"/>
        </w:rPr>
      </w:pPr>
    </w:p>
    <w:p w14:paraId="5B7C1797" w14:textId="77777777" w:rsidR="00403C72" w:rsidRPr="0051709F" w:rsidRDefault="00403C72" w:rsidP="00D403AA">
      <w:pPr>
        <w:jc w:val="center"/>
        <w:rPr>
          <w:rFonts w:cstheme="minorHAnsi"/>
        </w:rPr>
      </w:pPr>
      <w:r w:rsidRPr="0051709F">
        <w:rPr>
          <w:rFonts w:cstheme="minorHAnsi"/>
          <w:noProof/>
          <w:lang w:val="en-GB" w:eastAsia="en-GB"/>
        </w:rPr>
        <w:drawing>
          <wp:inline distT="0" distB="0" distL="0" distR="0" wp14:anchorId="5A0F705F" wp14:editId="1D56DFD4">
            <wp:extent cx="4819652" cy="3514725"/>
            <wp:effectExtent l="0" t="0" r="0" b="0"/>
            <wp:docPr id="411363158" name="Imagen 41136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819652" cy="3514725"/>
                    </a:xfrm>
                    <a:prstGeom prst="rect">
                      <a:avLst/>
                    </a:prstGeom>
                  </pic:spPr>
                </pic:pic>
              </a:graphicData>
            </a:graphic>
          </wp:inline>
        </w:drawing>
      </w:r>
    </w:p>
    <w:p w14:paraId="42A1DF83" w14:textId="77777777" w:rsidR="00403C72" w:rsidRPr="0051709F" w:rsidRDefault="00403C72" w:rsidP="009B1F89">
      <w:pPr>
        <w:jc w:val="both"/>
        <w:rPr>
          <w:rFonts w:cstheme="minorHAnsi"/>
        </w:rPr>
      </w:pPr>
    </w:p>
    <w:p w14:paraId="47763A97" w14:textId="4BDB76E4" w:rsidR="00B713C1" w:rsidRDefault="00403C72" w:rsidP="009B1F89">
      <w:pPr>
        <w:jc w:val="both"/>
        <w:rPr>
          <w:rFonts w:cstheme="minorHAnsi"/>
        </w:rPr>
      </w:pPr>
      <w:r w:rsidRPr="0051709F">
        <w:rPr>
          <w:rFonts w:cstheme="minorHAnsi"/>
        </w:rPr>
        <w:t xml:space="preserve">Las enfermeras tienen experiencia en la educación para la salud, ya que lo vienen haciendo </w:t>
      </w:r>
      <w:r w:rsidR="00B713C1" w:rsidRPr="0051709F">
        <w:rPr>
          <w:rFonts w:cstheme="minorHAnsi"/>
        </w:rPr>
        <w:t>en relación con</w:t>
      </w:r>
      <w:r w:rsidRPr="0051709F">
        <w:rPr>
          <w:rFonts w:cstheme="minorHAnsi"/>
        </w:rPr>
        <w:t xml:space="preserve"> la educación nutricional, educación para el diabético, etc. Además, según los resultados de Calonge-Pascual (2019), están dispuestas a participar en una Estrategia Nacional tal y como se está proponiendo, incluso de asumir cierto liderazgo.</w:t>
      </w:r>
    </w:p>
    <w:p w14:paraId="4A660CAC" w14:textId="77777777" w:rsidR="00D403AA" w:rsidRPr="0051709F" w:rsidRDefault="00D403AA" w:rsidP="009B1F89">
      <w:pPr>
        <w:jc w:val="both"/>
        <w:rPr>
          <w:rFonts w:eastAsiaTheme="minorEastAsia" w:cstheme="minorHAnsi"/>
        </w:rPr>
      </w:pPr>
    </w:p>
    <w:p w14:paraId="3C0C82A4" w14:textId="77777777" w:rsidR="00403C72" w:rsidRPr="007B667D" w:rsidRDefault="00403C72" w:rsidP="009B1F89">
      <w:pPr>
        <w:jc w:val="both"/>
        <w:rPr>
          <w:rFonts w:cstheme="minorHAnsi"/>
          <w:u w:val="single"/>
        </w:rPr>
      </w:pPr>
      <w:r w:rsidRPr="007B667D">
        <w:rPr>
          <w:rFonts w:cstheme="minorHAnsi"/>
          <w:u w:val="single"/>
        </w:rPr>
        <w:t>Profesionales de la Medicina</w:t>
      </w:r>
    </w:p>
    <w:p w14:paraId="43939DF4" w14:textId="77777777" w:rsidR="00D403AA" w:rsidRPr="0051709F" w:rsidRDefault="00D403AA" w:rsidP="009B1F89">
      <w:pPr>
        <w:jc w:val="both"/>
        <w:rPr>
          <w:rFonts w:cstheme="minorHAnsi"/>
          <w:b/>
          <w:bCs/>
        </w:rPr>
      </w:pPr>
    </w:p>
    <w:p w14:paraId="46FC986E" w14:textId="746EE357" w:rsidR="00403C72" w:rsidRPr="0051709F" w:rsidRDefault="00403C72" w:rsidP="009B1F89">
      <w:pPr>
        <w:jc w:val="both"/>
        <w:rPr>
          <w:rFonts w:cstheme="minorHAnsi"/>
        </w:rPr>
      </w:pPr>
      <w:r w:rsidRPr="0051709F">
        <w:rPr>
          <w:rFonts w:cstheme="minorHAnsi"/>
        </w:rPr>
        <w:t>Según los datos estadísticos más recientes (2021), en el SNS trabajan 36</w:t>
      </w:r>
      <w:r w:rsidR="000D0DBF">
        <w:rPr>
          <w:rFonts w:cstheme="minorHAnsi"/>
        </w:rPr>
        <w:t>.</w:t>
      </w:r>
      <w:r w:rsidRPr="0051709F">
        <w:rPr>
          <w:rFonts w:cstheme="minorHAnsi"/>
        </w:rPr>
        <w:t xml:space="preserve">075 médicos pediatras y de familia en AP, el 21,5% del total (Tabla </w:t>
      </w:r>
      <w:r w:rsidR="005B6008" w:rsidRPr="0051709F">
        <w:rPr>
          <w:rFonts w:cstheme="minorHAnsi"/>
        </w:rPr>
        <w:t>10</w:t>
      </w:r>
      <w:r w:rsidRPr="0051709F">
        <w:rPr>
          <w:rFonts w:cstheme="minorHAnsi"/>
        </w:rPr>
        <w:t>).</w:t>
      </w:r>
    </w:p>
    <w:p w14:paraId="7EBDA5EE" w14:textId="77777777" w:rsidR="00D403AA" w:rsidRPr="0051709F" w:rsidRDefault="00D403AA" w:rsidP="009B1F89">
      <w:pPr>
        <w:jc w:val="both"/>
        <w:rPr>
          <w:rFonts w:cstheme="minorHAnsi"/>
        </w:rPr>
      </w:pPr>
    </w:p>
    <w:p w14:paraId="54AB073B" w14:textId="77777777" w:rsidR="00D403AA" w:rsidRDefault="00D403AA" w:rsidP="009B1F89">
      <w:pPr>
        <w:jc w:val="both"/>
        <w:rPr>
          <w:rFonts w:cstheme="minorHAnsi"/>
        </w:rPr>
      </w:pPr>
    </w:p>
    <w:p w14:paraId="2887E777" w14:textId="77777777" w:rsidR="00BF32FF" w:rsidRDefault="00BF32FF" w:rsidP="009B1F89">
      <w:pPr>
        <w:jc w:val="both"/>
        <w:rPr>
          <w:rFonts w:cstheme="minorHAnsi"/>
        </w:rPr>
      </w:pPr>
    </w:p>
    <w:p w14:paraId="7F49F170" w14:textId="77777777" w:rsidR="00BF32FF" w:rsidRDefault="00BF32FF" w:rsidP="009B1F89">
      <w:pPr>
        <w:jc w:val="both"/>
        <w:rPr>
          <w:rFonts w:cstheme="minorHAnsi"/>
        </w:rPr>
      </w:pPr>
    </w:p>
    <w:p w14:paraId="38BFDCB3" w14:textId="77777777" w:rsidR="00BF32FF" w:rsidRDefault="00BF32FF" w:rsidP="009B1F89">
      <w:pPr>
        <w:jc w:val="both"/>
        <w:rPr>
          <w:rFonts w:cstheme="minorHAnsi"/>
        </w:rPr>
      </w:pPr>
    </w:p>
    <w:p w14:paraId="33353993" w14:textId="77777777" w:rsidR="00BF32FF" w:rsidRDefault="00BF32FF" w:rsidP="009B1F89">
      <w:pPr>
        <w:jc w:val="both"/>
        <w:rPr>
          <w:rFonts w:cstheme="minorHAnsi"/>
        </w:rPr>
      </w:pPr>
    </w:p>
    <w:p w14:paraId="2732664C" w14:textId="77777777" w:rsidR="00BF32FF" w:rsidRDefault="00BF32FF" w:rsidP="009B1F89">
      <w:pPr>
        <w:jc w:val="both"/>
        <w:rPr>
          <w:rFonts w:cstheme="minorHAnsi"/>
        </w:rPr>
      </w:pPr>
    </w:p>
    <w:p w14:paraId="1FA9C5AC" w14:textId="77777777" w:rsidR="00BF32FF" w:rsidRDefault="00BF32FF" w:rsidP="009B1F89">
      <w:pPr>
        <w:jc w:val="both"/>
        <w:rPr>
          <w:rFonts w:cstheme="minorHAnsi"/>
        </w:rPr>
      </w:pPr>
    </w:p>
    <w:p w14:paraId="5B7F754E" w14:textId="77777777" w:rsidR="00BF32FF" w:rsidRDefault="00BF32FF" w:rsidP="009B1F89">
      <w:pPr>
        <w:jc w:val="both"/>
        <w:rPr>
          <w:rFonts w:cstheme="minorHAnsi"/>
        </w:rPr>
      </w:pPr>
    </w:p>
    <w:p w14:paraId="55FE4BB6" w14:textId="77777777" w:rsidR="00BF32FF" w:rsidRDefault="00BF32FF" w:rsidP="009B1F89">
      <w:pPr>
        <w:jc w:val="both"/>
        <w:rPr>
          <w:rFonts w:cstheme="minorHAnsi"/>
        </w:rPr>
      </w:pPr>
    </w:p>
    <w:p w14:paraId="283522D6" w14:textId="77777777" w:rsidR="00BF32FF" w:rsidRDefault="00BF32FF" w:rsidP="009B1F89">
      <w:pPr>
        <w:jc w:val="both"/>
        <w:rPr>
          <w:rFonts w:cstheme="minorHAnsi"/>
        </w:rPr>
      </w:pPr>
    </w:p>
    <w:p w14:paraId="4CB2B31F" w14:textId="77777777" w:rsidR="00BF32FF" w:rsidRPr="0051709F" w:rsidRDefault="00BF32FF" w:rsidP="009B1F89">
      <w:pPr>
        <w:jc w:val="both"/>
        <w:rPr>
          <w:rFonts w:cstheme="minorHAnsi"/>
        </w:rPr>
      </w:pPr>
    </w:p>
    <w:p w14:paraId="63709F68" w14:textId="7EC0A0CF" w:rsidR="00403C72" w:rsidRPr="007B667D" w:rsidRDefault="00403C72" w:rsidP="00D403AA">
      <w:pPr>
        <w:jc w:val="center"/>
        <w:rPr>
          <w:rFonts w:cstheme="minorHAnsi"/>
          <w:i/>
          <w:iCs/>
          <w:sz w:val="22"/>
          <w:szCs w:val="22"/>
        </w:rPr>
      </w:pPr>
      <w:r w:rsidRPr="007B667D">
        <w:rPr>
          <w:rFonts w:cstheme="minorHAnsi"/>
          <w:i/>
          <w:iCs/>
          <w:sz w:val="22"/>
          <w:szCs w:val="22"/>
        </w:rPr>
        <w:lastRenderedPageBreak/>
        <w:t xml:space="preserve">Tabla </w:t>
      </w:r>
      <w:r w:rsidR="005B6008" w:rsidRPr="007B667D">
        <w:rPr>
          <w:rFonts w:cstheme="minorHAnsi"/>
          <w:i/>
          <w:iCs/>
          <w:sz w:val="22"/>
          <w:szCs w:val="22"/>
        </w:rPr>
        <w:t>10</w:t>
      </w:r>
      <w:r w:rsidRPr="007B667D">
        <w:rPr>
          <w:rFonts w:cstheme="minorHAnsi"/>
          <w:i/>
          <w:iCs/>
          <w:sz w:val="22"/>
          <w:szCs w:val="22"/>
        </w:rPr>
        <w:t>. Número de profesionales de la medicina que trabajan en el Sistema Nacional de Salud (SNS) en Atención Primaria, Atención Hospitalaria, Servicios de urgencias y emergencias (112/061) y Especialistas en formación según comunidad autónoma (</w:t>
      </w:r>
      <w:proofErr w:type="gramStart"/>
      <w:r w:rsidRPr="007B667D">
        <w:rPr>
          <w:rFonts w:cstheme="minorHAnsi"/>
          <w:i/>
          <w:iCs/>
          <w:sz w:val="22"/>
          <w:szCs w:val="22"/>
        </w:rPr>
        <w:t>2021)(</w:t>
      </w:r>
      <w:proofErr w:type="gramEnd"/>
      <w:r w:rsidR="00000000">
        <w:fldChar w:fldCharType="begin"/>
      </w:r>
      <w:r w:rsidR="00000000">
        <w:instrText>HYPERLINK "https://www.sanidad.gob.es/estadEstudios/sanidadDatos/tablas/tabla13.htm"</w:instrText>
      </w:r>
      <w:r w:rsidR="00000000">
        <w:fldChar w:fldCharType="separate"/>
      </w:r>
      <w:r w:rsidRPr="007B667D">
        <w:rPr>
          <w:rStyle w:val="Hipervnculo"/>
          <w:rFonts w:cstheme="minorHAnsi"/>
          <w:i/>
          <w:iCs/>
          <w:sz w:val="22"/>
          <w:szCs w:val="22"/>
        </w:rPr>
        <w:t>https://www.sanidad.gob.es/estadEstudios/sanidadDatos/tablas/tabla13.htm</w:t>
      </w:r>
      <w:r w:rsidR="00000000">
        <w:rPr>
          <w:rStyle w:val="Hipervnculo"/>
          <w:rFonts w:cstheme="minorHAnsi"/>
          <w:i/>
          <w:iCs/>
          <w:sz w:val="22"/>
          <w:szCs w:val="22"/>
        </w:rPr>
        <w:fldChar w:fldCharType="end"/>
      </w:r>
      <w:r w:rsidRPr="007B667D">
        <w:rPr>
          <w:rFonts w:cstheme="minorHAnsi"/>
          <w:i/>
          <w:iCs/>
          <w:sz w:val="22"/>
          <w:szCs w:val="22"/>
        </w:rPr>
        <w:t xml:space="preserve"> )</w:t>
      </w:r>
    </w:p>
    <w:p w14:paraId="72A044C0" w14:textId="77777777" w:rsidR="00403C72" w:rsidRPr="007B667D" w:rsidRDefault="00403C72" w:rsidP="00D403AA">
      <w:pPr>
        <w:jc w:val="center"/>
        <w:rPr>
          <w:rFonts w:cstheme="minorHAnsi"/>
          <w:i/>
          <w:iCs/>
          <w:sz w:val="22"/>
          <w:szCs w:val="22"/>
        </w:rPr>
      </w:pPr>
    </w:p>
    <w:p w14:paraId="097A7024" w14:textId="77777777" w:rsidR="00403C72" w:rsidRPr="0051709F" w:rsidRDefault="00403C72" w:rsidP="00D403AA">
      <w:pPr>
        <w:jc w:val="center"/>
        <w:rPr>
          <w:rFonts w:cstheme="minorHAnsi"/>
        </w:rPr>
      </w:pPr>
      <w:r w:rsidRPr="0051709F">
        <w:rPr>
          <w:rFonts w:cstheme="minorHAnsi"/>
          <w:noProof/>
          <w:lang w:val="en-GB" w:eastAsia="en-GB"/>
        </w:rPr>
        <w:drawing>
          <wp:inline distT="0" distB="0" distL="0" distR="0" wp14:anchorId="28D59066" wp14:editId="24115E5E">
            <wp:extent cx="5209081" cy="3971925"/>
            <wp:effectExtent l="0" t="0" r="0" b="0"/>
            <wp:docPr id="2100813080" name="Imagen 210081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209081" cy="3971925"/>
                    </a:xfrm>
                    <a:prstGeom prst="rect">
                      <a:avLst/>
                    </a:prstGeom>
                  </pic:spPr>
                </pic:pic>
              </a:graphicData>
            </a:graphic>
          </wp:inline>
        </w:drawing>
      </w:r>
    </w:p>
    <w:p w14:paraId="392CC841" w14:textId="77777777" w:rsidR="00403C72" w:rsidRPr="0051709F" w:rsidRDefault="00403C72" w:rsidP="009B1F89">
      <w:pPr>
        <w:jc w:val="both"/>
        <w:rPr>
          <w:rFonts w:cstheme="minorHAnsi"/>
        </w:rPr>
      </w:pPr>
    </w:p>
    <w:p w14:paraId="060B41C7" w14:textId="77777777" w:rsidR="00403C72" w:rsidRPr="007B667D" w:rsidRDefault="00403C72" w:rsidP="009B1F89">
      <w:pPr>
        <w:jc w:val="both"/>
        <w:rPr>
          <w:rFonts w:cstheme="minorHAnsi"/>
          <w:u w:val="single"/>
        </w:rPr>
      </w:pPr>
      <w:r w:rsidRPr="007B667D">
        <w:rPr>
          <w:rFonts w:cstheme="minorHAnsi"/>
          <w:u w:val="single"/>
        </w:rPr>
        <w:t>Pediatría</w:t>
      </w:r>
    </w:p>
    <w:p w14:paraId="254711D9" w14:textId="77777777" w:rsidR="00D403AA" w:rsidRPr="0051709F" w:rsidRDefault="00D403AA" w:rsidP="009B1F89">
      <w:pPr>
        <w:jc w:val="both"/>
        <w:rPr>
          <w:rFonts w:cstheme="minorHAnsi"/>
          <w:b/>
          <w:bCs/>
        </w:rPr>
      </w:pPr>
    </w:p>
    <w:p w14:paraId="78E732CD" w14:textId="77777777" w:rsidR="00403C72" w:rsidRPr="0051709F" w:rsidRDefault="00403C72" w:rsidP="009B1F89">
      <w:pPr>
        <w:jc w:val="both"/>
        <w:rPr>
          <w:rFonts w:eastAsia="Calibri" w:cstheme="minorHAnsi"/>
        </w:rPr>
      </w:pPr>
      <w:r w:rsidRPr="0051709F">
        <w:rPr>
          <w:rFonts w:eastAsia="Calibri" w:cstheme="minorHAnsi"/>
        </w:rPr>
        <w:t>Según Cañada y González-Gross (2010), el Papel del pediatra de Atención Primaria en el fomento de la Actividad Física puede ser el siguiente:</w:t>
      </w:r>
    </w:p>
    <w:p w14:paraId="205409A7" w14:textId="77777777" w:rsidR="00D403AA" w:rsidRPr="0051709F" w:rsidRDefault="00D403AA" w:rsidP="009B1F89">
      <w:pPr>
        <w:jc w:val="both"/>
        <w:rPr>
          <w:rFonts w:eastAsia="Calibri" w:cstheme="minorHAnsi"/>
        </w:rPr>
      </w:pPr>
    </w:p>
    <w:p w14:paraId="370588F7" w14:textId="38D4DEDE"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Reforzar la importancia de la actividad física regular y adecuada, y de la EF tanto en el niño que acude a la consulta como en sus progenitores. </w:t>
      </w:r>
    </w:p>
    <w:p w14:paraId="226C339F" w14:textId="5405F4EE"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Detectar factores de riesgo o patologías que impliquen una adecuación de las tareas a realizar en las clases de EF y su comunicación al profesorado. </w:t>
      </w:r>
    </w:p>
    <w:p w14:paraId="5A281E83" w14:textId="7712195B"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Detectar factores de riesgo o patologías susceptibles de mejora mediante la práctica de actividad física (como diabetes no insulinodependiente, sobrepeso, escoliosis, etc.) e informar al profesorado. </w:t>
      </w:r>
    </w:p>
    <w:p w14:paraId="11616FAE" w14:textId="21F7538E"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Realizar un trabajo conjunto de prescripción de ejercicio junto con el profesional de la actividad física adecuado a las características del niño o niña. </w:t>
      </w:r>
    </w:p>
    <w:p w14:paraId="2019DAD8" w14:textId="5E95A02F"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Realizar un seguimiento de los factores de riesgo o patologías a lo largo de la vida escolar.</w:t>
      </w:r>
    </w:p>
    <w:p w14:paraId="04D1A5F8" w14:textId="4E5D98C3" w:rsidR="00D403AA"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Asesorar a los niños, niñas y adolescentes sobre cómo y por qué deben ser físicamente activos.</w:t>
      </w:r>
    </w:p>
    <w:p w14:paraId="5894D590" w14:textId="7744FA03" w:rsidR="00403C72" w:rsidRPr="0051709F" w:rsidRDefault="00403C72" w:rsidP="00E6399B">
      <w:pPr>
        <w:pStyle w:val="Prrafodelista"/>
        <w:numPr>
          <w:ilvl w:val="0"/>
          <w:numId w:val="82"/>
        </w:numPr>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Establecer unos objetivos de actividad física razonables y asequibles a corto y largo plazo.</w:t>
      </w:r>
    </w:p>
    <w:p w14:paraId="7CF010D8" w14:textId="77777777" w:rsidR="00D403AA" w:rsidRPr="0051709F" w:rsidRDefault="00D403AA" w:rsidP="009B1F89">
      <w:pPr>
        <w:jc w:val="both"/>
        <w:rPr>
          <w:rFonts w:eastAsia="Calibri" w:cstheme="minorHAnsi"/>
        </w:rPr>
      </w:pPr>
    </w:p>
    <w:p w14:paraId="60D1CF26" w14:textId="67EAE904" w:rsidR="00403C72" w:rsidRPr="0051709F" w:rsidRDefault="00403C72" w:rsidP="009B1F89">
      <w:pPr>
        <w:jc w:val="both"/>
        <w:rPr>
          <w:rFonts w:eastAsia="Calibri" w:cstheme="minorHAnsi"/>
        </w:rPr>
      </w:pPr>
      <w:r w:rsidRPr="0051709F">
        <w:rPr>
          <w:rFonts w:eastAsia="Calibri" w:cstheme="minorHAnsi"/>
        </w:rPr>
        <w:t xml:space="preserve">El ACSM, ya en 1988, indicaba que las autoridades médicas y de la salud pública deben considerar la condición física de los niños y jóvenes como parte de su responsabilidad. Por tanto, los médicos, especialmente los pediatras, </w:t>
      </w:r>
      <w:r w:rsidR="000D0DBF">
        <w:rPr>
          <w:rFonts w:eastAsia="Calibri" w:cstheme="minorHAnsi"/>
        </w:rPr>
        <w:t>podrían</w:t>
      </w:r>
      <w:r w:rsidRPr="0051709F">
        <w:rPr>
          <w:rFonts w:eastAsia="Calibri" w:cstheme="minorHAnsi"/>
        </w:rPr>
        <w:t xml:space="preserve"> tener gran impacto en la promoción y apoyo de los programas de acondicionamiento físico para niños y jóvenes. </w:t>
      </w:r>
    </w:p>
    <w:p w14:paraId="65AEE3E0" w14:textId="77777777" w:rsidR="001F1802" w:rsidRPr="0051709F" w:rsidRDefault="001F1802" w:rsidP="009B1F89">
      <w:pPr>
        <w:jc w:val="both"/>
        <w:rPr>
          <w:rFonts w:eastAsia="Calibri" w:cstheme="minorHAnsi"/>
        </w:rPr>
      </w:pPr>
    </w:p>
    <w:p w14:paraId="6C04DCD6" w14:textId="09224575" w:rsidR="00403C72" w:rsidRPr="0051709F" w:rsidRDefault="00403C72" w:rsidP="009B1F89">
      <w:pPr>
        <w:jc w:val="both"/>
        <w:rPr>
          <w:rFonts w:eastAsia="Calibri" w:cstheme="minorHAnsi"/>
        </w:rPr>
      </w:pPr>
      <w:r w:rsidRPr="0051709F">
        <w:rPr>
          <w:rFonts w:eastAsia="Calibri" w:cstheme="minorHAnsi"/>
        </w:rPr>
        <w:t>La necesidad de colaboración entre la pediatría y los profesores de educación física ya la pusieron de manifiesto Cañada y col (2010) para poder realizar</w:t>
      </w:r>
      <w:r w:rsidR="000D0DBF">
        <w:rPr>
          <w:rFonts w:eastAsia="Calibri" w:cstheme="minorHAnsi"/>
        </w:rPr>
        <w:t xml:space="preserve"> una</w:t>
      </w:r>
      <w:r w:rsidRPr="0051709F">
        <w:rPr>
          <w:rFonts w:eastAsia="Calibri" w:cstheme="minorHAnsi"/>
        </w:rPr>
        <w:t xml:space="preserve"> identificación temprana de niños con riesgo de patologías crónicas e intervenir adecuadamente. Autores como Alonso (2000)</w:t>
      </w:r>
      <w:r w:rsidR="000D0DBF">
        <w:rPr>
          <w:rFonts w:eastAsia="Calibri" w:cstheme="minorHAnsi"/>
        </w:rPr>
        <w:t>,</w:t>
      </w:r>
      <w:r w:rsidRPr="0051709F">
        <w:rPr>
          <w:rFonts w:eastAsia="Calibri" w:cstheme="minorHAnsi"/>
        </w:rPr>
        <w:t xml:space="preserve"> indican que deben quedar bien delimitados los campos de trabajo y responsabilidades de cada profesional</w:t>
      </w:r>
      <w:r w:rsidR="000D0DBF">
        <w:rPr>
          <w:rFonts w:eastAsia="Calibri" w:cstheme="minorHAnsi"/>
        </w:rPr>
        <w:t>:</w:t>
      </w:r>
      <w:r w:rsidRPr="0051709F">
        <w:rPr>
          <w:rFonts w:eastAsia="Calibri" w:cstheme="minorHAnsi"/>
        </w:rPr>
        <w:t xml:space="preserve"> mientras que el profesional de las Ciencias </w:t>
      </w:r>
      <w:r w:rsidR="000D0DBF" w:rsidRPr="0051709F">
        <w:rPr>
          <w:rFonts w:eastAsia="Calibri" w:cstheme="minorHAnsi"/>
        </w:rPr>
        <w:t>Médicas</w:t>
      </w:r>
      <w:r w:rsidRPr="0051709F">
        <w:rPr>
          <w:rFonts w:eastAsia="Calibri" w:cstheme="minorHAnsi"/>
        </w:rPr>
        <w:t xml:space="preserve"> conoce y determina si el niño puede realizar actividad física, el profesional de la Educación Física planifica y dosifica el ejercicio que va a ejecutar dicho niño a partir de las indicaciones médicas. </w:t>
      </w:r>
      <w:r w:rsidR="000D0DBF">
        <w:rPr>
          <w:rFonts w:eastAsia="Calibri" w:cstheme="minorHAnsi"/>
        </w:rPr>
        <w:t>A</w:t>
      </w:r>
      <w:r w:rsidRPr="0051709F">
        <w:rPr>
          <w:rFonts w:eastAsia="Calibri" w:cstheme="minorHAnsi"/>
        </w:rPr>
        <w:t xml:space="preserve">unque el médico puede prescribir ejercicio, es el profesional de la actividad física y el deporte el encargado de materializar esas prescripciones en actividades atrayentes y motivantes para el niño. Al igual que para la actuación sobre los adultos, es necesaria una mayor formación en prescripción de actividad física, la implicación de la enfermería y una mayor comunicación entre las partes implicadas. En la Figura </w:t>
      </w:r>
      <w:r w:rsidR="00253B19" w:rsidRPr="0051709F">
        <w:rPr>
          <w:rFonts w:eastAsia="Calibri" w:cstheme="minorHAnsi"/>
        </w:rPr>
        <w:t>23</w:t>
      </w:r>
      <w:r w:rsidRPr="0051709F">
        <w:rPr>
          <w:rFonts w:eastAsia="Calibri" w:cstheme="minorHAnsi"/>
        </w:rPr>
        <w:t xml:space="preserve"> se propone un modelo bidireccional de relación entre el profesional de la actividad física (profesor de EF) y el profesional sanitario (pediatra o médico de Atención Primaria) (Cañada y col, 2010).</w:t>
      </w:r>
    </w:p>
    <w:p w14:paraId="1198FD80" w14:textId="77777777" w:rsidR="00403C72" w:rsidRPr="0051709F" w:rsidRDefault="00403C72" w:rsidP="009B1F89">
      <w:pPr>
        <w:jc w:val="both"/>
        <w:rPr>
          <w:rFonts w:cstheme="minorHAnsi"/>
        </w:rPr>
      </w:pPr>
    </w:p>
    <w:p w14:paraId="3541BF70" w14:textId="6BCF24BB" w:rsidR="00403C72" w:rsidRPr="0051709F" w:rsidRDefault="00BF32FF" w:rsidP="001F1802">
      <w:pPr>
        <w:jc w:val="center"/>
        <w:rPr>
          <w:rFonts w:cstheme="minorHAnsi"/>
        </w:rPr>
      </w:pPr>
      <w:r>
        <w:rPr>
          <w:noProof/>
        </w:rPr>
        <w:drawing>
          <wp:inline distT="0" distB="0" distL="0" distR="0" wp14:anchorId="04C10DF7" wp14:editId="3B08FA11">
            <wp:extent cx="5396230" cy="4055110"/>
            <wp:effectExtent l="0" t="0" r="0" b="2540"/>
            <wp:docPr id="96153053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30536" name="Imagen 1" descr="Interfaz de usuario gráfica, Texto, Aplicación&#10;&#10;Descripción generada automáticamente"/>
                    <pic:cNvPicPr/>
                  </pic:nvPicPr>
                  <pic:blipFill>
                    <a:blip r:embed="rId63"/>
                    <a:stretch>
                      <a:fillRect/>
                    </a:stretch>
                  </pic:blipFill>
                  <pic:spPr>
                    <a:xfrm>
                      <a:off x="0" y="0"/>
                      <a:ext cx="5396230" cy="4055110"/>
                    </a:xfrm>
                    <a:prstGeom prst="rect">
                      <a:avLst/>
                    </a:prstGeom>
                  </pic:spPr>
                </pic:pic>
              </a:graphicData>
            </a:graphic>
          </wp:inline>
        </w:drawing>
      </w:r>
    </w:p>
    <w:p w14:paraId="3659FE69" w14:textId="77777777" w:rsidR="00403C72" w:rsidRPr="0051709F" w:rsidRDefault="00403C72" w:rsidP="001F1802">
      <w:pPr>
        <w:jc w:val="center"/>
        <w:rPr>
          <w:rFonts w:cstheme="minorHAnsi"/>
        </w:rPr>
      </w:pPr>
    </w:p>
    <w:p w14:paraId="3581CA00" w14:textId="33D26D8B" w:rsidR="00403C72" w:rsidRPr="007B667D" w:rsidRDefault="00F02618" w:rsidP="001F1802">
      <w:pPr>
        <w:jc w:val="center"/>
        <w:rPr>
          <w:rFonts w:eastAsia="Calibri" w:cstheme="minorHAnsi"/>
          <w:i/>
          <w:iCs/>
          <w:color w:val="000000" w:themeColor="text1"/>
          <w:sz w:val="22"/>
          <w:szCs w:val="22"/>
        </w:rPr>
      </w:pPr>
      <w:r w:rsidRPr="007B667D">
        <w:rPr>
          <w:rFonts w:eastAsia="Calibri" w:cstheme="minorHAnsi"/>
          <w:i/>
          <w:iCs/>
          <w:sz w:val="22"/>
          <w:szCs w:val="22"/>
        </w:rPr>
        <w:t xml:space="preserve">Figura </w:t>
      </w:r>
      <w:r w:rsidR="00253B19" w:rsidRPr="007B667D">
        <w:rPr>
          <w:rFonts w:eastAsia="Calibri" w:cstheme="minorHAnsi"/>
          <w:i/>
          <w:iCs/>
          <w:sz w:val="22"/>
          <w:szCs w:val="22"/>
        </w:rPr>
        <w:t>23</w:t>
      </w:r>
      <w:r w:rsidR="00403C72" w:rsidRPr="007B667D">
        <w:rPr>
          <w:rFonts w:eastAsia="Calibri" w:cstheme="minorHAnsi"/>
          <w:i/>
          <w:iCs/>
          <w:sz w:val="22"/>
          <w:szCs w:val="22"/>
        </w:rPr>
        <w:t>. Propuesta de Coordinación entre el pediatra y el profesor de educación física (</w:t>
      </w:r>
      <w:r w:rsidR="00403C72" w:rsidRPr="007B667D">
        <w:rPr>
          <w:rFonts w:eastAsia="Calibri" w:cstheme="minorHAnsi"/>
          <w:i/>
          <w:iCs/>
          <w:color w:val="000000" w:themeColor="text1"/>
          <w:sz w:val="22"/>
          <w:szCs w:val="22"/>
        </w:rPr>
        <w:t xml:space="preserve">Cañada D et al. La importancia de la clase de EF en el desarrollo del niño. En Redondo C, </w:t>
      </w:r>
      <w:proofErr w:type="spellStart"/>
      <w:r w:rsidR="00403C72" w:rsidRPr="007B667D">
        <w:rPr>
          <w:rFonts w:eastAsia="Calibri" w:cstheme="minorHAnsi"/>
          <w:i/>
          <w:iCs/>
          <w:color w:val="000000" w:themeColor="text1"/>
          <w:sz w:val="22"/>
          <w:szCs w:val="22"/>
        </w:rPr>
        <w:t>Glez</w:t>
      </w:r>
      <w:proofErr w:type="spellEnd"/>
      <w:r w:rsidR="00403C72" w:rsidRPr="007B667D">
        <w:rPr>
          <w:rFonts w:eastAsia="Calibri" w:cstheme="minorHAnsi"/>
          <w:i/>
          <w:iCs/>
          <w:color w:val="000000" w:themeColor="text1"/>
          <w:sz w:val="22"/>
          <w:szCs w:val="22"/>
        </w:rPr>
        <w:t>-</w:t>
      </w:r>
      <w:r w:rsidR="00403C72" w:rsidRPr="007B667D">
        <w:rPr>
          <w:rFonts w:eastAsia="Calibri" w:cstheme="minorHAnsi"/>
          <w:i/>
          <w:iCs/>
          <w:color w:val="000000" w:themeColor="text1"/>
          <w:sz w:val="22"/>
          <w:szCs w:val="22"/>
        </w:rPr>
        <w:lastRenderedPageBreak/>
        <w:t>Gross M, et al. eds. Actividad física, deporte, ejercicio y salud en niños y adolescentes. Ed. Everest. 2010)</w:t>
      </w:r>
      <w:r w:rsidR="00145599" w:rsidRPr="007B667D">
        <w:rPr>
          <w:rFonts w:eastAsia="Calibri" w:cstheme="minorHAnsi"/>
          <w:i/>
          <w:iCs/>
          <w:color w:val="000000" w:themeColor="text1"/>
          <w:sz w:val="22"/>
          <w:szCs w:val="22"/>
        </w:rPr>
        <w:t>.</w:t>
      </w:r>
    </w:p>
    <w:p w14:paraId="4F2F4342" w14:textId="77777777" w:rsidR="00403C72" w:rsidRPr="0051709F" w:rsidRDefault="00403C72" w:rsidP="009B1F89">
      <w:pPr>
        <w:jc w:val="both"/>
        <w:rPr>
          <w:rFonts w:eastAsia="Calibri" w:cstheme="minorHAnsi"/>
        </w:rPr>
      </w:pPr>
    </w:p>
    <w:p w14:paraId="50F75F72" w14:textId="5A4EAF99" w:rsidR="001F1802" w:rsidRPr="0051709F" w:rsidRDefault="00403C72" w:rsidP="009B1F89">
      <w:pPr>
        <w:jc w:val="both"/>
        <w:rPr>
          <w:rFonts w:eastAsia="Calibri" w:cstheme="minorHAnsi"/>
        </w:rPr>
      </w:pPr>
      <w:r w:rsidRPr="0051709F">
        <w:rPr>
          <w:rFonts w:eastAsia="Calibri" w:cstheme="minorHAnsi"/>
        </w:rPr>
        <w:t xml:space="preserve">Un tema que condiciona la normal participación del alumnado en la clase son los alumnos denominados exentos de realizar la parte práctica de la asignatura; es decir, alumnos con patologías, </w:t>
      </w:r>
      <w:proofErr w:type="gramStart"/>
      <w:r w:rsidRPr="0051709F">
        <w:rPr>
          <w:rFonts w:eastAsia="Calibri" w:cstheme="minorHAnsi"/>
        </w:rPr>
        <w:t>bien crónicas o bien transitorias</w:t>
      </w:r>
      <w:proofErr w:type="gramEnd"/>
      <w:r w:rsidRPr="0051709F">
        <w:rPr>
          <w:rFonts w:eastAsia="Calibri" w:cstheme="minorHAnsi"/>
        </w:rPr>
        <w:t xml:space="preserve">, que acuden al colegio con un justificante médico para no participar en la clase de EF. Según se expone en la Figura </w:t>
      </w:r>
      <w:r w:rsidR="00253B19" w:rsidRPr="0051709F">
        <w:rPr>
          <w:rFonts w:eastAsia="Calibri" w:cstheme="minorHAnsi"/>
        </w:rPr>
        <w:t>23,</w:t>
      </w:r>
      <w:r w:rsidRPr="0051709F">
        <w:rPr>
          <w:rFonts w:eastAsia="Calibri" w:cstheme="minorHAnsi"/>
        </w:rPr>
        <w:t xml:space="preserve"> el modelo propuesto deja al criterio médico si un alumno puede o no realizar ejercicio físico</w:t>
      </w:r>
      <w:r w:rsidR="000D0DBF">
        <w:rPr>
          <w:rFonts w:eastAsia="Calibri" w:cstheme="minorHAnsi"/>
        </w:rPr>
        <w:t>,</w:t>
      </w:r>
      <w:r w:rsidRPr="0051709F">
        <w:rPr>
          <w:rFonts w:eastAsia="Calibri" w:cstheme="minorHAnsi"/>
        </w:rPr>
        <w:t xml:space="preserve"> pero siempre sopesando la relación riesgo/beneficio, sabiendo que la evidencia científica indica la importancia de la práctica regular de ejercicio físico tanto en el niño sano como en el enfermo. </w:t>
      </w:r>
      <w:r w:rsidR="00BF241A">
        <w:rPr>
          <w:rFonts w:eastAsia="Calibri" w:cstheme="minorHAnsi"/>
        </w:rPr>
        <w:t>De conformidad con lo que</w:t>
      </w:r>
      <w:r w:rsidR="000B4B5F">
        <w:rPr>
          <w:rFonts w:eastAsia="Calibri" w:cstheme="minorHAnsi"/>
        </w:rPr>
        <w:t xml:space="preserve"> determine el o la pediatra, </w:t>
      </w:r>
      <w:r w:rsidR="000B4B5F" w:rsidRPr="002A2752">
        <w:rPr>
          <w:rFonts w:eastAsia="Calibri" w:cstheme="minorHAnsi"/>
        </w:rPr>
        <w:t>e</w:t>
      </w:r>
      <w:r w:rsidRPr="002A2752">
        <w:rPr>
          <w:rFonts w:eastAsia="Calibri" w:cstheme="minorHAnsi"/>
        </w:rPr>
        <w:t>l profesor de EF es capaz</w:t>
      </w:r>
      <w:r w:rsidR="000D0DBF" w:rsidRPr="002A2752">
        <w:rPr>
          <w:rFonts w:eastAsia="Calibri" w:cstheme="minorHAnsi"/>
        </w:rPr>
        <w:t xml:space="preserve"> </w:t>
      </w:r>
      <w:r w:rsidRPr="002A2752">
        <w:rPr>
          <w:rFonts w:eastAsia="Calibri" w:cstheme="minorHAnsi"/>
        </w:rPr>
        <w:t xml:space="preserve">de adaptar las actividades y los contenidos en función del diagnóstico médico, para que el alumno que presenta una determinada patología pueda participar, sin poner en peligro </w:t>
      </w:r>
      <w:r w:rsidR="000B4B5F" w:rsidRPr="002A2752">
        <w:rPr>
          <w:rFonts w:eastAsia="Calibri" w:cstheme="minorHAnsi"/>
        </w:rPr>
        <w:t>su</w:t>
      </w:r>
      <w:r w:rsidRPr="002A2752">
        <w:rPr>
          <w:rFonts w:eastAsia="Calibri" w:cstheme="minorHAnsi"/>
        </w:rPr>
        <w:t xml:space="preserve"> salud, sino al contrario, disfrutar de los beneficios que conlleva, no sólo a nivel físico, sino también a nivel psicológico y social la clase de EF.</w:t>
      </w:r>
      <w:r w:rsidRPr="0051709F">
        <w:rPr>
          <w:rFonts w:eastAsia="Calibri" w:cstheme="minorHAnsi"/>
        </w:rPr>
        <w:t xml:space="preserve"> Todas estas adaptaciones sólo pueden ser posibles si vienen apoyadas desde la consulta de pediatría. Para ello es fundamental establecer una vía de comunicación entre el médico y el profesor de EF, el primero emitiendo un diagnóstico y recomendando la no realización de determinados tipos de ejercicios, y el segundo, adaptando las actividades para que puedan ser realizadas por el alumno dentro de sus posibilidades. La Figura </w:t>
      </w:r>
      <w:r w:rsidR="00253B19" w:rsidRPr="0051709F">
        <w:rPr>
          <w:rFonts w:eastAsia="Calibri" w:cstheme="minorHAnsi"/>
        </w:rPr>
        <w:t>24</w:t>
      </w:r>
      <w:r w:rsidRPr="0051709F">
        <w:rPr>
          <w:rFonts w:eastAsia="Calibri" w:cstheme="minorHAnsi"/>
        </w:rPr>
        <w:t xml:space="preserve"> podría ser un ejemplo de este tipo de comunicación entre el pediatra y el profesor de EF.</w:t>
      </w:r>
    </w:p>
    <w:p w14:paraId="5EBC36DB" w14:textId="77777777" w:rsidR="00403C72" w:rsidRPr="0051709F" w:rsidRDefault="00403C72" w:rsidP="009B1F89">
      <w:pPr>
        <w:jc w:val="both"/>
        <w:rPr>
          <w:rFonts w:eastAsia="Calibri" w:cstheme="minorHAnsi"/>
        </w:rPr>
      </w:pPr>
    </w:p>
    <w:p w14:paraId="759162DF" w14:textId="60A61118" w:rsidR="00403C72" w:rsidRPr="0051709F" w:rsidRDefault="009C7738" w:rsidP="001F1802">
      <w:pPr>
        <w:jc w:val="center"/>
        <w:rPr>
          <w:rFonts w:cstheme="minorHAnsi"/>
        </w:rPr>
      </w:pPr>
      <w:r>
        <w:rPr>
          <w:noProof/>
        </w:rPr>
        <w:lastRenderedPageBreak/>
        <w:drawing>
          <wp:inline distT="0" distB="0" distL="0" distR="0" wp14:anchorId="5DEAAE9E" wp14:editId="5C1E9D12">
            <wp:extent cx="5396230" cy="6241415"/>
            <wp:effectExtent l="0" t="0" r="0" b="6985"/>
            <wp:docPr id="39548414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84147" name="Imagen 1" descr="Texto&#10;&#10;Descripción generada automáticamente"/>
                    <pic:cNvPicPr/>
                  </pic:nvPicPr>
                  <pic:blipFill>
                    <a:blip r:embed="rId64"/>
                    <a:stretch>
                      <a:fillRect/>
                    </a:stretch>
                  </pic:blipFill>
                  <pic:spPr>
                    <a:xfrm>
                      <a:off x="0" y="0"/>
                      <a:ext cx="5396230" cy="6241415"/>
                    </a:xfrm>
                    <a:prstGeom prst="rect">
                      <a:avLst/>
                    </a:prstGeom>
                  </pic:spPr>
                </pic:pic>
              </a:graphicData>
            </a:graphic>
          </wp:inline>
        </w:drawing>
      </w:r>
    </w:p>
    <w:p w14:paraId="240E0028" w14:textId="77777777" w:rsidR="000B4B5F" w:rsidRDefault="000B4B5F" w:rsidP="001F1802">
      <w:pPr>
        <w:jc w:val="center"/>
        <w:rPr>
          <w:rFonts w:cstheme="minorHAnsi"/>
        </w:rPr>
      </w:pPr>
    </w:p>
    <w:p w14:paraId="658AF3C1" w14:textId="1935125C" w:rsidR="00403C72" w:rsidRPr="007B667D" w:rsidRDefault="00F02618" w:rsidP="001F1802">
      <w:pPr>
        <w:jc w:val="center"/>
        <w:rPr>
          <w:rFonts w:eastAsia="Calibri" w:cstheme="minorHAnsi"/>
          <w:i/>
          <w:iCs/>
          <w:sz w:val="22"/>
          <w:szCs w:val="22"/>
        </w:rPr>
      </w:pPr>
      <w:r w:rsidRPr="007B667D">
        <w:rPr>
          <w:rFonts w:cstheme="minorHAnsi"/>
          <w:i/>
          <w:iCs/>
          <w:sz w:val="22"/>
          <w:szCs w:val="22"/>
        </w:rPr>
        <w:t xml:space="preserve">Figura </w:t>
      </w:r>
      <w:r w:rsidR="00253B19" w:rsidRPr="007B667D">
        <w:rPr>
          <w:rFonts w:cstheme="minorHAnsi"/>
          <w:i/>
          <w:iCs/>
          <w:sz w:val="22"/>
          <w:szCs w:val="22"/>
        </w:rPr>
        <w:t>24</w:t>
      </w:r>
      <w:r w:rsidRPr="007B667D">
        <w:rPr>
          <w:rFonts w:cstheme="minorHAnsi"/>
          <w:i/>
          <w:iCs/>
          <w:sz w:val="22"/>
          <w:szCs w:val="22"/>
        </w:rPr>
        <w:t xml:space="preserve">. </w:t>
      </w:r>
      <w:r w:rsidR="00403C72" w:rsidRPr="007B667D">
        <w:rPr>
          <w:rFonts w:eastAsia="Calibri" w:cstheme="minorHAnsi"/>
          <w:i/>
          <w:iCs/>
          <w:sz w:val="22"/>
          <w:szCs w:val="22"/>
        </w:rPr>
        <w:t>Propuesta de Comunicación Profesor de Educación Física y Pediatra sobre aquellos alumnos que presentan algún problema médico agudo o crónico que precise una atención especial (Cañada y González-Gross, 2010).</w:t>
      </w:r>
    </w:p>
    <w:p w14:paraId="7B73B1C8" w14:textId="77777777" w:rsidR="001F1802" w:rsidRPr="0051709F" w:rsidRDefault="001F1802" w:rsidP="009B1F89">
      <w:pPr>
        <w:jc w:val="both"/>
        <w:rPr>
          <w:rFonts w:cstheme="minorHAnsi"/>
        </w:rPr>
      </w:pPr>
    </w:p>
    <w:p w14:paraId="3FB86AB5" w14:textId="77777777" w:rsidR="001F1802" w:rsidRPr="0051709F" w:rsidRDefault="001F1802" w:rsidP="009B1F89">
      <w:pPr>
        <w:jc w:val="both"/>
        <w:rPr>
          <w:rFonts w:cstheme="minorHAnsi"/>
        </w:rPr>
      </w:pPr>
    </w:p>
    <w:p w14:paraId="2A642236" w14:textId="1D7CAFC1" w:rsidR="00403C72" w:rsidRPr="007B667D" w:rsidRDefault="00403C72" w:rsidP="009B1F89">
      <w:pPr>
        <w:jc w:val="both"/>
        <w:rPr>
          <w:rFonts w:cstheme="minorHAnsi"/>
          <w:u w:val="single"/>
        </w:rPr>
      </w:pPr>
      <w:r w:rsidRPr="007B667D">
        <w:rPr>
          <w:rFonts w:cstheme="minorHAnsi"/>
          <w:u w:val="single"/>
        </w:rPr>
        <w:t>Medicina de Familia</w:t>
      </w:r>
    </w:p>
    <w:p w14:paraId="28BE09A5" w14:textId="77777777" w:rsidR="001F1802" w:rsidRPr="0051709F" w:rsidRDefault="001F1802" w:rsidP="009B1F89">
      <w:pPr>
        <w:jc w:val="both"/>
        <w:rPr>
          <w:rFonts w:cstheme="minorHAnsi"/>
          <w:b/>
          <w:bCs/>
          <w:u w:val="single"/>
        </w:rPr>
      </w:pPr>
    </w:p>
    <w:p w14:paraId="5E814D07" w14:textId="19CE6F26" w:rsidR="00403C72" w:rsidRPr="0051709F" w:rsidRDefault="00403C72" w:rsidP="009B1F89">
      <w:pPr>
        <w:jc w:val="both"/>
        <w:rPr>
          <w:rFonts w:eastAsia="Calibri" w:cstheme="minorHAnsi"/>
        </w:rPr>
      </w:pPr>
      <w:r w:rsidRPr="0051709F">
        <w:rPr>
          <w:rFonts w:eastAsia="Calibri" w:cstheme="minorHAnsi"/>
        </w:rPr>
        <w:t xml:space="preserve">Distintas experiencias se han puesto en marcha en España en los últimos años desde el ámbito médico, bien de forma aislada, o bien de manera conjunta con los profesionales de la actividad física, para incrementar la práctica de </w:t>
      </w:r>
      <w:r w:rsidR="006545FB">
        <w:rPr>
          <w:rFonts w:eastAsia="Calibri" w:cstheme="minorHAnsi"/>
        </w:rPr>
        <w:t xml:space="preserve">esta </w:t>
      </w:r>
      <w:r w:rsidRPr="0051709F">
        <w:rPr>
          <w:rFonts w:eastAsia="Calibri" w:cstheme="minorHAnsi"/>
        </w:rPr>
        <w:t xml:space="preserve">actividad, </w:t>
      </w:r>
      <w:r w:rsidR="006545FB">
        <w:rPr>
          <w:rFonts w:eastAsia="Calibri" w:cstheme="minorHAnsi"/>
        </w:rPr>
        <w:t>si bien</w:t>
      </w:r>
      <w:r w:rsidRPr="0051709F">
        <w:rPr>
          <w:rFonts w:eastAsia="Calibri" w:cstheme="minorHAnsi"/>
        </w:rPr>
        <w:t xml:space="preserve"> la mayoría de estos programas se han centrado en población adulta. Algunas como el Programa PEPAF (Programa Experimental de Promoción de la Actividad Física), o el PAPPS (Programa de actividades</w:t>
      </w:r>
      <w:r w:rsidRPr="0051709F">
        <w:rPr>
          <w:rFonts w:eastAsia="Calibri" w:cstheme="minorHAnsi"/>
          <w:i/>
          <w:iCs/>
        </w:rPr>
        <w:t xml:space="preserve"> preventivas y de promoción de la salud) </w:t>
      </w:r>
      <w:r w:rsidRPr="007B667D">
        <w:rPr>
          <w:rFonts w:eastAsia="Calibri" w:cstheme="minorHAnsi"/>
        </w:rPr>
        <w:t xml:space="preserve">se ha llevado al cabo </w:t>
      </w:r>
      <w:r w:rsidRPr="007B667D">
        <w:rPr>
          <w:rFonts w:eastAsia="Calibri" w:cstheme="minorHAnsi"/>
        </w:rPr>
        <w:lastRenderedPageBreak/>
        <w:t>sólo desde el ámbito de la</w:t>
      </w:r>
      <w:r w:rsidRPr="006545FB">
        <w:rPr>
          <w:rFonts w:eastAsia="Calibri" w:cstheme="minorHAnsi"/>
        </w:rPr>
        <w:t xml:space="preserve"> Atención Primaria, mientras que otros programas como el </w:t>
      </w:r>
      <w:proofErr w:type="spellStart"/>
      <w:r w:rsidRPr="006545FB">
        <w:rPr>
          <w:rFonts w:eastAsia="Calibri" w:cstheme="minorHAnsi"/>
        </w:rPr>
        <w:t>Irunsasoi</w:t>
      </w:r>
      <w:proofErr w:type="spellEnd"/>
      <w:r w:rsidRPr="006545FB">
        <w:rPr>
          <w:rFonts w:eastAsia="Calibri" w:cstheme="minorHAnsi"/>
        </w:rPr>
        <w:t>, se ha trabajado desde la colaboración</w:t>
      </w:r>
      <w:r w:rsidRPr="0051709F">
        <w:rPr>
          <w:rFonts w:eastAsia="Calibri" w:cstheme="minorHAnsi"/>
        </w:rPr>
        <w:t xml:space="preserve"> entre los médicos de Atención Primaria y los profesionales de la actividad física. En todos</w:t>
      </w:r>
      <w:r w:rsidR="006545FB">
        <w:rPr>
          <w:rFonts w:eastAsia="Calibri" w:cstheme="minorHAnsi"/>
        </w:rPr>
        <w:t xml:space="preserve"> estos casos</w:t>
      </w:r>
      <w:r w:rsidRPr="0051709F">
        <w:rPr>
          <w:rFonts w:eastAsia="Calibri" w:cstheme="minorHAnsi"/>
        </w:rPr>
        <w:t>, las conclusiones son coincidentes al afirmar que es necesaria una mayor formación en prescripción de actividad física, la implicación de la enfermería, cuestión que parece importante debido al mayor tiempo disponible para consultas de este colectivo</w:t>
      </w:r>
      <w:r w:rsidR="006545FB">
        <w:rPr>
          <w:rFonts w:eastAsia="Calibri" w:cstheme="minorHAnsi"/>
        </w:rPr>
        <w:t xml:space="preserve"> de facultativos</w:t>
      </w:r>
      <w:r w:rsidRPr="0051709F">
        <w:rPr>
          <w:rFonts w:eastAsia="Calibri" w:cstheme="minorHAnsi"/>
        </w:rPr>
        <w:t>, y una mayor comunicación entre las partes implicadas.</w:t>
      </w:r>
    </w:p>
    <w:p w14:paraId="70C946F4" w14:textId="77777777" w:rsidR="00380612" w:rsidRPr="0051709F" w:rsidRDefault="00380612" w:rsidP="009B1F89">
      <w:pPr>
        <w:jc w:val="both"/>
        <w:rPr>
          <w:rFonts w:eastAsia="Calibri" w:cstheme="minorHAnsi"/>
        </w:rPr>
      </w:pPr>
    </w:p>
    <w:p w14:paraId="58717812" w14:textId="77777777" w:rsidR="00380612" w:rsidRPr="0051709F" w:rsidRDefault="00380612" w:rsidP="009B1F89">
      <w:pPr>
        <w:jc w:val="both"/>
        <w:rPr>
          <w:rFonts w:cstheme="minorHAnsi"/>
        </w:rPr>
      </w:pPr>
    </w:p>
    <w:p w14:paraId="1F1FDC72"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 xml:space="preserve">HOSPITALES </w:t>
      </w:r>
    </w:p>
    <w:p w14:paraId="7C275B31" w14:textId="77777777" w:rsidR="00380612" w:rsidRPr="0051709F" w:rsidRDefault="00380612" w:rsidP="009B1F89">
      <w:pPr>
        <w:jc w:val="both"/>
        <w:rPr>
          <w:rFonts w:cstheme="minorHAnsi"/>
        </w:rPr>
      </w:pPr>
    </w:p>
    <w:p w14:paraId="2458B125" w14:textId="5652081A" w:rsidR="00403C72" w:rsidRPr="0051709F" w:rsidRDefault="00403C72" w:rsidP="009B1F89">
      <w:pPr>
        <w:jc w:val="both"/>
        <w:rPr>
          <w:rFonts w:cstheme="minorHAnsi"/>
        </w:rPr>
      </w:pPr>
      <w:r w:rsidRPr="0051709F">
        <w:rPr>
          <w:rFonts w:cstheme="minorHAnsi"/>
        </w:rPr>
        <w:t>Los hospitales públicos en España ascendieron a 343 en 2019, cifra inferior al número de hospitales privados en funcionamiento en el país, que se situó en 434. En la Figura</w:t>
      </w:r>
      <w:r w:rsidR="00253B19" w:rsidRPr="0051709F">
        <w:rPr>
          <w:rFonts w:cstheme="minorHAnsi"/>
        </w:rPr>
        <w:t xml:space="preserve"> 25</w:t>
      </w:r>
      <w:r w:rsidRPr="0051709F">
        <w:rPr>
          <w:rFonts w:cstheme="minorHAnsi"/>
        </w:rPr>
        <w:t xml:space="preserve"> se pueden ver los hospitales públicos y privados por Comunidad Autónoma con datos del 2022.</w:t>
      </w:r>
    </w:p>
    <w:p w14:paraId="7990A6F7" w14:textId="77777777" w:rsidR="00403C72" w:rsidRPr="0051709F" w:rsidRDefault="00403C72" w:rsidP="00380612">
      <w:pPr>
        <w:jc w:val="center"/>
        <w:rPr>
          <w:rFonts w:cstheme="minorHAnsi"/>
        </w:rPr>
      </w:pPr>
      <w:r w:rsidRPr="0051709F">
        <w:rPr>
          <w:rFonts w:cstheme="minorHAnsi"/>
          <w:noProof/>
          <w:lang w:val="en-GB" w:eastAsia="en-GB"/>
        </w:rPr>
        <w:drawing>
          <wp:inline distT="0" distB="0" distL="0" distR="0" wp14:anchorId="5115E2A5" wp14:editId="4FA4A649">
            <wp:extent cx="3985260" cy="4151891"/>
            <wp:effectExtent l="0" t="0" r="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6934" t="18562" r="42568" b="6438"/>
                    <a:stretch/>
                  </pic:blipFill>
                  <pic:spPr bwMode="auto">
                    <a:xfrm>
                      <a:off x="0" y="0"/>
                      <a:ext cx="3986933" cy="4153634"/>
                    </a:xfrm>
                    <a:prstGeom prst="rect">
                      <a:avLst/>
                    </a:prstGeom>
                    <a:ln>
                      <a:noFill/>
                    </a:ln>
                    <a:extLst>
                      <a:ext uri="{53640926-AAD7-44D8-BBD7-CCE9431645EC}">
                        <a14:shadowObscured xmlns:a14="http://schemas.microsoft.com/office/drawing/2010/main"/>
                      </a:ext>
                    </a:extLst>
                  </pic:spPr>
                </pic:pic>
              </a:graphicData>
            </a:graphic>
          </wp:inline>
        </w:drawing>
      </w:r>
    </w:p>
    <w:p w14:paraId="3D62395B" w14:textId="77777777" w:rsidR="00403C72" w:rsidRPr="0051709F" w:rsidRDefault="00403C72" w:rsidP="00380612">
      <w:pPr>
        <w:jc w:val="center"/>
        <w:rPr>
          <w:rFonts w:cstheme="minorHAnsi"/>
        </w:rPr>
      </w:pPr>
    </w:p>
    <w:p w14:paraId="2A75B57C" w14:textId="77777777" w:rsidR="00914456" w:rsidRPr="007B667D" w:rsidRDefault="00403C72" w:rsidP="00380612">
      <w:pPr>
        <w:jc w:val="center"/>
        <w:rPr>
          <w:rFonts w:cstheme="minorHAnsi"/>
          <w:bCs/>
          <w:i/>
          <w:iCs/>
          <w:sz w:val="22"/>
          <w:szCs w:val="22"/>
        </w:rPr>
      </w:pPr>
      <w:r w:rsidRPr="007B667D">
        <w:rPr>
          <w:rFonts w:cstheme="minorHAnsi"/>
          <w:i/>
          <w:iCs/>
          <w:sz w:val="22"/>
          <w:szCs w:val="22"/>
        </w:rPr>
        <w:t xml:space="preserve">Figura </w:t>
      </w:r>
      <w:r w:rsidR="00253B19" w:rsidRPr="007B667D">
        <w:rPr>
          <w:rFonts w:cstheme="minorHAnsi"/>
          <w:i/>
          <w:iCs/>
          <w:sz w:val="22"/>
          <w:szCs w:val="22"/>
        </w:rPr>
        <w:t>25</w:t>
      </w:r>
      <w:r w:rsidRPr="007B667D">
        <w:rPr>
          <w:rFonts w:cstheme="minorHAnsi"/>
          <w:i/>
          <w:iCs/>
          <w:sz w:val="22"/>
          <w:szCs w:val="22"/>
        </w:rPr>
        <w:t xml:space="preserve">. </w:t>
      </w:r>
      <w:r w:rsidRPr="007B667D">
        <w:rPr>
          <w:rFonts w:cstheme="minorHAnsi"/>
          <w:bCs/>
          <w:i/>
          <w:iCs/>
          <w:sz w:val="22"/>
          <w:szCs w:val="22"/>
        </w:rPr>
        <w:t xml:space="preserve">Distribución del número de hospitales en España en 2022, </w:t>
      </w:r>
    </w:p>
    <w:p w14:paraId="7C3F39FD" w14:textId="74D3754C" w:rsidR="00403C72" w:rsidRPr="007B667D" w:rsidRDefault="00403C72" w:rsidP="00380612">
      <w:pPr>
        <w:jc w:val="center"/>
        <w:rPr>
          <w:rFonts w:cstheme="minorHAnsi"/>
          <w:i/>
          <w:iCs/>
          <w:sz w:val="22"/>
          <w:szCs w:val="22"/>
        </w:rPr>
      </w:pPr>
      <w:r w:rsidRPr="007B667D">
        <w:rPr>
          <w:rFonts w:cstheme="minorHAnsi"/>
          <w:bCs/>
          <w:i/>
          <w:iCs/>
          <w:sz w:val="22"/>
          <w:szCs w:val="22"/>
        </w:rPr>
        <w:t xml:space="preserve">por </w:t>
      </w:r>
      <w:r w:rsidR="00914456" w:rsidRPr="007B667D">
        <w:rPr>
          <w:rFonts w:cstheme="minorHAnsi"/>
          <w:bCs/>
          <w:i/>
          <w:iCs/>
          <w:sz w:val="22"/>
          <w:szCs w:val="22"/>
        </w:rPr>
        <w:t>C</w:t>
      </w:r>
      <w:r w:rsidRPr="007B667D">
        <w:rPr>
          <w:rFonts w:cstheme="minorHAnsi"/>
          <w:bCs/>
          <w:i/>
          <w:iCs/>
          <w:sz w:val="22"/>
          <w:szCs w:val="22"/>
        </w:rPr>
        <w:t xml:space="preserve">omunidad </w:t>
      </w:r>
      <w:r w:rsidR="00914456" w:rsidRPr="007B667D">
        <w:rPr>
          <w:rFonts w:cstheme="minorHAnsi"/>
          <w:bCs/>
          <w:i/>
          <w:iCs/>
          <w:sz w:val="22"/>
          <w:szCs w:val="22"/>
        </w:rPr>
        <w:t>A</w:t>
      </w:r>
      <w:r w:rsidRPr="007B667D">
        <w:rPr>
          <w:rFonts w:cstheme="minorHAnsi"/>
          <w:bCs/>
          <w:i/>
          <w:iCs/>
          <w:sz w:val="22"/>
          <w:szCs w:val="22"/>
        </w:rPr>
        <w:t>utónoma (Statista, 2023)</w:t>
      </w:r>
      <w:r w:rsidR="00145599" w:rsidRPr="007B667D">
        <w:rPr>
          <w:rFonts w:cstheme="minorHAnsi"/>
          <w:bCs/>
          <w:i/>
          <w:iCs/>
          <w:sz w:val="22"/>
          <w:szCs w:val="22"/>
        </w:rPr>
        <w:t>.</w:t>
      </w:r>
    </w:p>
    <w:p w14:paraId="20A08843" w14:textId="77777777" w:rsidR="00403C72" w:rsidRPr="007B667D" w:rsidRDefault="00403C72" w:rsidP="009B1F89">
      <w:pPr>
        <w:jc w:val="both"/>
        <w:rPr>
          <w:rFonts w:cstheme="minorHAnsi"/>
          <w:i/>
          <w:iCs/>
          <w:sz w:val="22"/>
          <w:szCs w:val="22"/>
        </w:rPr>
      </w:pPr>
    </w:p>
    <w:p w14:paraId="499834CD" w14:textId="3BEEAE33" w:rsidR="00403C72" w:rsidRPr="0051709F" w:rsidRDefault="00403C72" w:rsidP="009B1F89">
      <w:pPr>
        <w:jc w:val="both"/>
        <w:rPr>
          <w:rFonts w:eastAsia="Segoe UI" w:cstheme="minorHAnsi"/>
          <w:color w:val="333333"/>
        </w:rPr>
      </w:pPr>
      <w:r w:rsidRPr="0051709F">
        <w:rPr>
          <w:rFonts w:cstheme="minorHAnsi"/>
        </w:rPr>
        <w:t>Tanto desde los centros de AP como desde los hospitales, se debe derivar a los pacientes a los centros deportivos, donde los profesionales del deporte especializados deben entrenar a los pacientes y enseñar a realizar el ejercicio físico.</w:t>
      </w:r>
      <w:r w:rsidRPr="0051709F">
        <w:rPr>
          <w:rFonts w:eastAsia="Segoe UI" w:cstheme="minorHAnsi"/>
          <w:color w:val="333333"/>
        </w:rPr>
        <w:t xml:space="preserve"> </w:t>
      </w:r>
      <w:r w:rsidR="00373A60">
        <w:rPr>
          <w:rFonts w:eastAsia="Segoe UI" w:cstheme="minorHAnsi"/>
          <w:color w:val="333333"/>
        </w:rPr>
        <w:t xml:space="preserve">Así por ejemplo, </w:t>
      </w:r>
      <w:r w:rsidRPr="0051709F">
        <w:rPr>
          <w:rFonts w:eastAsia="Segoe UI" w:cstheme="minorHAnsi"/>
          <w:color w:val="333333"/>
        </w:rPr>
        <w:t xml:space="preserve">En </w:t>
      </w:r>
      <w:r w:rsidR="00373A60">
        <w:rPr>
          <w:rFonts w:eastAsia="Segoe UI" w:cstheme="minorHAnsi"/>
          <w:color w:val="333333"/>
        </w:rPr>
        <w:t>tanto que</w:t>
      </w:r>
      <w:r w:rsidR="00373A60" w:rsidRPr="0051709F">
        <w:rPr>
          <w:rFonts w:eastAsia="Segoe UI" w:cstheme="minorHAnsi"/>
          <w:color w:val="333333"/>
        </w:rPr>
        <w:t xml:space="preserve"> </w:t>
      </w:r>
      <w:r w:rsidRPr="0051709F">
        <w:rPr>
          <w:rFonts w:eastAsia="Segoe UI" w:cstheme="minorHAnsi"/>
          <w:color w:val="333333"/>
        </w:rPr>
        <w:t xml:space="preserve">los estudios científicos han avalado el impacto positivo tanto en la calidad de vida de los pacientes como en el pronóstico de la enfermedad oncológica, han empezado a </w:t>
      </w:r>
      <w:r w:rsidR="00373A60">
        <w:rPr>
          <w:rFonts w:eastAsia="Segoe UI" w:cstheme="minorHAnsi"/>
          <w:color w:val="333333"/>
        </w:rPr>
        <w:t>desarrollarse</w:t>
      </w:r>
      <w:r w:rsidRPr="0051709F">
        <w:rPr>
          <w:rFonts w:eastAsia="Segoe UI" w:cstheme="minorHAnsi"/>
          <w:color w:val="333333"/>
        </w:rPr>
        <w:t xml:space="preserve"> iniciativas como la del Hospital Universitario Infanta Sofia y el </w:t>
      </w:r>
      <w:r w:rsidRPr="0051709F">
        <w:rPr>
          <w:rFonts w:eastAsia="Segoe UI" w:cstheme="minorHAnsi"/>
          <w:color w:val="333333"/>
        </w:rPr>
        <w:lastRenderedPageBreak/>
        <w:t>Ayuntamiento de San Sebastián de los Reyes</w:t>
      </w:r>
      <w:r w:rsidR="00373A60">
        <w:rPr>
          <w:rFonts w:eastAsia="Segoe UI" w:cstheme="minorHAnsi"/>
          <w:color w:val="333333"/>
        </w:rPr>
        <w:t>, que</w:t>
      </w:r>
      <w:r w:rsidRPr="0051709F">
        <w:rPr>
          <w:rFonts w:eastAsia="Segoe UI" w:cstheme="minorHAnsi"/>
          <w:color w:val="333333"/>
        </w:rPr>
        <w:t xml:space="preserve"> han firmado un protocolo general de actuación para la promoción de la actividad física de los pacientes oncológicos, con el objetivo de</w:t>
      </w:r>
      <w:r w:rsidR="00373A60">
        <w:rPr>
          <w:rFonts w:eastAsia="Segoe UI" w:cstheme="minorHAnsi"/>
          <w:color w:val="333333"/>
        </w:rPr>
        <w:t xml:space="preserve"> promover una</w:t>
      </w:r>
      <w:r w:rsidRPr="0051709F">
        <w:rPr>
          <w:rFonts w:eastAsia="Segoe UI" w:cstheme="minorHAnsi"/>
          <w:color w:val="333333"/>
        </w:rPr>
        <w:t xml:space="preserve"> mejora global de su salud a través del hábito mantenido de la práct</w:t>
      </w:r>
      <w:r w:rsidR="00F02618" w:rsidRPr="0051709F">
        <w:rPr>
          <w:rFonts w:eastAsia="Segoe UI" w:cstheme="minorHAnsi"/>
          <w:color w:val="333333"/>
        </w:rPr>
        <w:t>ica de ejercicio físico</w:t>
      </w:r>
      <w:r w:rsidR="00373A60">
        <w:rPr>
          <w:rFonts w:eastAsia="Segoe UI" w:cstheme="minorHAnsi"/>
          <w:color w:val="333333"/>
        </w:rPr>
        <w:t xml:space="preserve"> prescrito por el personal médico</w:t>
      </w:r>
      <w:r w:rsidR="00F02618" w:rsidRPr="0051709F">
        <w:rPr>
          <w:rFonts w:eastAsia="Segoe UI" w:cstheme="minorHAnsi"/>
          <w:color w:val="333333"/>
        </w:rPr>
        <w:t>.</w:t>
      </w:r>
    </w:p>
    <w:p w14:paraId="65B2F661" w14:textId="77777777" w:rsidR="00380612" w:rsidRPr="0051709F" w:rsidRDefault="00380612" w:rsidP="009B1F89">
      <w:pPr>
        <w:jc w:val="both"/>
        <w:rPr>
          <w:rFonts w:cstheme="minorHAnsi"/>
        </w:rPr>
      </w:pPr>
    </w:p>
    <w:p w14:paraId="6F2E7ABB"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CENTROS DEPORTIVOS</w:t>
      </w:r>
    </w:p>
    <w:p w14:paraId="0BF4DE7A" w14:textId="77777777" w:rsidR="00380612" w:rsidRPr="0051709F" w:rsidRDefault="00380612" w:rsidP="009B1F89">
      <w:pPr>
        <w:jc w:val="both"/>
        <w:rPr>
          <w:rFonts w:cstheme="minorHAnsi"/>
        </w:rPr>
      </w:pPr>
    </w:p>
    <w:p w14:paraId="6527451A" w14:textId="6ADB59B5" w:rsidR="00403C72" w:rsidRPr="0051709F" w:rsidRDefault="00403C72" w:rsidP="009B1F89">
      <w:pPr>
        <w:jc w:val="both"/>
        <w:rPr>
          <w:rFonts w:eastAsiaTheme="minorEastAsia" w:cstheme="minorHAnsi"/>
          <w:color w:val="4D5156"/>
        </w:rPr>
      </w:pPr>
      <w:r w:rsidRPr="0051709F">
        <w:rPr>
          <w:rFonts w:eastAsiaTheme="minorEastAsia" w:cstheme="minorHAnsi"/>
          <w:color w:val="000000" w:themeColor="text1"/>
        </w:rPr>
        <w:t>Se estima que en España existen 79.059 instalaciones deportivas. Estas instalaciones incluyen un total de 176.201 espacios deportivos</w:t>
      </w:r>
      <w:r w:rsidR="00AA7DEE">
        <w:rPr>
          <w:rFonts w:eastAsiaTheme="minorEastAsia" w:cstheme="minorHAnsi"/>
          <w:color w:val="000000" w:themeColor="text1"/>
        </w:rPr>
        <w:t>,</w:t>
      </w:r>
      <w:r w:rsidRPr="0051709F">
        <w:rPr>
          <w:rFonts w:eastAsiaTheme="minorEastAsia" w:cstheme="minorHAnsi"/>
          <w:color w:val="000000" w:themeColor="text1"/>
        </w:rPr>
        <w:t xml:space="preserve"> </w:t>
      </w:r>
      <w:r w:rsidR="00AA7DEE">
        <w:rPr>
          <w:rFonts w:eastAsiaTheme="minorEastAsia" w:cstheme="minorHAnsi"/>
          <w:color w:val="000000" w:themeColor="text1"/>
        </w:rPr>
        <w:t>datos de</w:t>
      </w:r>
      <w:r w:rsidRPr="0051709F">
        <w:rPr>
          <w:rFonts w:eastAsiaTheme="minorEastAsia" w:cstheme="minorHAnsi"/>
          <w:color w:val="000000" w:themeColor="text1"/>
        </w:rPr>
        <w:t xml:space="preserve"> diciembre de 2022 </w:t>
      </w:r>
      <w:r w:rsidRPr="0051709F">
        <w:rPr>
          <w:rFonts w:eastAsiaTheme="minorEastAsia" w:cstheme="minorHAnsi"/>
          <w:color w:val="4D5156"/>
        </w:rPr>
        <w:t>(</w:t>
      </w:r>
      <w:hyperlink r:id="rId66" w:history="1">
        <w:r w:rsidRPr="0051709F">
          <w:rPr>
            <w:rStyle w:val="Hipervnculo"/>
            <w:rFonts w:eastAsiaTheme="minorEastAsia" w:cstheme="minorHAnsi"/>
          </w:rPr>
          <w:t>https://portalhoy.es/el-deporte-en-espana-estadisticas-del-sector/</w:t>
        </w:r>
      </w:hyperlink>
      <w:r w:rsidRPr="0051709F">
        <w:rPr>
          <w:rFonts w:eastAsiaTheme="minorEastAsia" w:cstheme="minorHAnsi"/>
          <w:color w:val="4D5156"/>
        </w:rPr>
        <w:t>)</w:t>
      </w:r>
      <w:r w:rsidR="00AA7DEE">
        <w:rPr>
          <w:rFonts w:eastAsiaTheme="minorEastAsia" w:cstheme="minorHAnsi"/>
          <w:color w:val="4D5156"/>
        </w:rPr>
        <w:t>.</w:t>
      </w:r>
    </w:p>
    <w:p w14:paraId="5F159B68" w14:textId="77777777" w:rsidR="00380612" w:rsidRPr="0051709F" w:rsidRDefault="00380612" w:rsidP="009B1F89">
      <w:pPr>
        <w:jc w:val="both"/>
        <w:rPr>
          <w:rFonts w:cstheme="minorHAnsi"/>
        </w:rPr>
      </w:pPr>
    </w:p>
    <w:p w14:paraId="2E92E950" w14:textId="27CBD51A" w:rsidR="00403C72" w:rsidRPr="0051709F" w:rsidRDefault="00403C72" w:rsidP="009B1F89">
      <w:pPr>
        <w:jc w:val="both"/>
        <w:rPr>
          <w:rFonts w:cstheme="minorHAnsi"/>
        </w:rPr>
      </w:pPr>
      <w:r w:rsidRPr="0051709F">
        <w:rPr>
          <w:rFonts w:cstheme="minorHAnsi"/>
        </w:rPr>
        <w:t xml:space="preserve">Por citar un ejemplo, el Ayuntamiento de Madrid pone a disposición una red de Centros Deportivos, distribuidos por los distintos Distritos </w:t>
      </w:r>
      <w:r w:rsidR="00AA7DEE">
        <w:rPr>
          <w:rFonts w:cstheme="minorHAnsi"/>
        </w:rPr>
        <w:t>de la ciudad</w:t>
      </w:r>
      <w:r w:rsidRPr="0051709F">
        <w:rPr>
          <w:rFonts w:cstheme="minorHAnsi"/>
        </w:rPr>
        <w:t xml:space="preserve"> que cuentan todos ellos con gran número de equipamientos deportivos y que prestan variados servicios. En algunos Centros Deportivos Municipales, se prestan Servicios de Medicina Deportiva del Ayuntamiento de Madrid con el objeto de proteger y mejorar la salud de los deportistas. El servicio pretende, por un lado, valorar el estado de salud y la aptitud para la práctica del ejercicio físico mediante la realización de reconocimientos médico-deportivos y, por otro, servir de complemento médico-deportivo a los procesos rehabilitadores, tanto de determinadas patologías como de lesiones deportivas.</w:t>
      </w:r>
    </w:p>
    <w:p w14:paraId="336937E4" w14:textId="77777777" w:rsidR="00380612" w:rsidRPr="0051709F" w:rsidRDefault="00380612" w:rsidP="009B1F89">
      <w:pPr>
        <w:jc w:val="both"/>
        <w:rPr>
          <w:rFonts w:eastAsiaTheme="minorEastAsia" w:cstheme="minorHAnsi"/>
        </w:rPr>
      </w:pPr>
    </w:p>
    <w:p w14:paraId="550D66FF" w14:textId="1EE6D1C3" w:rsidR="00403C72" w:rsidRPr="0051709F" w:rsidRDefault="00403C72" w:rsidP="009B1F89">
      <w:pPr>
        <w:jc w:val="both"/>
        <w:rPr>
          <w:rFonts w:eastAsiaTheme="minorEastAsia" w:cstheme="minorHAnsi"/>
        </w:rPr>
      </w:pPr>
      <w:r w:rsidRPr="0051709F">
        <w:rPr>
          <w:rFonts w:eastAsiaTheme="minorEastAsia" w:cstheme="minorHAnsi"/>
        </w:rPr>
        <w:t xml:space="preserve">Son varios los centros de medicina deportiva públicos no gratuitos que existen en España dependientes de los </w:t>
      </w:r>
      <w:r w:rsidR="00AA7DEE">
        <w:rPr>
          <w:rFonts w:eastAsiaTheme="minorEastAsia" w:cstheme="minorHAnsi"/>
        </w:rPr>
        <w:t>A</w:t>
      </w:r>
      <w:r w:rsidRPr="0051709F">
        <w:rPr>
          <w:rFonts w:eastAsiaTheme="minorEastAsia" w:cstheme="minorHAnsi"/>
        </w:rPr>
        <w:t xml:space="preserve">yuntamientos o de las Comunidades Autónomas. Aunque en sus comienzos estaban pensados para dar servicio a deportistas federados amateur e incluso profesionales, se </w:t>
      </w:r>
      <w:r w:rsidR="00AA7DEE">
        <w:rPr>
          <w:rFonts w:eastAsiaTheme="minorEastAsia" w:cstheme="minorHAnsi"/>
        </w:rPr>
        <w:t>podrían</w:t>
      </w:r>
      <w:r w:rsidR="00AA7DEE" w:rsidRPr="0051709F">
        <w:rPr>
          <w:rFonts w:eastAsiaTheme="minorEastAsia" w:cstheme="minorHAnsi"/>
        </w:rPr>
        <w:t xml:space="preserve"> </w:t>
      </w:r>
      <w:r w:rsidRPr="0051709F">
        <w:rPr>
          <w:rFonts w:eastAsiaTheme="minorEastAsia" w:cstheme="minorHAnsi"/>
        </w:rPr>
        <w:t xml:space="preserve">incluir en </w:t>
      </w:r>
      <w:r w:rsidR="00AA7DEE">
        <w:rPr>
          <w:rFonts w:eastAsiaTheme="minorEastAsia" w:cstheme="minorHAnsi"/>
        </w:rPr>
        <w:t>esta</w:t>
      </w:r>
      <w:r w:rsidRPr="0051709F">
        <w:rPr>
          <w:rFonts w:eastAsiaTheme="minorEastAsia" w:cstheme="minorHAnsi"/>
        </w:rPr>
        <w:t xml:space="preserve"> Estrategia Nacional. A modo de ejemplo citamos algunos:</w:t>
      </w:r>
    </w:p>
    <w:p w14:paraId="09469D97" w14:textId="77777777" w:rsidR="00380612" w:rsidRPr="0051709F" w:rsidRDefault="00380612" w:rsidP="009B1F89">
      <w:pPr>
        <w:jc w:val="both"/>
        <w:rPr>
          <w:rFonts w:eastAsiaTheme="minorEastAsia" w:cstheme="minorHAnsi"/>
        </w:rPr>
      </w:pPr>
    </w:p>
    <w:p w14:paraId="7E3522AB" w14:textId="2E02A38F" w:rsidR="00403C72" w:rsidRPr="00BD0893" w:rsidRDefault="00403C72" w:rsidP="007B667D">
      <w:pPr>
        <w:pStyle w:val="Prrafodelista"/>
        <w:numPr>
          <w:ilvl w:val="0"/>
          <w:numId w:val="140"/>
        </w:numPr>
        <w:rPr>
          <w:rFonts w:cstheme="minorHAnsi"/>
          <w:bCs/>
          <w:lang w:val="es-ES"/>
        </w:rPr>
      </w:pPr>
      <w:r w:rsidRPr="00BD0893">
        <w:rPr>
          <w:rFonts w:asciiTheme="minorHAnsi" w:hAnsiTheme="minorHAnsi" w:cstheme="minorHAnsi"/>
          <w:bCs/>
          <w:sz w:val="24"/>
          <w:szCs w:val="24"/>
          <w:lang w:val="es-ES"/>
        </w:rPr>
        <w:t>Centro regional de medicina deportiva del Gobierno de Cantabria (</w:t>
      </w:r>
      <w:hyperlink r:id="rId67" w:history="1">
        <w:r w:rsidRPr="00BD0893">
          <w:rPr>
            <w:rStyle w:val="Hipervnculo"/>
            <w:rFonts w:asciiTheme="minorHAnsi" w:hAnsiTheme="minorHAnsi" w:cstheme="minorHAnsi"/>
            <w:bCs/>
            <w:sz w:val="24"/>
            <w:szCs w:val="24"/>
            <w:lang w:val="es-ES"/>
          </w:rPr>
          <w:t>https://deportedecantabria.com/medicina-deportiva</w:t>
        </w:r>
      </w:hyperlink>
      <w:r w:rsidRPr="00BD0893">
        <w:rPr>
          <w:rFonts w:asciiTheme="minorHAnsi" w:hAnsiTheme="minorHAnsi" w:cstheme="minorHAnsi"/>
          <w:bCs/>
          <w:sz w:val="24"/>
          <w:szCs w:val="24"/>
          <w:lang w:val="es-ES"/>
        </w:rPr>
        <w:t>)</w:t>
      </w:r>
      <w:r w:rsidR="00AA7DEE" w:rsidRPr="00BD0893">
        <w:rPr>
          <w:rFonts w:asciiTheme="minorHAnsi" w:hAnsiTheme="minorHAnsi" w:cstheme="minorHAnsi"/>
          <w:bCs/>
          <w:sz w:val="24"/>
          <w:szCs w:val="24"/>
          <w:lang w:val="es-ES"/>
        </w:rPr>
        <w:t>.</w:t>
      </w:r>
    </w:p>
    <w:p w14:paraId="577FF8C0" w14:textId="77777777" w:rsidR="00403C72" w:rsidRPr="00BD0893" w:rsidRDefault="00403C72" w:rsidP="009B1F89">
      <w:pPr>
        <w:rPr>
          <w:rFonts w:cstheme="minorHAnsi"/>
          <w:bCs/>
          <w:sz w:val="28"/>
          <w:szCs w:val="28"/>
        </w:rPr>
      </w:pPr>
    </w:p>
    <w:p w14:paraId="6376B6B0" w14:textId="3F8C2F59" w:rsidR="00403C72" w:rsidRPr="00BD0893" w:rsidRDefault="00403C72" w:rsidP="007B667D">
      <w:pPr>
        <w:pStyle w:val="Prrafodelista"/>
        <w:numPr>
          <w:ilvl w:val="0"/>
          <w:numId w:val="140"/>
        </w:numPr>
        <w:rPr>
          <w:rFonts w:cstheme="minorHAnsi"/>
          <w:bCs/>
          <w:lang w:val="es-ES"/>
        </w:rPr>
      </w:pPr>
      <w:r w:rsidRPr="00BD0893">
        <w:rPr>
          <w:rFonts w:asciiTheme="minorHAnsi" w:hAnsiTheme="minorHAnsi" w:cstheme="minorHAnsi"/>
          <w:bCs/>
          <w:sz w:val="24"/>
          <w:szCs w:val="24"/>
          <w:lang w:val="es-ES"/>
        </w:rPr>
        <w:t>Centro de Medicina Deportiva de la Comunidad de Madrid (</w:t>
      </w:r>
      <w:hyperlink r:id="rId68" w:history="1">
        <w:r w:rsidR="00F02618" w:rsidRPr="00BD0893">
          <w:rPr>
            <w:rStyle w:val="Hipervnculo"/>
            <w:rFonts w:asciiTheme="minorHAnsi" w:hAnsiTheme="minorHAnsi" w:cstheme="minorHAnsi"/>
            <w:bCs/>
            <w:sz w:val="24"/>
            <w:szCs w:val="24"/>
            <w:lang w:val="es-ES"/>
          </w:rPr>
          <w:t>https://www.comunidad.madrid/servicios/deportes/medicina-deportiva</w:t>
        </w:r>
      </w:hyperlink>
      <w:r w:rsidRPr="00BD0893">
        <w:rPr>
          <w:rFonts w:asciiTheme="minorHAnsi" w:hAnsiTheme="minorHAnsi" w:cstheme="minorHAnsi"/>
          <w:bCs/>
          <w:sz w:val="24"/>
          <w:szCs w:val="24"/>
          <w:lang w:val="es-ES"/>
        </w:rPr>
        <w:t>)</w:t>
      </w:r>
      <w:r w:rsidR="00AA7DEE" w:rsidRPr="00BD0893">
        <w:rPr>
          <w:rFonts w:asciiTheme="minorHAnsi" w:hAnsiTheme="minorHAnsi" w:cstheme="minorHAnsi"/>
          <w:bCs/>
          <w:sz w:val="24"/>
          <w:szCs w:val="24"/>
          <w:lang w:val="es-ES"/>
        </w:rPr>
        <w:t>.</w:t>
      </w:r>
    </w:p>
    <w:p w14:paraId="44708427" w14:textId="77777777" w:rsidR="00380612" w:rsidRPr="00BD0893" w:rsidRDefault="00380612" w:rsidP="009B1F89">
      <w:pPr>
        <w:rPr>
          <w:rFonts w:cstheme="minorHAnsi"/>
          <w:bCs/>
          <w:sz w:val="28"/>
          <w:szCs w:val="28"/>
        </w:rPr>
      </w:pPr>
    </w:p>
    <w:p w14:paraId="5C4B6F14" w14:textId="00013324" w:rsidR="00403C72" w:rsidRPr="00BD0893" w:rsidRDefault="00403C72" w:rsidP="007B667D">
      <w:pPr>
        <w:pStyle w:val="Prrafodelista"/>
        <w:numPr>
          <w:ilvl w:val="0"/>
          <w:numId w:val="140"/>
        </w:numPr>
        <w:rPr>
          <w:rFonts w:cstheme="minorHAnsi"/>
          <w:bCs/>
          <w:lang w:val="es-ES"/>
        </w:rPr>
      </w:pPr>
      <w:r w:rsidRPr="00BD0893">
        <w:rPr>
          <w:rFonts w:asciiTheme="minorHAnsi" w:hAnsiTheme="minorHAnsi" w:cstheme="minorHAnsi"/>
          <w:bCs/>
          <w:sz w:val="24"/>
          <w:szCs w:val="24"/>
          <w:lang w:val="es-ES"/>
        </w:rPr>
        <w:t>Centro Regional de Medicina Deportiva de Junta de Castilla y León (</w:t>
      </w:r>
      <w:hyperlink r:id="rId69" w:history="1">
        <w:r w:rsidRPr="00BD0893">
          <w:rPr>
            <w:rStyle w:val="Hipervnculo"/>
            <w:rFonts w:asciiTheme="minorHAnsi" w:hAnsiTheme="minorHAnsi" w:cstheme="minorHAnsi"/>
            <w:bCs/>
            <w:sz w:val="24"/>
            <w:szCs w:val="24"/>
            <w:lang w:val="es-ES"/>
          </w:rPr>
          <w:t>https://www.saludcastillayleon.es/MedicinaDeportiva/es</w:t>
        </w:r>
      </w:hyperlink>
      <w:r w:rsidRPr="00BD0893">
        <w:rPr>
          <w:rFonts w:asciiTheme="minorHAnsi" w:hAnsiTheme="minorHAnsi" w:cstheme="minorHAnsi"/>
          <w:bCs/>
          <w:sz w:val="24"/>
          <w:szCs w:val="24"/>
          <w:lang w:val="es-ES"/>
        </w:rPr>
        <w:t xml:space="preserve"> )</w:t>
      </w:r>
      <w:r w:rsidR="00AA7DEE" w:rsidRPr="00BD0893">
        <w:rPr>
          <w:rFonts w:asciiTheme="minorHAnsi" w:hAnsiTheme="minorHAnsi" w:cstheme="minorHAnsi"/>
          <w:bCs/>
          <w:sz w:val="24"/>
          <w:szCs w:val="24"/>
          <w:lang w:val="es-ES"/>
        </w:rPr>
        <w:t>.</w:t>
      </w:r>
    </w:p>
    <w:p w14:paraId="3623E571" w14:textId="77777777" w:rsidR="00380612" w:rsidRPr="00BD0893" w:rsidRDefault="00380612" w:rsidP="009B1F89">
      <w:pPr>
        <w:rPr>
          <w:rFonts w:cstheme="minorHAnsi"/>
          <w:bCs/>
          <w:sz w:val="28"/>
          <w:szCs w:val="28"/>
        </w:rPr>
      </w:pPr>
    </w:p>
    <w:p w14:paraId="54F136BE" w14:textId="49139C55" w:rsidR="00403C72" w:rsidRPr="00BD0893" w:rsidRDefault="00403C72" w:rsidP="007B667D">
      <w:pPr>
        <w:pStyle w:val="Prrafodelista"/>
        <w:numPr>
          <w:ilvl w:val="0"/>
          <w:numId w:val="140"/>
        </w:numPr>
        <w:rPr>
          <w:rFonts w:cstheme="minorHAnsi"/>
          <w:bCs/>
          <w:lang w:val="es-ES"/>
        </w:rPr>
      </w:pPr>
      <w:r w:rsidRPr="00BD0893">
        <w:rPr>
          <w:rFonts w:asciiTheme="minorHAnsi" w:hAnsiTheme="minorHAnsi" w:cstheme="minorHAnsi"/>
          <w:bCs/>
          <w:sz w:val="24"/>
          <w:szCs w:val="24"/>
          <w:lang w:val="es-ES"/>
        </w:rPr>
        <w:t>Centro Andaluz de Medicina del Deporte (CAMD) (</w:t>
      </w:r>
      <w:hyperlink r:id="rId70" w:history="1">
        <w:r w:rsidR="008F4778" w:rsidRPr="00BD0893">
          <w:rPr>
            <w:rStyle w:val="Hipervnculo"/>
            <w:rFonts w:asciiTheme="minorHAnsi" w:hAnsiTheme="minorHAnsi" w:cstheme="minorHAnsi"/>
            <w:bCs/>
            <w:sz w:val="24"/>
            <w:szCs w:val="24"/>
            <w:lang w:val="es-ES"/>
          </w:rPr>
          <w:t>https://www.juntadeandalucia.es/organismos/turismoculturaydeporte/areas/deporte/medicina-deportiva/medicina-deporte.html</w:t>
        </w:r>
      </w:hyperlink>
      <w:r w:rsidRPr="00BD0893">
        <w:rPr>
          <w:rFonts w:asciiTheme="minorHAnsi" w:hAnsiTheme="minorHAnsi" w:cstheme="minorHAnsi"/>
          <w:bCs/>
          <w:sz w:val="24"/>
          <w:szCs w:val="24"/>
          <w:lang w:val="es-ES"/>
        </w:rPr>
        <w:t>)</w:t>
      </w:r>
      <w:r w:rsidR="00AA7DEE" w:rsidRPr="00BD0893">
        <w:rPr>
          <w:rFonts w:asciiTheme="minorHAnsi" w:hAnsiTheme="minorHAnsi" w:cstheme="minorHAnsi"/>
          <w:bCs/>
          <w:sz w:val="24"/>
          <w:szCs w:val="24"/>
          <w:lang w:val="es-ES"/>
        </w:rPr>
        <w:t>.</w:t>
      </w:r>
    </w:p>
    <w:p w14:paraId="44CE071E" w14:textId="77777777" w:rsidR="00403C72" w:rsidRPr="00BD0893" w:rsidRDefault="00403C72" w:rsidP="009B1F89">
      <w:pPr>
        <w:jc w:val="both"/>
        <w:rPr>
          <w:rFonts w:eastAsiaTheme="minorEastAsia" w:cstheme="minorHAnsi"/>
          <w:bCs/>
          <w:sz w:val="28"/>
          <w:szCs w:val="28"/>
        </w:rPr>
      </w:pPr>
    </w:p>
    <w:p w14:paraId="2EF3D98C" w14:textId="106141D3" w:rsidR="00403C72" w:rsidRPr="00BD0893" w:rsidRDefault="00403C72" w:rsidP="007B667D">
      <w:pPr>
        <w:pStyle w:val="Prrafodelista"/>
        <w:numPr>
          <w:ilvl w:val="0"/>
          <w:numId w:val="140"/>
        </w:numPr>
        <w:jc w:val="both"/>
        <w:rPr>
          <w:rFonts w:eastAsiaTheme="minorEastAsia" w:cstheme="minorHAnsi"/>
          <w:lang w:val="es-ES"/>
        </w:rPr>
      </w:pPr>
      <w:r w:rsidRPr="00BD0893">
        <w:rPr>
          <w:rFonts w:asciiTheme="minorHAnsi" w:eastAsiaTheme="minorEastAsia" w:hAnsiTheme="minorHAnsi" w:cstheme="minorHAnsi"/>
          <w:sz w:val="24"/>
          <w:szCs w:val="24"/>
          <w:lang w:val="es-ES"/>
        </w:rPr>
        <w:t>Centro de Medicina del Deporte de la Universidad de Murcia (</w:t>
      </w:r>
      <w:hyperlink r:id="rId71" w:history="1">
        <w:r w:rsidRPr="00BD0893">
          <w:rPr>
            <w:rStyle w:val="Hipervnculo"/>
            <w:rFonts w:asciiTheme="minorHAnsi" w:eastAsiaTheme="minorEastAsia" w:hAnsiTheme="minorHAnsi" w:cstheme="minorHAnsi"/>
            <w:sz w:val="24"/>
            <w:szCs w:val="24"/>
            <w:lang w:val="es-ES"/>
          </w:rPr>
          <w:t>https://www.um.es/web/medicinadeportiva/</w:t>
        </w:r>
      </w:hyperlink>
      <w:r w:rsidRPr="00BD0893">
        <w:rPr>
          <w:rFonts w:asciiTheme="minorHAnsi" w:eastAsiaTheme="minorEastAsia" w:hAnsiTheme="minorHAnsi" w:cstheme="minorHAnsi"/>
          <w:sz w:val="24"/>
          <w:szCs w:val="24"/>
          <w:lang w:val="es-ES"/>
        </w:rPr>
        <w:t>)</w:t>
      </w:r>
      <w:r w:rsidR="00AA7DEE" w:rsidRPr="00BD0893">
        <w:rPr>
          <w:rFonts w:asciiTheme="minorHAnsi" w:eastAsiaTheme="minorEastAsia" w:hAnsiTheme="minorHAnsi" w:cstheme="minorHAnsi"/>
          <w:sz w:val="24"/>
          <w:szCs w:val="24"/>
          <w:lang w:val="es-ES"/>
        </w:rPr>
        <w:t>.</w:t>
      </w:r>
      <w:r w:rsidRPr="00BD0893">
        <w:rPr>
          <w:rFonts w:asciiTheme="minorHAnsi" w:eastAsiaTheme="minorEastAsia" w:hAnsiTheme="minorHAnsi" w:cstheme="minorHAnsi"/>
          <w:sz w:val="24"/>
          <w:szCs w:val="24"/>
          <w:lang w:val="es-ES"/>
        </w:rPr>
        <w:t xml:space="preserve"> </w:t>
      </w:r>
    </w:p>
    <w:p w14:paraId="5BEDACEB" w14:textId="77777777" w:rsidR="00403C72" w:rsidRDefault="00403C72" w:rsidP="009B1F89">
      <w:pPr>
        <w:jc w:val="both"/>
        <w:rPr>
          <w:rFonts w:eastAsiaTheme="minorEastAsia" w:cstheme="minorHAnsi"/>
        </w:rPr>
      </w:pPr>
    </w:p>
    <w:p w14:paraId="54EE936D" w14:textId="14E2FD91" w:rsidR="002A2752" w:rsidRDefault="002A2752" w:rsidP="002A2752">
      <w:pPr>
        <w:pStyle w:val="Ttulo2"/>
        <w:numPr>
          <w:ilvl w:val="0"/>
          <w:numId w:val="159"/>
        </w:numPr>
        <w:shd w:val="clear" w:color="auto" w:fill="FFFFFF"/>
        <w:spacing w:before="0" w:line="288" w:lineRule="atLeast"/>
        <w:jc w:val="both"/>
        <w:rPr>
          <w:rFonts w:asciiTheme="minorHAnsi" w:hAnsiTheme="minorHAnsi" w:cstheme="minorHAnsi"/>
          <w:color w:val="000000" w:themeColor="text1"/>
          <w:sz w:val="24"/>
          <w:szCs w:val="24"/>
          <w:lang w:val="es-ES"/>
        </w:rPr>
      </w:pPr>
      <w:r w:rsidRPr="002A2752">
        <w:rPr>
          <w:rFonts w:asciiTheme="minorHAnsi" w:hAnsiTheme="minorHAnsi" w:cstheme="minorHAnsi"/>
          <w:color w:val="000000" w:themeColor="text1"/>
          <w:sz w:val="24"/>
          <w:szCs w:val="24"/>
          <w:lang w:val="es-ES"/>
        </w:rPr>
        <w:t>Unidad de Medicina del Deporte del</w:t>
      </w:r>
      <w:r>
        <w:rPr>
          <w:rStyle w:val="Textoennegrita"/>
          <w:rFonts w:asciiTheme="minorHAnsi" w:hAnsiTheme="minorHAnsi" w:cstheme="minorHAnsi"/>
          <w:color w:val="000000" w:themeColor="text1"/>
          <w:sz w:val="24"/>
          <w:szCs w:val="24"/>
          <w:lang w:val="es-ES"/>
        </w:rPr>
        <w:t xml:space="preserve"> </w:t>
      </w:r>
      <w:r w:rsidRPr="002A2752">
        <w:rPr>
          <w:rStyle w:val="Textoennegrita"/>
          <w:rFonts w:asciiTheme="minorHAnsi" w:hAnsiTheme="minorHAnsi" w:cstheme="minorHAnsi"/>
          <w:b w:val="0"/>
          <w:bCs w:val="0"/>
          <w:color w:val="000000" w:themeColor="text1"/>
          <w:sz w:val="24"/>
          <w:szCs w:val="24"/>
          <w:lang w:val="es-ES"/>
        </w:rPr>
        <w:t xml:space="preserve">Hospital Sant Joan de </w:t>
      </w:r>
      <w:proofErr w:type="spellStart"/>
      <w:r w:rsidRPr="002A2752">
        <w:rPr>
          <w:rStyle w:val="Textoennegrita"/>
          <w:rFonts w:asciiTheme="minorHAnsi" w:hAnsiTheme="minorHAnsi" w:cstheme="minorHAnsi"/>
          <w:b w:val="0"/>
          <w:bCs w:val="0"/>
          <w:color w:val="000000" w:themeColor="text1"/>
          <w:sz w:val="24"/>
          <w:szCs w:val="24"/>
          <w:lang w:val="es-ES"/>
        </w:rPr>
        <w:t>Déu</w:t>
      </w:r>
      <w:proofErr w:type="spellEnd"/>
      <w:r w:rsidRPr="002A2752">
        <w:rPr>
          <w:rStyle w:val="Textoennegrita"/>
          <w:rFonts w:asciiTheme="minorHAnsi" w:hAnsiTheme="minorHAnsi" w:cstheme="minorHAnsi"/>
          <w:b w:val="0"/>
          <w:bCs w:val="0"/>
          <w:color w:val="000000" w:themeColor="text1"/>
          <w:sz w:val="24"/>
          <w:szCs w:val="24"/>
          <w:lang w:val="es-ES"/>
        </w:rPr>
        <w:t xml:space="preserve"> y el Hospital </w:t>
      </w:r>
      <w:proofErr w:type="spellStart"/>
      <w:r w:rsidRPr="002A2752">
        <w:rPr>
          <w:rStyle w:val="Textoennegrita"/>
          <w:rFonts w:asciiTheme="minorHAnsi" w:hAnsiTheme="minorHAnsi" w:cstheme="minorHAnsi"/>
          <w:b w:val="0"/>
          <w:bCs w:val="0"/>
          <w:color w:val="000000" w:themeColor="text1"/>
          <w:sz w:val="24"/>
          <w:szCs w:val="24"/>
          <w:lang w:val="es-ES"/>
        </w:rPr>
        <w:t>Clínic</w:t>
      </w:r>
      <w:proofErr w:type="spellEnd"/>
      <w:r w:rsidRPr="002A2752">
        <w:rPr>
          <w:rFonts w:asciiTheme="minorHAnsi" w:hAnsiTheme="minorHAnsi" w:cstheme="minorHAnsi"/>
          <w:b/>
          <w:bCs/>
          <w:color w:val="000000" w:themeColor="text1"/>
          <w:sz w:val="24"/>
          <w:szCs w:val="24"/>
          <w:lang w:val="es-ES"/>
        </w:rPr>
        <w:t> </w:t>
      </w:r>
      <w:r w:rsidRPr="002A2752">
        <w:rPr>
          <w:rFonts w:asciiTheme="minorHAnsi" w:hAnsiTheme="minorHAnsi" w:cstheme="minorHAnsi"/>
          <w:color w:val="000000" w:themeColor="text1"/>
          <w:sz w:val="24"/>
          <w:szCs w:val="24"/>
          <w:lang w:val="es-ES"/>
        </w:rPr>
        <w:t>de Barcelona</w:t>
      </w:r>
      <w:r>
        <w:rPr>
          <w:rFonts w:asciiTheme="minorHAnsi" w:hAnsiTheme="minorHAnsi" w:cstheme="minorHAnsi"/>
          <w:color w:val="000000" w:themeColor="text1"/>
          <w:sz w:val="24"/>
          <w:szCs w:val="24"/>
          <w:lang w:val="es-ES"/>
        </w:rPr>
        <w:t xml:space="preserve"> (</w:t>
      </w:r>
      <w:hyperlink r:id="rId72" w:history="1">
        <w:r w:rsidR="002E083E" w:rsidRPr="006A4701">
          <w:rPr>
            <w:rStyle w:val="Hipervnculo"/>
            <w:rFonts w:asciiTheme="minorHAnsi" w:hAnsiTheme="minorHAnsi" w:cstheme="minorHAnsi"/>
            <w:sz w:val="24"/>
            <w:szCs w:val="24"/>
            <w:lang w:val="es-ES"/>
          </w:rPr>
          <w:t>https://medicinaesportiva.cat/es/</w:t>
        </w:r>
      </w:hyperlink>
      <w:r w:rsidR="002E083E">
        <w:rPr>
          <w:rFonts w:asciiTheme="minorHAnsi" w:hAnsiTheme="minorHAnsi" w:cstheme="minorHAnsi"/>
          <w:color w:val="000000" w:themeColor="text1"/>
          <w:sz w:val="24"/>
          <w:szCs w:val="24"/>
          <w:lang w:val="es-ES"/>
        </w:rPr>
        <w:t xml:space="preserve">) </w:t>
      </w:r>
    </w:p>
    <w:p w14:paraId="036301CD" w14:textId="77777777" w:rsidR="002E083E" w:rsidRDefault="002E083E" w:rsidP="002E083E"/>
    <w:p w14:paraId="6B466477" w14:textId="68A6C616" w:rsidR="002E083E" w:rsidRPr="002E083E" w:rsidRDefault="002E083E" w:rsidP="002E083E">
      <w:pPr>
        <w:pStyle w:val="Prrafodelista"/>
        <w:numPr>
          <w:ilvl w:val="0"/>
          <w:numId w:val="160"/>
        </w:numPr>
        <w:rPr>
          <w:rFonts w:asciiTheme="minorHAnsi" w:hAnsiTheme="minorHAnsi" w:cstheme="minorHAnsi"/>
          <w:color w:val="14171A"/>
          <w:sz w:val="24"/>
          <w:szCs w:val="24"/>
          <w:shd w:val="clear" w:color="auto" w:fill="FFFFFF"/>
        </w:rPr>
      </w:pPr>
      <w:r w:rsidRPr="002E083E">
        <w:rPr>
          <w:rFonts w:asciiTheme="minorHAnsi" w:hAnsiTheme="minorHAnsi" w:cstheme="minorHAnsi"/>
          <w:color w:val="14171A"/>
          <w:sz w:val="24"/>
          <w:szCs w:val="24"/>
          <w:shd w:val="clear" w:color="auto" w:fill="FFFFFF"/>
        </w:rPr>
        <w:lastRenderedPageBreak/>
        <w:t xml:space="preserve">Unidad de </w:t>
      </w:r>
      <w:proofErr w:type="spellStart"/>
      <w:r w:rsidRPr="002E083E">
        <w:rPr>
          <w:rFonts w:asciiTheme="minorHAnsi" w:hAnsiTheme="minorHAnsi" w:cstheme="minorHAnsi"/>
          <w:color w:val="14171A"/>
          <w:sz w:val="24"/>
          <w:szCs w:val="24"/>
          <w:shd w:val="clear" w:color="auto" w:fill="FFFFFF"/>
        </w:rPr>
        <w:t>Medicina</w:t>
      </w:r>
      <w:proofErr w:type="spellEnd"/>
      <w:r w:rsidRPr="002E083E">
        <w:rPr>
          <w:rFonts w:asciiTheme="minorHAnsi" w:hAnsiTheme="minorHAnsi" w:cstheme="minorHAnsi"/>
          <w:color w:val="14171A"/>
          <w:sz w:val="24"/>
          <w:szCs w:val="24"/>
          <w:shd w:val="clear" w:color="auto" w:fill="FFFFFF"/>
        </w:rPr>
        <w:t xml:space="preserve"> </w:t>
      </w:r>
      <w:proofErr w:type="spellStart"/>
      <w:r w:rsidRPr="002E083E">
        <w:rPr>
          <w:rFonts w:asciiTheme="minorHAnsi" w:hAnsiTheme="minorHAnsi" w:cstheme="minorHAnsi"/>
          <w:color w:val="14171A"/>
          <w:sz w:val="24"/>
          <w:szCs w:val="24"/>
          <w:shd w:val="clear" w:color="auto" w:fill="FFFFFF"/>
        </w:rPr>
        <w:t>Deportiva</w:t>
      </w:r>
      <w:proofErr w:type="spellEnd"/>
      <w:r w:rsidRPr="002E083E">
        <w:rPr>
          <w:rFonts w:asciiTheme="minorHAnsi" w:hAnsiTheme="minorHAnsi" w:cstheme="minorHAnsi"/>
          <w:color w:val="14171A"/>
          <w:sz w:val="24"/>
          <w:szCs w:val="24"/>
          <w:shd w:val="clear" w:color="auto" w:fill="FFFFFF"/>
        </w:rPr>
        <w:t xml:space="preserve"> IMQ </w:t>
      </w:r>
      <w:proofErr w:type="spellStart"/>
      <w:r w:rsidRPr="002E083E">
        <w:rPr>
          <w:rFonts w:asciiTheme="minorHAnsi" w:hAnsiTheme="minorHAnsi" w:cstheme="minorHAnsi"/>
          <w:color w:val="14171A"/>
          <w:sz w:val="24"/>
          <w:szCs w:val="24"/>
          <w:shd w:val="clear" w:color="auto" w:fill="FFFFFF"/>
        </w:rPr>
        <w:t>Zorrotzaurre</w:t>
      </w:r>
      <w:proofErr w:type="spellEnd"/>
      <w:r w:rsidRPr="002E083E">
        <w:rPr>
          <w:rFonts w:asciiTheme="minorHAnsi" w:hAnsiTheme="minorHAnsi" w:cstheme="minorHAnsi"/>
          <w:color w:val="14171A"/>
          <w:sz w:val="24"/>
          <w:szCs w:val="24"/>
          <w:shd w:val="clear" w:color="auto" w:fill="FFFFFF"/>
        </w:rPr>
        <w:t>, (</w:t>
      </w:r>
      <w:hyperlink r:id="rId73" w:history="1">
        <w:r w:rsidRPr="002E083E">
          <w:rPr>
            <w:rStyle w:val="Hipervnculo"/>
            <w:rFonts w:asciiTheme="minorHAnsi" w:hAnsiTheme="minorHAnsi" w:cstheme="minorHAnsi"/>
            <w:sz w:val="24"/>
            <w:szCs w:val="24"/>
            <w:shd w:val="clear" w:color="auto" w:fill="FFFFFF"/>
          </w:rPr>
          <w:t>https://www.imq.es/corporativo/es_ES/particular/centros-clinicas/Unidad-de-Medicina-Deportiva-IMQ-Zorrotzaurre</w:t>
        </w:r>
      </w:hyperlink>
      <w:r w:rsidRPr="002E083E">
        <w:rPr>
          <w:rFonts w:asciiTheme="minorHAnsi" w:hAnsiTheme="minorHAnsi" w:cstheme="minorHAnsi"/>
          <w:color w:val="14171A"/>
          <w:sz w:val="24"/>
          <w:szCs w:val="24"/>
          <w:shd w:val="clear" w:color="auto" w:fill="FFFFFF"/>
        </w:rPr>
        <w:t xml:space="preserve">) </w:t>
      </w:r>
    </w:p>
    <w:p w14:paraId="0DC685F5" w14:textId="77777777" w:rsidR="002E083E" w:rsidRPr="002E083E" w:rsidRDefault="002E083E" w:rsidP="002E083E">
      <w:pPr>
        <w:rPr>
          <w:rFonts w:cstheme="minorHAnsi"/>
          <w:color w:val="14171A"/>
          <w:shd w:val="clear" w:color="auto" w:fill="FFFFFF"/>
        </w:rPr>
      </w:pPr>
    </w:p>
    <w:p w14:paraId="6ECCC49E" w14:textId="3046E220" w:rsidR="002E083E" w:rsidRPr="002E083E" w:rsidRDefault="002E083E" w:rsidP="002E083E">
      <w:pPr>
        <w:pStyle w:val="Prrafodelista"/>
        <w:numPr>
          <w:ilvl w:val="0"/>
          <w:numId w:val="160"/>
        </w:numPr>
        <w:rPr>
          <w:rFonts w:asciiTheme="minorHAnsi" w:hAnsiTheme="minorHAnsi" w:cstheme="minorHAnsi"/>
          <w:sz w:val="24"/>
          <w:szCs w:val="24"/>
        </w:rPr>
      </w:pPr>
      <w:r w:rsidRPr="002E083E">
        <w:rPr>
          <w:rFonts w:asciiTheme="minorHAnsi" w:hAnsiTheme="minorHAnsi" w:cstheme="minorHAnsi"/>
          <w:sz w:val="24"/>
          <w:szCs w:val="24"/>
        </w:rPr>
        <w:t xml:space="preserve">Centro de </w:t>
      </w:r>
      <w:proofErr w:type="spellStart"/>
      <w:r w:rsidRPr="002E083E">
        <w:rPr>
          <w:rFonts w:asciiTheme="minorHAnsi" w:hAnsiTheme="minorHAnsi" w:cstheme="minorHAnsi"/>
          <w:sz w:val="24"/>
          <w:szCs w:val="24"/>
        </w:rPr>
        <w:t>Estudios</w:t>
      </w:r>
      <w:proofErr w:type="spellEnd"/>
      <w:r w:rsidRPr="002E083E">
        <w:rPr>
          <w:rFonts w:asciiTheme="minorHAnsi" w:hAnsiTheme="minorHAnsi" w:cstheme="minorHAnsi"/>
          <w:sz w:val="24"/>
          <w:szCs w:val="24"/>
        </w:rPr>
        <w:t xml:space="preserve">, </w:t>
      </w:r>
      <w:proofErr w:type="spellStart"/>
      <w:r w:rsidRPr="002E083E">
        <w:rPr>
          <w:rFonts w:asciiTheme="minorHAnsi" w:hAnsiTheme="minorHAnsi" w:cstheme="minorHAnsi"/>
          <w:sz w:val="24"/>
          <w:szCs w:val="24"/>
        </w:rPr>
        <w:t>Investigación</w:t>
      </w:r>
      <w:proofErr w:type="spellEnd"/>
      <w:r w:rsidRPr="002E083E">
        <w:rPr>
          <w:rFonts w:asciiTheme="minorHAnsi" w:hAnsiTheme="minorHAnsi" w:cstheme="minorHAnsi"/>
          <w:sz w:val="24"/>
          <w:szCs w:val="24"/>
        </w:rPr>
        <w:t xml:space="preserve"> y </w:t>
      </w:r>
      <w:proofErr w:type="spellStart"/>
      <w:r w:rsidRPr="002E083E">
        <w:rPr>
          <w:rFonts w:asciiTheme="minorHAnsi" w:hAnsiTheme="minorHAnsi" w:cstheme="minorHAnsi"/>
          <w:sz w:val="24"/>
          <w:szCs w:val="24"/>
        </w:rPr>
        <w:t>Medicina</w:t>
      </w:r>
      <w:proofErr w:type="spellEnd"/>
      <w:r w:rsidRPr="002E083E">
        <w:rPr>
          <w:rFonts w:asciiTheme="minorHAnsi" w:hAnsiTheme="minorHAnsi" w:cstheme="minorHAnsi"/>
          <w:sz w:val="24"/>
          <w:szCs w:val="24"/>
        </w:rPr>
        <w:t xml:space="preserve"> del </w:t>
      </w:r>
      <w:proofErr w:type="spellStart"/>
      <w:r w:rsidRPr="002E083E">
        <w:rPr>
          <w:rFonts w:asciiTheme="minorHAnsi" w:hAnsiTheme="minorHAnsi" w:cstheme="minorHAnsi"/>
          <w:sz w:val="24"/>
          <w:szCs w:val="24"/>
        </w:rPr>
        <w:t>Deporte</w:t>
      </w:r>
      <w:proofErr w:type="spellEnd"/>
      <w:r w:rsidRPr="002E083E">
        <w:rPr>
          <w:rFonts w:asciiTheme="minorHAnsi" w:hAnsiTheme="minorHAnsi" w:cstheme="minorHAnsi"/>
          <w:sz w:val="24"/>
          <w:szCs w:val="24"/>
        </w:rPr>
        <w:t xml:space="preserve"> de Navarra (</w:t>
      </w:r>
      <w:hyperlink r:id="rId74" w:history="1">
        <w:r w:rsidRPr="002E083E">
          <w:rPr>
            <w:rStyle w:val="Hipervnculo"/>
            <w:rFonts w:asciiTheme="minorHAnsi" w:hAnsiTheme="minorHAnsi" w:cstheme="minorHAnsi"/>
            <w:sz w:val="24"/>
            <w:szCs w:val="24"/>
          </w:rPr>
          <w:t>https://www.deportenavarra.es/es/centro-de-estudios-investigacion-y-medicina-del-deporte</w:t>
        </w:r>
      </w:hyperlink>
      <w:r w:rsidRPr="002E083E">
        <w:rPr>
          <w:rFonts w:asciiTheme="minorHAnsi" w:hAnsiTheme="minorHAnsi" w:cstheme="minorHAnsi"/>
          <w:sz w:val="24"/>
          <w:szCs w:val="24"/>
        </w:rPr>
        <w:t xml:space="preserve">) </w:t>
      </w:r>
    </w:p>
    <w:p w14:paraId="4202A3FD" w14:textId="77777777" w:rsidR="002E083E" w:rsidRPr="002E083E" w:rsidRDefault="002E083E" w:rsidP="002E083E"/>
    <w:p w14:paraId="718D7FCD" w14:textId="370FE170" w:rsidR="002A2752" w:rsidRPr="002E083E" w:rsidRDefault="002E083E" w:rsidP="002E083E">
      <w:pPr>
        <w:pStyle w:val="Prrafodelista"/>
        <w:numPr>
          <w:ilvl w:val="0"/>
          <w:numId w:val="161"/>
        </w:numPr>
        <w:jc w:val="both"/>
        <w:rPr>
          <w:rFonts w:asciiTheme="minorHAnsi" w:hAnsiTheme="minorHAnsi" w:cstheme="minorHAnsi"/>
          <w:color w:val="000000" w:themeColor="text1"/>
          <w:sz w:val="24"/>
          <w:szCs w:val="24"/>
          <w:shd w:val="clear" w:color="auto" w:fill="FFFFFF"/>
        </w:rPr>
      </w:pPr>
      <w:r w:rsidRPr="002E083E">
        <w:rPr>
          <w:rFonts w:asciiTheme="minorHAnsi" w:hAnsiTheme="minorHAnsi" w:cstheme="minorHAnsi"/>
          <w:color w:val="000000" w:themeColor="text1"/>
          <w:sz w:val="24"/>
          <w:szCs w:val="24"/>
          <w:shd w:val="clear" w:color="auto" w:fill="FFFFFF"/>
        </w:rPr>
        <w:t xml:space="preserve">Unidad Regional de </w:t>
      </w:r>
      <w:proofErr w:type="spellStart"/>
      <w:r w:rsidRPr="002E083E">
        <w:rPr>
          <w:rFonts w:asciiTheme="minorHAnsi" w:hAnsiTheme="minorHAnsi" w:cstheme="minorHAnsi"/>
          <w:color w:val="000000" w:themeColor="text1"/>
          <w:sz w:val="24"/>
          <w:szCs w:val="24"/>
          <w:shd w:val="clear" w:color="auto" w:fill="FFFFFF"/>
        </w:rPr>
        <w:t>Medicina</w:t>
      </w:r>
      <w:proofErr w:type="spellEnd"/>
      <w:r w:rsidRPr="002E083E">
        <w:rPr>
          <w:rFonts w:asciiTheme="minorHAnsi" w:hAnsiTheme="minorHAnsi" w:cstheme="minorHAnsi"/>
          <w:color w:val="000000" w:themeColor="text1"/>
          <w:sz w:val="24"/>
          <w:szCs w:val="24"/>
          <w:shd w:val="clear" w:color="auto" w:fill="FFFFFF"/>
        </w:rPr>
        <w:t xml:space="preserve"> </w:t>
      </w:r>
      <w:proofErr w:type="spellStart"/>
      <w:r w:rsidRPr="002E083E">
        <w:rPr>
          <w:rFonts w:asciiTheme="minorHAnsi" w:hAnsiTheme="minorHAnsi" w:cstheme="minorHAnsi"/>
          <w:color w:val="000000" w:themeColor="text1"/>
          <w:sz w:val="24"/>
          <w:szCs w:val="24"/>
          <w:shd w:val="clear" w:color="auto" w:fill="FFFFFF"/>
        </w:rPr>
        <w:t>Deportiva</w:t>
      </w:r>
      <w:proofErr w:type="spellEnd"/>
      <w:r w:rsidRPr="002E083E">
        <w:rPr>
          <w:rFonts w:asciiTheme="minorHAnsi" w:hAnsiTheme="minorHAnsi" w:cstheme="minorHAnsi"/>
          <w:color w:val="000000" w:themeColor="text1"/>
          <w:sz w:val="24"/>
          <w:szCs w:val="24"/>
          <w:shd w:val="clear" w:color="auto" w:fill="FFFFFF"/>
        </w:rPr>
        <w:t xml:space="preserve"> de Asturias (</w:t>
      </w:r>
      <w:hyperlink r:id="rId75" w:history="1">
        <w:r w:rsidRPr="002E083E">
          <w:rPr>
            <w:rStyle w:val="Hipervnculo"/>
            <w:rFonts w:asciiTheme="minorHAnsi" w:hAnsiTheme="minorHAnsi" w:cstheme="minorHAnsi"/>
            <w:color w:val="0070C0"/>
            <w:sz w:val="24"/>
            <w:szCs w:val="24"/>
            <w:shd w:val="clear" w:color="auto" w:fill="FFFFFF"/>
          </w:rPr>
          <w:t>https://deporteasturiano.org/mas/medicina-deportiva/</w:t>
        </w:r>
      </w:hyperlink>
      <w:r w:rsidRPr="002E083E">
        <w:rPr>
          <w:rFonts w:asciiTheme="minorHAnsi" w:hAnsiTheme="minorHAnsi" w:cstheme="minorHAnsi"/>
          <w:color w:val="0070C0"/>
          <w:sz w:val="24"/>
          <w:szCs w:val="24"/>
          <w:shd w:val="clear" w:color="auto" w:fill="FFFFFF"/>
        </w:rPr>
        <w:t xml:space="preserve">) </w:t>
      </w:r>
    </w:p>
    <w:p w14:paraId="208DD6FF" w14:textId="77777777" w:rsidR="002E083E" w:rsidRPr="002E083E" w:rsidRDefault="002E083E" w:rsidP="009B1F89">
      <w:pPr>
        <w:jc w:val="both"/>
        <w:rPr>
          <w:rFonts w:eastAsiaTheme="minorEastAsia" w:cstheme="minorHAnsi"/>
          <w:color w:val="000000" w:themeColor="text1"/>
        </w:rPr>
      </w:pPr>
    </w:p>
    <w:p w14:paraId="3F98CE07" w14:textId="701F0C8B" w:rsidR="00BD0893" w:rsidRPr="002E083E" w:rsidRDefault="002E083E" w:rsidP="002E083E">
      <w:pPr>
        <w:pStyle w:val="Prrafodelista"/>
        <w:numPr>
          <w:ilvl w:val="0"/>
          <w:numId w:val="161"/>
        </w:numPr>
        <w:jc w:val="both"/>
        <w:rPr>
          <w:rFonts w:asciiTheme="minorHAnsi" w:hAnsiTheme="minorHAnsi" w:cstheme="minorHAnsi"/>
          <w:color w:val="000000" w:themeColor="text1"/>
          <w:sz w:val="24"/>
          <w:szCs w:val="24"/>
        </w:rPr>
      </w:pPr>
      <w:r w:rsidRPr="002E083E">
        <w:rPr>
          <w:rFonts w:asciiTheme="minorHAnsi" w:hAnsiTheme="minorHAnsi" w:cstheme="minorHAnsi"/>
          <w:color w:val="000000" w:themeColor="text1"/>
          <w:sz w:val="24"/>
          <w:szCs w:val="24"/>
        </w:rPr>
        <w:t xml:space="preserve">Centro de </w:t>
      </w:r>
      <w:proofErr w:type="spellStart"/>
      <w:r w:rsidRPr="002E083E">
        <w:rPr>
          <w:rFonts w:asciiTheme="minorHAnsi" w:hAnsiTheme="minorHAnsi" w:cstheme="minorHAnsi"/>
          <w:color w:val="000000" w:themeColor="text1"/>
          <w:sz w:val="24"/>
          <w:szCs w:val="24"/>
        </w:rPr>
        <w:t>Medicina</w:t>
      </w:r>
      <w:proofErr w:type="spellEnd"/>
      <w:r w:rsidRPr="002E083E">
        <w:rPr>
          <w:rFonts w:asciiTheme="minorHAnsi" w:hAnsiTheme="minorHAnsi" w:cstheme="minorHAnsi"/>
          <w:color w:val="000000" w:themeColor="text1"/>
          <w:sz w:val="24"/>
          <w:szCs w:val="24"/>
        </w:rPr>
        <w:t xml:space="preserve"> </w:t>
      </w:r>
      <w:proofErr w:type="spellStart"/>
      <w:r w:rsidRPr="002E083E">
        <w:rPr>
          <w:rFonts w:asciiTheme="minorHAnsi" w:hAnsiTheme="minorHAnsi" w:cstheme="minorHAnsi"/>
          <w:color w:val="000000" w:themeColor="text1"/>
          <w:sz w:val="24"/>
          <w:szCs w:val="24"/>
        </w:rPr>
        <w:t>Deportiva</w:t>
      </w:r>
      <w:proofErr w:type="spellEnd"/>
      <w:r w:rsidRPr="002E083E">
        <w:rPr>
          <w:rFonts w:asciiTheme="minorHAnsi" w:hAnsiTheme="minorHAnsi" w:cstheme="minorHAnsi"/>
          <w:color w:val="000000" w:themeColor="text1"/>
          <w:sz w:val="24"/>
          <w:szCs w:val="24"/>
        </w:rPr>
        <w:t xml:space="preserve"> de la </w:t>
      </w:r>
      <w:proofErr w:type="spellStart"/>
      <w:r w:rsidRPr="002E083E">
        <w:rPr>
          <w:rFonts w:asciiTheme="minorHAnsi" w:hAnsiTheme="minorHAnsi" w:cstheme="minorHAnsi"/>
          <w:color w:val="000000" w:themeColor="text1"/>
          <w:sz w:val="24"/>
          <w:szCs w:val="24"/>
        </w:rPr>
        <w:t>Di</w:t>
      </w:r>
      <w:r w:rsidR="009C7738">
        <w:rPr>
          <w:rFonts w:asciiTheme="minorHAnsi" w:hAnsiTheme="minorHAnsi" w:cstheme="minorHAnsi"/>
          <w:color w:val="000000" w:themeColor="text1"/>
          <w:sz w:val="24"/>
          <w:szCs w:val="24"/>
        </w:rPr>
        <w:t>p</w:t>
      </w:r>
      <w:r w:rsidRPr="002E083E">
        <w:rPr>
          <w:rFonts w:asciiTheme="minorHAnsi" w:hAnsiTheme="minorHAnsi" w:cstheme="minorHAnsi"/>
          <w:color w:val="000000" w:themeColor="text1"/>
          <w:sz w:val="24"/>
          <w:szCs w:val="24"/>
        </w:rPr>
        <w:t>utación</w:t>
      </w:r>
      <w:proofErr w:type="spellEnd"/>
      <w:r w:rsidRPr="002E083E">
        <w:rPr>
          <w:rFonts w:asciiTheme="minorHAnsi" w:hAnsiTheme="minorHAnsi" w:cstheme="minorHAnsi"/>
          <w:color w:val="000000" w:themeColor="text1"/>
          <w:sz w:val="24"/>
          <w:szCs w:val="24"/>
        </w:rPr>
        <w:t xml:space="preserve"> de Toledo (Castilla La Mancha), </w:t>
      </w:r>
      <w:hyperlink r:id="rId76" w:history="1">
        <w:r w:rsidRPr="002E083E">
          <w:rPr>
            <w:rStyle w:val="Hipervnculo"/>
            <w:rFonts w:asciiTheme="minorHAnsi" w:hAnsiTheme="minorHAnsi" w:cstheme="minorHAnsi"/>
            <w:color w:val="0070C0"/>
            <w:sz w:val="24"/>
            <w:szCs w:val="24"/>
          </w:rPr>
          <w:t>https://www.diputoledo.es/noticias_ampliada/1179</w:t>
        </w:r>
      </w:hyperlink>
    </w:p>
    <w:p w14:paraId="43A8BCE8" w14:textId="77777777" w:rsidR="002E083E" w:rsidRDefault="002E083E" w:rsidP="00D40155">
      <w:pPr>
        <w:jc w:val="both"/>
        <w:rPr>
          <w:rFonts w:eastAsiaTheme="minorEastAsia" w:cstheme="minorHAnsi"/>
        </w:rPr>
      </w:pPr>
    </w:p>
    <w:p w14:paraId="41870BB4" w14:textId="1809D69F" w:rsidR="00403C72" w:rsidRPr="0051709F" w:rsidRDefault="00403C72" w:rsidP="00D40155">
      <w:pPr>
        <w:jc w:val="both"/>
        <w:rPr>
          <w:rFonts w:eastAsiaTheme="minorEastAsia" w:cstheme="minorHAnsi"/>
        </w:rPr>
      </w:pPr>
      <w:r w:rsidRPr="0051709F">
        <w:rPr>
          <w:rFonts w:eastAsiaTheme="minorEastAsia" w:cstheme="minorHAnsi"/>
        </w:rPr>
        <w:t>Asimismo, hay diversos centros de medicina deportiva privados</w:t>
      </w:r>
      <w:r w:rsidR="00BF241A">
        <w:rPr>
          <w:rFonts w:eastAsiaTheme="minorEastAsia" w:cstheme="minorHAnsi"/>
        </w:rPr>
        <w:t xml:space="preserve"> </w:t>
      </w:r>
      <w:r w:rsidR="00E97353">
        <w:rPr>
          <w:rFonts w:eastAsiaTheme="minorEastAsia" w:cstheme="minorHAnsi"/>
        </w:rPr>
        <w:t xml:space="preserve">que </w:t>
      </w:r>
      <w:r w:rsidR="00D40155">
        <w:rPr>
          <w:rFonts w:eastAsiaTheme="minorEastAsia" w:cstheme="minorHAnsi"/>
        </w:rPr>
        <w:t>podrían, igualmente,</w:t>
      </w:r>
      <w:r w:rsidRPr="0051709F">
        <w:rPr>
          <w:rFonts w:eastAsiaTheme="minorEastAsia" w:cstheme="minorHAnsi"/>
        </w:rPr>
        <w:t xml:space="preserve"> incluirse en la Estrategia Nacional. </w:t>
      </w:r>
    </w:p>
    <w:p w14:paraId="74D8C0B2" w14:textId="77777777" w:rsidR="00403C72" w:rsidRPr="0051709F" w:rsidRDefault="00403C72" w:rsidP="009B1F89">
      <w:pPr>
        <w:jc w:val="both"/>
        <w:rPr>
          <w:rFonts w:eastAsiaTheme="minorEastAsia" w:cstheme="minorHAnsi"/>
        </w:rPr>
      </w:pPr>
    </w:p>
    <w:p w14:paraId="3A65515E" w14:textId="371DD04F" w:rsidR="00403C72" w:rsidRPr="0051709F" w:rsidRDefault="00403C72" w:rsidP="009B1F89">
      <w:pPr>
        <w:jc w:val="both"/>
        <w:rPr>
          <w:rFonts w:eastAsiaTheme="minorEastAsia" w:cstheme="minorHAnsi"/>
        </w:rPr>
      </w:pPr>
      <w:r w:rsidRPr="0051709F">
        <w:rPr>
          <w:rFonts w:eastAsiaTheme="minorEastAsia" w:cstheme="minorHAnsi"/>
        </w:rPr>
        <w:t xml:space="preserve">Otros centros que se deben tener en consideración son los laboratorios de fisiología del esfuerzo y similares de universidades públicas y privadas, con experiencia en la evaluación funcional y el diagnóstico de la condición física. </w:t>
      </w:r>
      <w:r w:rsidR="00D40155">
        <w:rPr>
          <w:rFonts w:eastAsiaTheme="minorEastAsia" w:cstheme="minorHAnsi"/>
        </w:rPr>
        <w:t>Se destacan a modo de ejemplo:</w:t>
      </w:r>
    </w:p>
    <w:p w14:paraId="59E83F90" w14:textId="77777777" w:rsidR="00380612" w:rsidRPr="0051709F" w:rsidRDefault="00380612" w:rsidP="009B1F89">
      <w:pPr>
        <w:jc w:val="both"/>
        <w:rPr>
          <w:rFonts w:eastAsiaTheme="minorEastAsia" w:cstheme="minorHAnsi"/>
        </w:rPr>
      </w:pPr>
    </w:p>
    <w:p w14:paraId="5BEF61C8" w14:textId="0DCD40EB" w:rsidR="00403C72" w:rsidRPr="0051709F" w:rsidRDefault="00403C72" w:rsidP="00E6399B">
      <w:pPr>
        <w:pStyle w:val="Prrafodelista"/>
        <w:numPr>
          <w:ilvl w:val="0"/>
          <w:numId w:val="83"/>
        </w:numPr>
        <w:jc w:val="both"/>
        <w:rPr>
          <w:rFonts w:asciiTheme="minorHAnsi" w:eastAsiaTheme="minorEastAsia" w:hAnsiTheme="minorHAnsi" w:cstheme="minorHAnsi"/>
          <w:sz w:val="24"/>
          <w:szCs w:val="24"/>
          <w:lang w:val="es-ES"/>
        </w:rPr>
      </w:pPr>
      <w:r w:rsidRPr="0051709F">
        <w:rPr>
          <w:rFonts w:asciiTheme="minorHAnsi" w:eastAsiaTheme="minorEastAsia" w:hAnsiTheme="minorHAnsi" w:cstheme="minorHAnsi"/>
          <w:sz w:val="24"/>
          <w:szCs w:val="24"/>
          <w:lang w:val="es-ES"/>
        </w:rPr>
        <w:t>Laboratorio de Fisiología del Esfuerzo, Laboratorio de Biomecánica Deportiva, Laboratorio de Bioquímica de la Facultad de Ciencias de la Actividad Física y del Deporte-INEF de la Universidad Politécnica de Madrid (https://www.inef.upm.es/Facultad/Laboratorios)</w:t>
      </w:r>
    </w:p>
    <w:p w14:paraId="09871F4F" w14:textId="16401F29" w:rsidR="00403C72" w:rsidRPr="0051709F" w:rsidRDefault="00403C72" w:rsidP="00E6399B">
      <w:pPr>
        <w:pStyle w:val="Prrafodelista"/>
        <w:numPr>
          <w:ilvl w:val="0"/>
          <w:numId w:val="83"/>
        </w:numPr>
        <w:jc w:val="both"/>
        <w:rPr>
          <w:rFonts w:asciiTheme="minorHAnsi" w:eastAsiaTheme="minorEastAsia" w:hAnsiTheme="minorHAnsi" w:cstheme="minorHAnsi"/>
          <w:sz w:val="24"/>
          <w:szCs w:val="24"/>
          <w:lang w:val="es-ES"/>
        </w:rPr>
      </w:pPr>
      <w:r w:rsidRPr="0051709F">
        <w:rPr>
          <w:rFonts w:asciiTheme="minorHAnsi" w:eastAsiaTheme="minorEastAsia" w:hAnsiTheme="minorHAnsi" w:cstheme="minorHAnsi"/>
          <w:sz w:val="24"/>
          <w:szCs w:val="24"/>
          <w:lang w:val="es-ES"/>
        </w:rPr>
        <w:t>Laboratorio de Fisiología del Esfuerzo y Medicina Deportiva de la Universidad de Málaga (</w:t>
      </w:r>
      <w:hyperlink r:id="rId77" w:history="1">
        <w:r w:rsidRPr="0051709F">
          <w:rPr>
            <w:rStyle w:val="Hipervnculo"/>
            <w:rFonts w:asciiTheme="minorHAnsi" w:eastAsiaTheme="minorEastAsia" w:hAnsiTheme="minorHAnsi" w:cstheme="minorHAnsi"/>
            <w:sz w:val="24"/>
            <w:szCs w:val="24"/>
            <w:lang w:val="es-ES"/>
          </w:rPr>
          <w:t>https://servilab.uma.es/fisiologia_esfuerzo.asp</w:t>
        </w:r>
      </w:hyperlink>
      <w:r w:rsidRPr="0051709F">
        <w:rPr>
          <w:rFonts w:asciiTheme="minorHAnsi" w:eastAsiaTheme="minorEastAsia" w:hAnsiTheme="minorHAnsi" w:cstheme="minorHAnsi"/>
          <w:sz w:val="24"/>
          <w:szCs w:val="24"/>
          <w:lang w:val="es-ES"/>
        </w:rPr>
        <w:t xml:space="preserve"> )</w:t>
      </w:r>
    </w:p>
    <w:p w14:paraId="1FC8D186" w14:textId="34F82CAE" w:rsidR="00403C72" w:rsidRPr="0051709F" w:rsidRDefault="00403C72" w:rsidP="00E6399B">
      <w:pPr>
        <w:pStyle w:val="Prrafodelista"/>
        <w:numPr>
          <w:ilvl w:val="0"/>
          <w:numId w:val="83"/>
        </w:numPr>
        <w:jc w:val="both"/>
        <w:rPr>
          <w:rFonts w:asciiTheme="minorHAnsi" w:eastAsiaTheme="minorEastAsia" w:hAnsiTheme="minorHAnsi" w:cstheme="minorHAnsi"/>
          <w:sz w:val="24"/>
          <w:szCs w:val="24"/>
          <w:lang w:val="es-ES"/>
        </w:rPr>
      </w:pPr>
      <w:r w:rsidRPr="0051709F">
        <w:rPr>
          <w:rFonts w:asciiTheme="minorHAnsi" w:eastAsiaTheme="minorEastAsia" w:hAnsiTheme="minorHAnsi" w:cstheme="minorHAnsi"/>
          <w:sz w:val="24"/>
          <w:szCs w:val="24"/>
          <w:lang w:val="es-ES"/>
        </w:rPr>
        <w:t>Laboratorio de Valoración Funcional y Composición Corporal de la Universidad de Zaragoza (</w:t>
      </w:r>
      <w:hyperlink r:id="rId78" w:history="1">
        <w:r w:rsidRPr="0051709F">
          <w:rPr>
            <w:rStyle w:val="Hipervnculo"/>
            <w:rFonts w:asciiTheme="minorHAnsi" w:eastAsiaTheme="minorEastAsia" w:hAnsiTheme="minorHAnsi" w:cstheme="minorHAnsi"/>
            <w:sz w:val="24"/>
            <w:szCs w:val="24"/>
            <w:lang w:val="es-ES"/>
          </w:rPr>
          <w:t>https://ia2.unizar.es/laboratorio/laboratorio-de-valoracion-funcional-y-composicion-corporal</w:t>
        </w:r>
      </w:hyperlink>
      <w:r w:rsidRPr="0051709F">
        <w:rPr>
          <w:rFonts w:asciiTheme="minorHAnsi" w:eastAsiaTheme="minorEastAsia" w:hAnsiTheme="minorHAnsi" w:cstheme="minorHAnsi"/>
          <w:sz w:val="24"/>
          <w:szCs w:val="24"/>
          <w:lang w:val="es-ES"/>
        </w:rPr>
        <w:t>)</w:t>
      </w:r>
    </w:p>
    <w:p w14:paraId="761AC184" w14:textId="2FD6DF50" w:rsidR="00403C72" w:rsidRPr="0051709F" w:rsidRDefault="00403C72" w:rsidP="00E6399B">
      <w:pPr>
        <w:pStyle w:val="Prrafodelista"/>
        <w:numPr>
          <w:ilvl w:val="0"/>
          <w:numId w:val="83"/>
        </w:numPr>
        <w:jc w:val="both"/>
        <w:rPr>
          <w:rFonts w:asciiTheme="minorHAnsi" w:eastAsiaTheme="minorEastAsia" w:hAnsiTheme="minorHAnsi" w:cstheme="minorHAnsi"/>
          <w:sz w:val="24"/>
          <w:szCs w:val="24"/>
          <w:lang w:val="es-ES"/>
        </w:rPr>
      </w:pPr>
      <w:r w:rsidRPr="0051709F">
        <w:rPr>
          <w:rFonts w:asciiTheme="minorHAnsi" w:eastAsiaTheme="minorEastAsia" w:hAnsiTheme="minorHAnsi" w:cstheme="minorHAnsi"/>
          <w:sz w:val="24"/>
          <w:szCs w:val="24"/>
          <w:lang w:val="es-ES"/>
        </w:rPr>
        <w:t>Escuela de Medicina del Deporte de la Universidad de Oviedo (</w:t>
      </w:r>
      <w:hyperlink r:id="rId79" w:history="1">
        <w:r w:rsidRPr="0051709F">
          <w:rPr>
            <w:rStyle w:val="Hipervnculo"/>
            <w:rFonts w:asciiTheme="minorHAnsi" w:eastAsiaTheme="minorEastAsia" w:hAnsiTheme="minorHAnsi" w:cstheme="minorHAnsi"/>
            <w:sz w:val="24"/>
            <w:szCs w:val="24"/>
            <w:lang w:val="es-ES"/>
          </w:rPr>
          <w:t>https://medepor.uniovi.es/escuela/instalaciones</w:t>
        </w:r>
      </w:hyperlink>
      <w:r w:rsidRPr="0051709F">
        <w:rPr>
          <w:rFonts w:asciiTheme="minorHAnsi" w:eastAsiaTheme="minorEastAsia" w:hAnsiTheme="minorHAnsi" w:cstheme="minorHAnsi"/>
          <w:sz w:val="24"/>
          <w:szCs w:val="24"/>
          <w:lang w:val="es-ES"/>
        </w:rPr>
        <w:t>)</w:t>
      </w:r>
    </w:p>
    <w:p w14:paraId="7B7EDBDC" w14:textId="77777777" w:rsidR="00403C72" w:rsidRPr="0051709F" w:rsidRDefault="00403C72" w:rsidP="009B1F89">
      <w:pPr>
        <w:jc w:val="both"/>
        <w:rPr>
          <w:rFonts w:eastAsiaTheme="minorEastAsia" w:cstheme="minorHAnsi"/>
        </w:rPr>
      </w:pPr>
    </w:p>
    <w:p w14:paraId="4CC59150" w14:textId="798971E5" w:rsidR="00403C72" w:rsidRPr="0051709F" w:rsidRDefault="00403C72" w:rsidP="009B1F89">
      <w:pPr>
        <w:jc w:val="both"/>
        <w:rPr>
          <w:rFonts w:eastAsiaTheme="minorEastAsia" w:cstheme="minorHAnsi"/>
        </w:rPr>
      </w:pPr>
      <w:r w:rsidRPr="0051709F">
        <w:rPr>
          <w:rFonts w:eastAsiaTheme="minorEastAsia" w:cstheme="minorHAnsi"/>
        </w:rPr>
        <w:t xml:space="preserve">No </w:t>
      </w:r>
      <w:r w:rsidR="00542550">
        <w:rPr>
          <w:rFonts w:eastAsiaTheme="minorEastAsia" w:cstheme="minorHAnsi"/>
        </w:rPr>
        <w:t>existe</w:t>
      </w:r>
      <w:r w:rsidRPr="0051709F">
        <w:rPr>
          <w:rFonts w:eastAsiaTheme="minorEastAsia" w:cstheme="minorHAnsi"/>
        </w:rPr>
        <w:t xml:space="preserve"> un criterio estándar establecido para valorar la eficacia de los espacios deportivos desde una perspectiva de salud pública. Recientemente, Serrano-Sánchez y Sanchís-</w:t>
      </w:r>
      <w:proofErr w:type="spellStart"/>
      <w:r w:rsidRPr="0051709F">
        <w:rPr>
          <w:rFonts w:eastAsiaTheme="minorEastAsia" w:cstheme="minorHAnsi"/>
        </w:rPr>
        <w:t>Moysi</w:t>
      </w:r>
      <w:proofErr w:type="spellEnd"/>
      <w:r w:rsidRPr="0051709F">
        <w:rPr>
          <w:rFonts w:eastAsiaTheme="minorEastAsia" w:cstheme="minorHAnsi"/>
        </w:rPr>
        <w:t xml:space="preserve"> (2023) han realizado un estudio para valorar qué tipos de espacios son más eficaces desde una perspectiva de salud pública y equidad para adultos en la isla de Gran Canaria. </w:t>
      </w:r>
      <w:r w:rsidR="00D40155">
        <w:rPr>
          <w:rFonts w:eastAsiaTheme="minorEastAsia" w:cstheme="minorHAnsi"/>
        </w:rPr>
        <w:t xml:space="preserve">Entre las </w:t>
      </w:r>
      <w:r w:rsidRPr="0051709F">
        <w:rPr>
          <w:rFonts w:eastAsiaTheme="minorEastAsia" w:cstheme="minorHAnsi"/>
        </w:rPr>
        <w:t xml:space="preserve">conclusiones del estudio </w:t>
      </w:r>
      <w:r w:rsidR="00D40155">
        <w:rPr>
          <w:rFonts w:eastAsiaTheme="minorEastAsia" w:cstheme="minorHAnsi"/>
        </w:rPr>
        <w:t>destacan</w:t>
      </w:r>
      <w:r w:rsidRPr="0051709F">
        <w:rPr>
          <w:rFonts w:eastAsiaTheme="minorEastAsia" w:cstheme="minorHAnsi"/>
        </w:rPr>
        <w:t xml:space="preserve">: </w:t>
      </w:r>
    </w:p>
    <w:p w14:paraId="463464FB" w14:textId="77777777" w:rsidR="00380612" w:rsidRPr="0051709F" w:rsidRDefault="00380612" w:rsidP="009B1F89">
      <w:pPr>
        <w:jc w:val="both"/>
        <w:rPr>
          <w:rFonts w:eastAsiaTheme="minorEastAsia" w:cstheme="minorHAnsi"/>
        </w:rPr>
      </w:pPr>
    </w:p>
    <w:p w14:paraId="526496C8" w14:textId="77777777" w:rsidR="00403C72" w:rsidRPr="0051709F" w:rsidRDefault="00403C72" w:rsidP="009B1F89">
      <w:pPr>
        <w:jc w:val="both"/>
        <w:rPr>
          <w:rFonts w:eastAsia="Calibri" w:cstheme="minorHAnsi"/>
          <w:i/>
          <w:iCs/>
        </w:rPr>
      </w:pPr>
      <w:r w:rsidRPr="0051709F">
        <w:rPr>
          <w:rFonts w:eastAsiaTheme="minorEastAsia" w:cstheme="minorHAnsi"/>
          <w:i/>
          <w:iCs/>
        </w:rPr>
        <w:t xml:space="preserve">“Este estudio mostró que los Espacios Públicos Abiertos (EPA) urbanos acumularon por sí solos más tiempo de uso que el resto de EPA rurales e instalaciones deportivas cubiertas y al aire libre juntos. Los EPA urbanos presentaron por término medio niveles de tiempo de uso acumulado para hacer AF 3,5 veces superiores a las instalaciones deportivas, con una tendencia significativa de ampliación de la brecha con la edad, mayor estatus de peso, menor nivel de estudios y mala salud percibida, hasta alcanzar diferencias de tiempo de uso acumulado 28 veces superiores en los mayores de 65 años </w:t>
      </w:r>
      <w:r w:rsidRPr="0051709F">
        <w:rPr>
          <w:rFonts w:eastAsiaTheme="minorEastAsia" w:cstheme="minorHAnsi"/>
          <w:i/>
          <w:iCs/>
        </w:rPr>
        <w:lastRenderedPageBreak/>
        <w:t xml:space="preserve">a favor de los EPA urbanos vs. instalaciones deportivas </w:t>
      </w:r>
      <w:r w:rsidRPr="0051709F">
        <w:rPr>
          <w:rFonts w:eastAsia="Calibri" w:cstheme="minorHAnsi"/>
          <w:i/>
          <w:iCs/>
        </w:rPr>
        <w:t xml:space="preserve">cubiertas. El uso de EPA urbanos mostró un patrón asociativo contrario al resto de espacios y al nivel recomendado de AF, para la edad, el género, la educación, el IMC y la salud percibida. La reducción del uso de instalaciones deportivas con el aumento de la edad y el IMC y la disminución del nivel de estudios y la salud percibida fue más acusada que el descenso en el nivel recomendado de AF, cuestionando la equidad en el acceso a las instalaciones deportivas y su contribución en el gasto energético de los colectivos con mayor riesgo de salud. Las instalaciones deportivas cubiertas fueron las que mostraron la asociación más fuerte con el logro del nivel recomendado de AF, seguidas de los EPA urbanos, instalaciones deportivas al aire libre y EPA rurales. Este estudio muestra un dilema en las inversiones en instalaciones deportivas con perspectiva de salud pública entre llegar a más gente e invertir en zonas recreativas abiertas para mejorar las condiciones para caminar y facilitar los desplazamientos activos o llegar mejor mediante la construcción de instalaciones deportivas cubiertas.” </w:t>
      </w:r>
    </w:p>
    <w:p w14:paraId="61D8844D" w14:textId="77777777" w:rsidR="00380612" w:rsidRPr="0051709F" w:rsidRDefault="00380612" w:rsidP="009B1F89">
      <w:pPr>
        <w:jc w:val="both"/>
        <w:rPr>
          <w:rFonts w:eastAsia="Calibri" w:cstheme="minorHAnsi"/>
        </w:rPr>
      </w:pPr>
    </w:p>
    <w:p w14:paraId="77F965FF" w14:textId="3068367F" w:rsidR="00403C72" w:rsidRPr="0051709F" w:rsidRDefault="00403C72" w:rsidP="009B1F89">
      <w:pPr>
        <w:jc w:val="both"/>
        <w:rPr>
          <w:rFonts w:cstheme="minorHAnsi"/>
        </w:rPr>
      </w:pPr>
      <w:r w:rsidRPr="0051709F">
        <w:rPr>
          <w:rFonts w:cstheme="minorHAnsi"/>
        </w:rPr>
        <w:t xml:space="preserve">En la resolución del 4 de julio 2022 Sec. III. Pág. 102131 BOE 171 se establece en el punto 4 la creación de estructuras deportivo/comunitarias locales contando con educadores físicos y deportivos que permitan atender eficientemente las derivaciones que generen los profesionales sanitarios. </w:t>
      </w:r>
      <w:r w:rsidR="00662B6B">
        <w:rPr>
          <w:rFonts w:cstheme="minorHAnsi"/>
        </w:rPr>
        <w:t>En lo relativo la c</w:t>
      </w:r>
      <w:r w:rsidRPr="0051709F">
        <w:rPr>
          <w:rFonts w:cstheme="minorHAnsi"/>
        </w:rPr>
        <w:t>reación de Unidades Activas de Ejercicio Físico o denominación equivalente, esta resolución es importante para iniciar la implantación del ejercicio bien dosificado a las patologías derivadas al centro deportivo.</w:t>
      </w:r>
    </w:p>
    <w:p w14:paraId="3B194DA1" w14:textId="77777777" w:rsidR="00380612" w:rsidRPr="0051709F" w:rsidRDefault="00380612" w:rsidP="009B1F89">
      <w:pPr>
        <w:jc w:val="both"/>
        <w:rPr>
          <w:rFonts w:cstheme="minorHAnsi"/>
        </w:rPr>
      </w:pPr>
    </w:p>
    <w:p w14:paraId="35CAE4B1" w14:textId="48879426" w:rsidR="00403C72" w:rsidRPr="0051709F" w:rsidRDefault="00403C72" w:rsidP="009B1F89">
      <w:pPr>
        <w:jc w:val="both"/>
        <w:rPr>
          <w:rFonts w:cstheme="minorHAnsi"/>
        </w:rPr>
      </w:pPr>
      <w:r w:rsidRPr="0051709F">
        <w:rPr>
          <w:rFonts w:cstheme="minorHAnsi"/>
        </w:rPr>
        <w:t xml:space="preserve">Se deberá regular aquellas unidades activas de ejercicio exigiendo a sus profesionales las acreditaciones oportunas que les capaciten para la aplicación de dicha terapia en la patología. </w:t>
      </w:r>
      <w:r w:rsidR="000B50F9">
        <w:rPr>
          <w:rFonts w:cstheme="minorHAnsi"/>
        </w:rPr>
        <w:t>E</w:t>
      </w:r>
      <w:r w:rsidR="00662B6B">
        <w:rPr>
          <w:rFonts w:cstheme="minorHAnsi"/>
        </w:rPr>
        <w:t xml:space="preserve">s recomendable que </w:t>
      </w:r>
      <w:r w:rsidR="000B50F9">
        <w:rPr>
          <w:rFonts w:cstheme="minorHAnsi"/>
        </w:rPr>
        <w:t xml:space="preserve">las Unidades </w:t>
      </w:r>
      <w:r w:rsidR="000B50F9" w:rsidRPr="0051709F">
        <w:rPr>
          <w:rFonts w:cstheme="minorHAnsi"/>
        </w:rPr>
        <w:t>est</w:t>
      </w:r>
      <w:r w:rsidR="000B50F9">
        <w:rPr>
          <w:rFonts w:cstheme="minorHAnsi"/>
        </w:rPr>
        <w:t>én</w:t>
      </w:r>
      <w:r w:rsidRPr="0051709F">
        <w:rPr>
          <w:rFonts w:cstheme="minorHAnsi"/>
        </w:rPr>
        <w:t xml:space="preserve"> formadas por médicos especialistas en medicina deportiva, enfermeros, psicólogos y </w:t>
      </w:r>
      <w:r w:rsidR="000B50F9">
        <w:rPr>
          <w:rFonts w:cstheme="minorHAnsi"/>
        </w:rPr>
        <w:t xml:space="preserve">graduados en </w:t>
      </w:r>
      <w:r w:rsidRPr="0051709F">
        <w:rPr>
          <w:rFonts w:cstheme="minorHAnsi"/>
        </w:rPr>
        <w:t xml:space="preserve">ciencias de la actividad física y el deporte y serán centros donde se </w:t>
      </w:r>
      <w:r w:rsidR="00662B6B">
        <w:rPr>
          <w:rFonts w:cstheme="minorHAnsi"/>
        </w:rPr>
        <w:t xml:space="preserve">pueda </w:t>
      </w:r>
      <w:r w:rsidRPr="0051709F">
        <w:rPr>
          <w:rFonts w:cstheme="minorHAnsi"/>
        </w:rPr>
        <w:t>planifica</w:t>
      </w:r>
      <w:r w:rsidR="00662B6B">
        <w:rPr>
          <w:rFonts w:cstheme="minorHAnsi"/>
        </w:rPr>
        <w:t>r</w:t>
      </w:r>
      <w:r w:rsidRPr="0051709F">
        <w:rPr>
          <w:rFonts w:cstheme="minorHAnsi"/>
        </w:rPr>
        <w:t xml:space="preserve"> la dosis de ejercicio de forma individualizada para la condición física del paciente y para la patología concreta que padezca.</w:t>
      </w:r>
    </w:p>
    <w:p w14:paraId="7D632349" w14:textId="77777777" w:rsidR="00380612" w:rsidRPr="0051709F" w:rsidRDefault="00380612" w:rsidP="009B1F89">
      <w:pPr>
        <w:jc w:val="both"/>
        <w:rPr>
          <w:rFonts w:cstheme="minorHAnsi"/>
        </w:rPr>
      </w:pPr>
    </w:p>
    <w:p w14:paraId="67945F0D" w14:textId="211F0239" w:rsidR="00380612" w:rsidRPr="0051709F" w:rsidRDefault="00403C72" w:rsidP="009B1F89">
      <w:pPr>
        <w:jc w:val="both"/>
        <w:rPr>
          <w:rFonts w:cstheme="minorHAnsi"/>
        </w:rPr>
      </w:pPr>
      <w:r w:rsidRPr="0051709F">
        <w:rPr>
          <w:rFonts w:cstheme="minorHAnsi"/>
        </w:rPr>
        <w:t>Como ya se ha indicado, para</w:t>
      </w:r>
      <w:r w:rsidR="00662B6B">
        <w:rPr>
          <w:rFonts w:cstheme="minorHAnsi"/>
        </w:rPr>
        <w:t xml:space="preserve"> asegurar</w:t>
      </w:r>
      <w:r w:rsidRPr="0051709F">
        <w:rPr>
          <w:rFonts w:cstheme="minorHAnsi"/>
        </w:rPr>
        <w:t xml:space="preserve"> la viabilidad de esta resolución y de la Estrategia Nacional </w:t>
      </w:r>
      <w:r w:rsidR="00662B6B">
        <w:rPr>
          <w:rFonts w:cstheme="minorHAnsi"/>
        </w:rPr>
        <w:t>es preciso</w:t>
      </w:r>
      <w:r w:rsidRPr="0051709F">
        <w:rPr>
          <w:rFonts w:cstheme="minorHAnsi"/>
        </w:rPr>
        <w:t xml:space="preserve"> hacer un mapeo de las unidades existentes e incluirlas en la Estrategia. Dado que el </w:t>
      </w:r>
      <w:r w:rsidR="00662B6B">
        <w:rPr>
          <w:rFonts w:cstheme="minorHAnsi"/>
        </w:rPr>
        <w:t>beneficiario</w:t>
      </w:r>
      <w:r w:rsidR="00662B6B" w:rsidRPr="0051709F">
        <w:rPr>
          <w:rFonts w:cstheme="minorHAnsi"/>
        </w:rPr>
        <w:t xml:space="preserve"> </w:t>
      </w:r>
      <w:r w:rsidRPr="0051709F">
        <w:rPr>
          <w:rFonts w:cstheme="minorHAnsi"/>
        </w:rPr>
        <w:t xml:space="preserve">de la Estrategia es la población española en su conjunto, es fundamental utilizar </w:t>
      </w:r>
      <w:r w:rsidR="00662B6B">
        <w:rPr>
          <w:rFonts w:cstheme="minorHAnsi"/>
        </w:rPr>
        <w:t xml:space="preserve">todos los </w:t>
      </w:r>
      <w:r w:rsidRPr="0051709F">
        <w:rPr>
          <w:rFonts w:cstheme="minorHAnsi"/>
        </w:rPr>
        <w:t>recursos existentes.</w:t>
      </w:r>
    </w:p>
    <w:p w14:paraId="645D170E" w14:textId="77777777" w:rsidR="00380612" w:rsidRPr="0051709F" w:rsidRDefault="00380612" w:rsidP="009B1F89">
      <w:pPr>
        <w:jc w:val="both"/>
        <w:rPr>
          <w:rFonts w:cstheme="minorHAnsi"/>
        </w:rPr>
      </w:pPr>
    </w:p>
    <w:p w14:paraId="50A41F5C" w14:textId="3DA5055F" w:rsidR="00380612" w:rsidRDefault="00403C72" w:rsidP="009B1F89">
      <w:pPr>
        <w:jc w:val="both"/>
        <w:rPr>
          <w:rFonts w:cstheme="minorHAnsi"/>
        </w:rPr>
      </w:pPr>
      <w:r w:rsidRPr="0051709F">
        <w:rPr>
          <w:rFonts w:cstheme="minorHAnsi"/>
        </w:rPr>
        <w:t xml:space="preserve">En este sentido, son varias las CCAA y los </w:t>
      </w:r>
      <w:r w:rsidR="005E0C5F">
        <w:rPr>
          <w:rFonts w:cstheme="minorHAnsi"/>
        </w:rPr>
        <w:t>A</w:t>
      </w:r>
      <w:r w:rsidRPr="0051709F">
        <w:rPr>
          <w:rFonts w:cstheme="minorHAnsi"/>
        </w:rPr>
        <w:t>yuntamientos que han iniciado la puesta en marcha de las Unidades Activas de Ejercicio Físico. A modo de ejemplo, se cita la puesta en marcha en Andalucía</w:t>
      </w:r>
      <w:r w:rsidR="005E0C5F">
        <w:rPr>
          <w:rFonts w:cstheme="minorHAnsi"/>
        </w:rPr>
        <w:t xml:space="preserve"> en colaboración con la Universidad de Granada</w:t>
      </w:r>
      <w:r w:rsidR="008F4778" w:rsidRPr="0051709F">
        <w:rPr>
          <w:rFonts w:cstheme="minorHAnsi"/>
        </w:rPr>
        <w:t>:</w:t>
      </w:r>
    </w:p>
    <w:p w14:paraId="319DEE48" w14:textId="77777777" w:rsidR="00914456" w:rsidRPr="0051709F" w:rsidRDefault="00914456" w:rsidP="009B1F89">
      <w:pPr>
        <w:jc w:val="both"/>
        <w:rPr>
          <w:rFonts w:cstheme="minorHAnsi"/>
        </w:rPr>
      </w:pPr>
    </w:p>
    <w:p w14:paraId="7639FC2C" w14:textId="77777777" w:rsidR="00403C72" w:rsidRPr="0051709F" w:rsidRDefault="00403C72" w:rsidP="00380612">
      <w:pPr>
        <w:jc w:val="center"/>
        <w:rPr>
          <w:rFonts w:cstheme="minorHAnsi"/>
        </w:rPr>
      </w:pPr>
      <w:r w:rsidRPr="0051709F">
        <w:rPr>
          <w:rFonts w:cstheme="minorHAnsi"/>
          <w:noProof/>
          <w:lang w:val="en-GB" w:eastAsia="en-GB"/>
        </w:rPr>
        <w:lastRenderedPageBreak/>
        <w:drawing>
          <wp:inline distT="0" distB="0" distL="0" distR="0" wp14:anchorId="7A8C3042" wp14:editId="6F2449D6">
            <wp:extent cx="4572000" cy="3228975"/>
            <wp:effectExtent l="0" t="0" r="0" b="0"/>
            <wp:docPr id="727640952" name="Imagen 72764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298C1102" w14:textId="77777777" w:rsidR="00403C72" w:rsidRPr="0051709F" w:rsidRDefault="00403C72" w:rsidP="009B1F89">
      <w:pPr>
        <w:jc w:val="both"/>
        <w:rPr>
          <w:rFonts w:cstheme="minorHAnsi"/>
        </w:rPr>
      </w:pPr>
    </w:p>
    <w:p w14:paraId="7D75384A" w14:textId="77777777" w:rsidR="00403C72" w:rsidRPr="0051709F" w:rsidRDefault="00403C72" w:rsidP="009B1F89">
      <w:pPr>
        <w:jc w:val="both"/>
        <w:rPr>
          <w:rFonts w:cstheme="minorHAnsi"/>
        </w:rPr>
      </w:pPr>
    </w:p>
    <w:p w14:paraId="14FD626D" w14:textId="77777777" w:rsidR="00403C72" w:rsidRPr="0051709F" w:rsidRDefault="00403C72" w:rsidP="00380612">
      <w:pPr>
        <w:jc w:val="center"/>
        <w:rPr>
          <w:rFonts w:cstheme="minorHAnsi"/>
        </w:rPr>
      </w:pPr>
      <w:r w:rsidRPr="0051709F">
        <w:rPr>
          <w:rFonts w:cstheme="minorHAnsi"/>
          <w:noProof/>
          <w:lang w:val="en-GB" w:eastAsia="en-GB"/>
        </w:rPr>
        <w:drawing>
          <wp:inline distT="0" distB="0" distL="0" distR="0" wp14:anchorId="5E318C4E" wp14:editId="2DE06607">
            <wp:extent cx="4572000" cy="3238500"/>
            <wp:effectExtent l="0" t="0" r="0" b="0"/>
            <wp:docPr id="896145391" name="Imagen 89614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72000" cy="3238500"/>
                    </a:xfrm>
                    <a:prstGeom prst="rect">
                      <a:avLst/>
                    </a:prstGeom>
                  </pic:spPr>
                </pic:pic>
              </a:graphicData>
            </a:graphic>
          </wp:inline>
        </w:drawing>
      </w:r>
    </w:p>
    <w:p w14:paraId="4911130E" w14:textId="77777777" w:rsidR="00380612" w:rsidRPr="0051709F" w:rsidRDefault="00380612" w:rsidP="009B1F89">
      <w:pPr>
        <w:jc w:val="both"/>
        <w:rPr>
          <w:rFonts w:cstheme="minorHAnsi"/>
        </w:rPr>
      </w:pPr>
    </w:p>
    <w:p w14:paraId="4D9D2EE8" w14:textId="77777777" w:rsidR="00380612" w:rsidRPr="0051709F" w:rsidRDefault="00380612" w:rsidP="009B1F89">
      <w:pPr>
        <w:jc w:val="both"/>
        <w:rPr>
          <w:rFonts w:cstheme="minorHAnsi"/>
        </w:rPr>
      </w:pPr>
    </w:p>
    <w:p w14:paraId="6EC7DB5D" w14:textId="2F14D78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EDUCADORES FÍSICO DEPORTIVOS</w:t>
      </w:r>
    </w:p>
    <w:p w14:paraId="5CA39EBD" w14:textId="77777777" w:rsidR="00380612" w:rsidRPr="0051709F" w:rsidRDefault="00380612" w:rsidP="009B1F89">
      <w:pPr>
        <w:jc w:val="both"/>
        <w:rPr>
          <w:rFonts w:cstheme="minorHAnsi"/>
        </w:rPr>
      </w:pPr>
    </w:p>
    <w:p w14:paraId="0437788C" w14:textId="2929D3E2" w:rsidR="00403C72" w:rsidRPr="0051709F" w:rsidRDefault="00403C72" w:rsidP="009B1F89">
      <w:pPr>
        <w:jc w:val="both"/>
        <w:rPr>
          <w:rFonts w:eastAsiaTheme="minorEastAsia" w:cstheme="minorHAnsi"/>
          <w:color w:val="212121"/>
        </w:rPr>
      </w:pPr>
      <w:r w:rsidRPr="0051709F">
        <w:rPr>
          <w:rFonts w:cstheme="minorHAnsi"/>
        </w:rPr>
        <w:t xml:space="preserve">Como ya se ha indicado, el profesional que debe estar </w:t>
      </w:r>
      <w:r w:rsidR="005E0C5F">
        <w:rPr>
          <w:rFonts w:cstheme="minorHAnsi"/>
        </w:rPr>
        <w:t>que ha de impulsar de una manera más intensa</w:t>
      </w:r>
      <w:r w:rsidRPr="0051709F">
        <w:rPr>
          <w:rFonts w:cstheme="minorHAnsi"/>
        </w:rPr>
        <w:t xml:space="preserve"> </w:t>
      </w:r>
      <w:r w:rsidR="005E0C5F">
        <w:rPr>
          <w:rFonts w:cstheme="minorHAnsi"/>
        </w:rPr>
        <w:t>est</w:t>
      </w:r>
      <w:r w:rsidRPr="0051709F">
        <w:rPr>
          <w:rFonts w:cstheme="minorHAnsi"/>
        </w:rPr>
        <w:t xml:space="preserve">a Estrategia Nacional contra el Sedentarismo y la Inactividad Física </w:t>
      </w:r>
      <w:r w:rsidR="005E0C5F">
        <w:rPr>
          <w:rFonts w:cstheme="minorHAnsi"/>
        </w:rPr>
        <w:t>es</w:t>
      </w:r>
      <w:r w:rsidRPr="0051709F">
        <w:rPr>
          <w:rFonts w:cstheme="minorHAnsi"/>
        </w:rPr>
        <w:t xml:space="preserve"> el Graduado/Licenciado en Ciencias de la Actividad Física y del Deporte. En la revisión realizada por Calonge-Pascual y col. (2017) de los Planes de estudios del Grado en Ciencias de la Actividad Física y del Deporte impartidos por las universidades españolas, los ECTS dedicados a temáticas relacionadas con la promoción, prevención y </w:t>
      </w:r>
      <w:r w:rsidRPr="0051709F">
        <w:rPr>
          <w:rFonts w:cstheme="minorHAnsi"/>
        </w:rPr>
        <w:lastRenderedPageBreak/>
        <w:t>tratamiento de las NDC a través del ejercicio iban de</w:t>
      </w:r>
      <w:r w:rsidRPr="0051709F">
        <w:rPr>
          <w:rFonts w:eastAsiaTheme="minorEastAsia" w:cstheme="minorHAnsi"/>
        </w:rPr>
        <w:t xml:space="preserve"> 2</w:t>
      </w:r>
      <w:r w:rsidRPr="0051709F">
        <w:rPr>
          <w:rFonts w:eastAsiaTheme="minorEastAsia" w:cstheme="minorHAnsi"/>
          <w:color w:val="212121"/>
        </w:rPr>
        <w:t xml:space="preserve">8 a 48 ECTS, correspondiente a un 18% del total de créditos, con variación de una universidad a otra. </w:t>
      </w:r>
    </w:p>
    <w:p w14:paraId="0301646A" w14:textId="77777777" w:rsidR="00380612" w:rsidRPr="0051709F" w:rsidRDefault="00380612" w:rsidP="009B1F89">
      <w:pPr>
        <w:jc w:val="both"/>
        <w:rPr>
          <w:rFonts w:eastAsiaTheme="minorEastAsia" w:cstheme="minorHAnsi"/>
        </w:rPr>
      </w:pPr>
    </w:p>
    <w:p w14:paraId="5F184CC7" w14:textId="007988B1" w:rsidR="00403C72" w:rsidRPr="0051709F" w:rsidRDefault="000B50F9" w:rsidP="009B1F89">
      <w:pPr>
        <w:jc w:val="both"/>
        <w:rPr>
          <w:rFonts w:cstheme="minorHAnsi"/>
        </w:rPr>
      </w:pPr>
      <w:r>
        <w:rPr>
          <w:rFonts w:cstheme="minorHAnsi"/>
        </w:rPr>
        <w:t>Un ejemplo positivo</w:t>
      </w:r>
      <w:r w:rsidR="00A4516F">
        <w:rPr>
          <w:rFonts w:cstheme="minorHAnsi"/>
        </w:rPr>
        <w:t xml:space="preserve"> ha ocurrido ya en</w:t>
      </w:r>
      <w:r w:rsidR="00403C72" w:rsidRPr="0051709F">
        <w:rPr>
          <w:rFonts w:cstheme="minorHAnsi"/>
        </w:rPr>
        <w:t xml:space="preserve"> las Islas Baleares, </w:t>
      </w:r>
      <w:r w:rsidR="00A4516F">
        <w:rPr>
          <w:rFonts w:cstheme="minorHAnsi"/>
        </w:rPr>
        <w:t>incluyendo</w:t>
      </w:r>
      <w:r w:rsidR="00403C72" w:rsidRPr="0051709F">
        <w:rPr>
          <w:rFonts w:cstheme="minorHAnsi"/>
        </w:rPr>
        <w:t xml:space="preserve"> a los Educadores Físico-Deportivos como personal estatutario no sanitario en el Sistema de Salud (Fuente </w:t>
      </w:r>
      <w:hyperlink r:id="rId82" w:history="1">
        <w:r w:rsidR="00380612" w:rsidRPr="0051709F">
          <w:rPr>
            <w:rStyle w:val="Hipervnculo"/>
            <w:rFonts w:cstheme="minorHAnsi"/>
          </w:rPr>
          <w:t>https://www.consejo-colef.es/post/illes-balears-servicio-salud?s=08</w:t>
        </w:r>
      </w:hyperlink>
      <w:r w:rsidR="00403C72" w:rsidRPr="0051709F">
        <w:rPr>
          <w:rFonts w:cstheme="minorHAnsi"/>
        </w:rPr>
        <w:t>):</w:t>
      </w:r>
    </w:p>
    <w:p w14:paraId="2F709350" w14:textId="77777777" w:rsidR="00380612" w:rsidRPr="0051709F" w:rsidRDefault="00380612" w:rsidP="009B1F89">
      <w:pPr>
        <w:jc w:val="both"/>
        <w:rPr>
          <w:rFonts w:cstheme="minorHAnsi"/>
        </w:rPr>
      </w:pPr>
    </w:p>
    <w:p w14:paraId="424657CB" w14:textId="77777777" w:rsidR="00403C72" w:rsidRPr="0051709F" w:rsidRDefault="00403C72" w:rsidP="009B1F89">
      <w:pPr>
        <w:jc w:val="both"/>
        <w:rPr>
          <w:rFonts w:eastAsia="Calibri" w:cstheme="minorHAnsi"/>
          <w:color w:val="2F2E2E"/>
        </w:rPr>
      </w:pPr>
      <w:r w:rsidRPr="0051709F">
        <w:rPr>
          <w:rFonts w:eastAsia="Calibri" w:cstheme="minorHAnsi"/>
          <w:color w:val="2F2E2E"/>
        </w:rPr>
        <w:t>El ‘</w:t>
      </w:r>
      <w:hyperlink r:id="rId83" w:history="1">
        <w:r w:rsidRPr="0051709F">
          <w:rPr>
            <w:rStyle w:val="Hipervnculo"/>
            <w:rFonts w:eastAsia="Calibri" w:cstheme="minorHAnsi"/>
          </w:rPr>
          <w:t>Decreto 26/2023 de 8 de mayo, por el que se crean nuevas categorías de personal estatutario en el ámbito del Servicio de Salud de las Illes Balears</w:t>
        </w:r>
      </w:hyperlink>
      <w:r w:rsidRPr="0051709F">
        <w:rPr>
          <w:rFonts w:eastAsia="Calibri" w:cstheme="minorHAnsi"/>
          <w:color w:val="2F2E2E"/>
        </w:rPr>
        <w:t xml:space="preserve">’, publicado el 9 de mayo de 2023 en el Boletín Oficial de Illes Balears en su artículo 8 crea la </w:t>
      </w:r>
      <w:r w:rsidRPr="0051709F">
        <w:rPr>
          <w:rFonts w:eastAsia="Calibri" w:cstheme="minorHAnsi"/>
          <w:b/>
          <w:bCs/>
          <w:color w:val="2F2E2E"/>
          <w:u w:val="single"/>
        </w:rPr>
        <w:t>categoría de técnico/técnica en educación física</w:t>
      </w:r>
      <w:r w:rsidRPr="0051709F">
        <w:rPr>
          <w:rFonts w:eastAsia="Calibri" w:cstheme="minorHAnsi"/>
          <w:color w:val="2F2E2E"/>
        </w:rPr>
        <w:t xml:space="preserve"> y dice así:</w:t>
      </w:r>
    </w:p>
    <w:p w14:paraId="1FA2D6FF" w14:textId="77777777" w:rsidR="00403C72" w:rsidRPr="0051709F" w:rsidRDefault="00403C72" w:rsidP="009B1F89">
      <w:pPr>
        <w:jc w:val="both"/>
        <w:rPr>
          <w:rFonts w:cstheme="minorHAnsi"/>
        </w:rPr>
      </w:pPr>
    </w:p>
    <w:p w14:paraId="451EBCB8" w14:textId="77777777" w:rsidR="00403C72" w:rsidRPr="0051709F" w:rsidRDefault="00403C72" w:rsidP="009B1F89">
      <w:pPr>
        <w:jc w:val="both"/>
        <w:rPr>
          <w:rFonts w:eastAsia="Calibri" w:cstheme="minorHAnsi"/>
          <w:i/>
          <w:iCs/>
          <w:color w:val="838386"/>
        </w:rPr>
      </w:pPr>
      <w:r w:rsidRPr="0051709F">
        <w:rPr>
          <w:rFonts w:eastAsia="Calibri" w:cstheme="minorHAnsi"/>
          <w:color w:val="838386"/>
        </w:rPr>
        <w:t>«</w:t>
      </w:r>
      <w:r w:rsidRPr="0051709F">
        <w:rPr>
          <w:rFonts w:eastAsia="Calibri" w:cstheme="minorHAnsi"/>
          <w:b/>
          <w:bCs/>
          <w:i/>
          <w:iCs/>
          <w:color w:val="D20014"/>
        </w:rPr>
        <w:t>1.</w:t>
      </w:r>
      <w:r w:rsidRPr="0051709F">
        <w:rPr>
          <w:rFonts w:eastAsia="Calibri" w:cstheme="minorHAnsi"/>
          <w:i/>
          <w:iCs/>
          <w:color w:val="D20014"/>
        </w:rPr>
        <w:t xml:space="preserve"> </w:t>
      </w:r>
      <w:r w:rsidRPr="0051709F">
        <w:rPr>
          <w:rFonts w:eastAsia="Calibri" w:cstheme="minorHAnsi"/>
          <w:i/>
          <w:iCs/>
          <w:color w:val="838386"/>
        </w:rPr>
        <w:t xml:space="preserve">Se crea la </w:t>
      </w:r>
      <w:proofErr w:type="gramStart"/>
      <w:r w:rsidRPr="0051709F">
        <w:rPr>
          <w:rFonts w:eastAsia="Calibri" w:cstheme="minorHAnsi"/>
          <w:i/>
          <w:iCs/>
          <w:color w:val="838386"/>
        </w:rPr>
        <w:t>categoría técnico</w:t>
      </w:r>
      <w:proofErr w:type="gramEnd"/>
      <w:r w:rsidRPr="0051709F">
        <w:rPr>
          <w:rFonts w:eastAsia="Calibri" w:cstheme="minorHAnsi"/>
          <w:i/>
          <w:iCs/>
          <w:color w:val="838386"/>
        </w:rPr>
        <w:t>/técnica en educación física como personal estatutario de gestión y servicios del artículo 7.2.a (apartado 1º) de la Ley 55/2003.</w:t>
      </w:r>
    </w:p>
    <w:p w14:paraId="473AAEA4" w14:textId="77777777" w:rsidR="00403C72" w:rsidRPr="0051709F" w:rsidRDefault="00403C72" w:rsidP="009B1F89">
      <w:pPr>
        <w:jc w:val="both"/>
        <w:rPr>
          <w:rFonts w:eastAsia="Calibri" w:cstheme="minorHAnsi"/>
          <w:i/>
          <w:iCs/>
          <w:color w:val="838386"/>
        </w:rPr>
      </w:pPr>
      <w:r w:rsidRPr="0051709F">
        <w:rPr>
          <w:rFonts w:eastAsia="Calibri" w:cstheme="minorHAnsi"/>
          <w:b/>
          <w:bCs/>
          <w:i/>
          <w:iCs/>
          <w:color w:val="D20014"/>
        </w:rPr>
        <w:t>2.</w:t>
      </w:r>
      <w:r w:rsidRPr="0051709F">
        <w:rPr>
          <w:rFonts w:eastAsia="Calibri" w:cstheme="minorHAnsi"/>
          <w:i/>
          <w:iCs/>
          <w:color w:val="D20014"/>
        </w:rPr>
        <w:t xml:space="preserve"> </w:t>
      </w:r>
      <w:r w:rsidRPr="0051709F">
        <w:rPr>
          <w:rFonts w:eastAsia="Calibri" w:cstheme="minorHAnsi"/>
          <w:i/>
          <w:iCs/>
          <w:color w:val="838386"/>
        </w:rPr>
        <w:t xml:space="preserve">Grupo de clasificación: </w:t>
      </w:r>
      <w:r w:rsidRPr="0051709F">
        <w:rPr>
          <w:rFonts w:eastAsia="Calibri" w:cstheme="minorHAnsi"/>
          <w:b/>
          <w:bCs/>
          <w:i/>
          <w:iCs/>
          <w:color w:val="000000" w:themeColor="text1"/>
        </w:rPr>
        <w:t>subgrupo A1</w:t>
      </w:r>
      <w:r w:rsidRPr="0051709F">
        <w:rPr>
          <w:rFonts w:eastAsia="Calibri" w:cstheme="minorHAnsi"/>
          <w:i/>
          <w:iCs/>
          <w:color w:val="838386"/>
        </w:rPr>
        <w:t>.</w:t>
      </w:r>
    </w:p>
    <w:p w14:paraId="314AB494" w14:textId="77777777" w:rsidR="00403C72" w:rsidRPr="0051709F" w:rsidRDefault="00403C72" w:rsidP="009B1F89">
      <w:pPr>
        <w:jc w:val="both"/>
        <w:rPr>
          <w:rFonts w:eastAsia="Calibri" w:cstheme="minorHAnsi"/>
          <w:i/>
          <w:iCs/>
          <w:color w:val="838386"/>
        </w:rPr>
      </w:pPr>
      <w:r w:rsidRPr="0051709F">
        <w:rPr>
          <w:rFonts w:eastAsia="Calibri" w:cstheme="minorHAnsi"/>
          <w:b/>
          <w:bCs/>
          <w:i/>
          <w:iCs/>
          <w:color w:val="D20014"/>
        </w:rPr>
        <w:t>3.</w:t>
      </w:r>
      <w:r w:rsidRPr="0051709F">
        <w:rPr>
          <w:rFonts w:eastAsia="Calibri" w:cstheme="minorHAnsi"/>
          <w:i/>
          <w:iCs/>
          <w:color w:val="838386"/>
        </w:rPr>
        <w:t xml:space="preserve"> Titulación exigida para acceder: grado en Ciencias de la Actividad Física y del Deporte o un título universitario oficial equivalente que, de acuerdo con los planes de estudio vigentes, habilite para ejercer las actividades de carácter profesional relacionadas con las funciones asignadas a la categoría.</w:t>
      </w:r>
    </w:p>
    <w:p w14:paraId="19FE53EE" w14:textId="77777777" w:rsidR="00403C72" w:rsidRPr="0051709F" w:rsidRDefault="00403C72" w:rsidP="009B1F89">
      <w:pPr>
        <w:jc w:val="both"/>
        <w:rPr>
          <w:rFonts w:eastAsia="Calibri" w:cstheme="minorHAnsi"/>
          <w:i/>
          <w:iCs/>
          <w:color w:val="838386"/>
        </w:rPr>
      </w:pPr>
    </w:p>
    <w:p w14:paraId="4CE693D9" w14:textId="77777777" w:rsidR="00403C72" w:rsidRPr="0051709F" w:rsidRDefault="00403C72" w:rsidP="00380612">
      <w:pPr>
        <w:jc w:val="center"/>
        <w:rPr>
          <w:rFonts w:cstheme="minorHAnsi"/>
        </w:rPr>
      </w:pPr>
      <w:r w:rsidRPr="0051709F">
        <w:rPr>
          <w:rFonts w:cstheme="minorHAnsi"/>
          <w:noProof/>
          <w:lang w:val="en-GB" w:eastAsia="en-GB"/>
        </w:rPr>
        <w:drawing>
          <wp:inline distT="0" distB="0" distL="0" distR="0" wp14:anchorId="14B6DE48" wp14:editId="06A1A393">
            <wp:extent cx="2683240" cy="3355983"/>
            <wp:effectExtent l="0" t="0" r="0" b="0"/>
            <wp:docPr id="793343600" name="Imagen 79334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691038" cy="3365736"/>
                    </a:xfrm>
                    <a:prstGeom prst="rect">
                      <a:avLst/>
                    </a:prstGeom>
                  </pic:spPr>
                </pic:pic>
              </a:graphicData>
            </a:graphic>
          </wp:inline>
        </w:drawing>
      </w:r>
    </w:p>
    <w:p w14:paraId="44C2C320" w14:textId="77777777" w:rsidR="00403C72" w:rsidRPr="0051709F" w:rsidRDefault="00403C72" w:rsidP="009B1F89">
      <w:pPr>
        <w:jc w:val="both"/>
        <w:rPr>
          <w:rFonts w:cstheme="minorHAnsi"/>
        </w:rPr>
      </w:pPr>
    </w:p>
    <w:p w14:paraId="7EC46D8D" w14:textId="77777777" w:rsidR="00403C72" w:rsidRPr="009C7738" w:rsidRDefault="00403C72" w:rsidP="009B1F89">
      <w:pPr>
        <w:jc w:val="both"/>
        <w:rPr>
          <w:rFonts w:eastAsia="Calibri" w:cstheme="minorHAnsi"/>
          <w:i/>
          <w:iCs/>
          <w:color w:val="838386"/>
        </w:rPr>
      </w:pPr>
      <w:r w:rsidRPr="0051709F">
        <w:rPr>
          <w:rFonts w:eastAsia="Calibri" w:cstheme="minorHAnsi"/>
          <w:b/>
          <w:bCs/>
          <w:i/>
          <w:iCs/>
          <w:color w:val="D20014"/>
        </w:rPr>
        <w:t xml:space="preserve">4. </w:t>
      </w:r>
      <w:r w:rsidRPr="009C7738">
        <w:rPr>
          <w:rFonts w:eastAsia="Calibri" w:cstheme="minorHAnsi"/>
          <w:i/>
          <w:iCs/>
          <w:color w:val="838386"/>
        </w:rPr>
        <w:t>Funciones:</w:t>
      </w:r>
    </w:p>
    <w:p w14:paraId="0CBF82B4" w14:textId="77777777" w:rsidR="009C7738" w:rsidRDefault="00403C72" w:rsidP="00420346">
      <w:pPr>
        <w:pStyle w:val="Prrafodelista"/>
        <w:numPr>
          <w:ilvl w:val="0"/>
          <w:numId w:val="36"/>
        </w:numPr>
        <w:jc w:val="both"/>
        <w:rPr>
          <w:rFonts w:asciiTheme="minorHAnsi" w:eastAsia="Calibri" w:hAnsiTheme="minorHAnsi" w:cstheme="minorHAnsi"/>
          <w:i/>
          <w:iCs/>
          <w:color w:val="838386"/>
          <w:sz w:val="24"/>
          <w:szCs w:val="24"/>
          <w:lang w:val="es-ES"/>
        </w:rPr>
      </w:pPr>
      <w:r w:rsidRPr="009C7738">
        <w:rPr>
          <w:rFonts w:asciiTheme="minorHAnsi" w:eastAsia="Calibri" w:hAnsiTheme="minorHAnsi" w:cstheme="minorHAnsi"/>
          <w:i/>
          <w:iCs/>
          <w:color w:val="838386"/>
          <w:sz w:val="24"/>
          <w:szCs w:val="24"/>
          <w:lang w:val="es-ES"/>
        </w:rPr>
        <w:t>Analizar, planificar, implementar, controlar y evaluar de manera técnico-científica el ejercicio físico como herramienta complementaria e integradora a los tratamientos de carácter sanitario de acuerdo con las pautas, las recomendaciones, el criterio y/o la prescripción de los y las profesionales sanitarios.</w:t>
      </w:r>
    </w:p>
    <w:p w14:paraId="7594F800" w14:textId="77777777" w:rsidR="009C7738" w:rsidRDefault="00403C72" w:rsidP="008B798D">
      <w:pPr>
        <w:pStyle w:val="Prrafodelista"/>
        <w:numPr>
          <w:ilvl w:val="0"/>
          <w:numId w:val="36"/>
        </w:numPr>
        <w:jc w:val="both"/>
        <w:rPr>
          <w:rFonts w:asciiTheme="minorHAnsi" w:eastAsia="Calibri" w:hAnsiTheme="minorHAnsi" w:cstheme="minorHAnsi"/>
          <w:i/>
          <w:iCs/>
          <w:color w:val="838386"/>
          <w:sz w:val="24"/>
          <w:szCs w:val="24"/>
          <w:lang w:val="es-ES"/>
        </w:rPr>
      </w:pPr>
      <w:r w:rsidRPr="009C7738">
        <w:rPr>
          <w:rFonts w:asciiTheme="minorHAnsi" w:eastAsia="Calibri" w:hAnsiTheme="minorHAnsi" w:cstheme="minorHAnsi"/>
          <w:i/>
          <w:iCs/>
          <w:color w:val="838386"/>
          <w:sz w:val="24"/>
          <w:szCs w:val="24"/>
          <w:lang w:val="es-ES"/>
        </w:rPr>
        <w:lastRenderedPageBreak/>
        <w:t>Asesorar y orientar a los pacientes en la práctica físico-deportiva más adecuada a su estado de salud de acuerdo con las pautas y las recomendaciones del resto de profesionales sanitarios.</w:t>
      </w:r>
    </w:p>
    <w:p w14:paraId="074262A8" w14:textId="77777777" w:rsidR="009C7738" w:rsidRDefault="00403C72" w:rsidP="00D108E3">
      <w:pPr>
        <w:pStyle w:val="Prrafodelista"/>
        <w:numPr>
          <w:ilvl w:val="0"/>
          <w:numId w:val="36"/>
        </w:numPr>
        <w:jc w:val="both"/>
        <w:rPr>
          <w:rFonts w:asciiTheme="minorHAnsi" w:eastAsia="Calibri" w:hAnsiTheme="minorHAnsi" w:cstheme="minorHAnsi"/>
          <w:i/>
          <w:iCs/>
          <w:color w:val="838386"/>
          <w:sz w:val="24"/>
          <w:szCs w:val="24"/>
          <w:lang w:val="es-ES"/>
        </w:rPr>
      </w:pPr>
      <w:r w:rsidRPr="009C7738">
        <w:rPr>
          <w:rFonts w:asciiTheme="minorHAnsi" w:eastAsia="Calibri" w:hAnsiTheme="minorHAnsi" w:cstheme="minorHAnsi"/>
          <w:i/>
          <w:iCs/>
          <w:color w:val="838386"/>
          <w:sz w:val="24"/>
          <w:szCs w:val="24"/>
          <w:lang w:val="es-ES"/>
        </w:rPr>
        <w:t>Participar en la promoción y la protección de la salud de las personas garantizando que la educación física, la actividad física y el deporte se hagan en condiciones adecuadas.</w:t>
      </w:r>
    </w:p>
    <w:p w14:paraId="6670CC4F" w14:textId="34284095" w:rsidR="00403C72" w:rsidRPr="009C7738" w:rsidRDefault="00403C72" w:rsidP="00D108E3">
      <w:pPr>
        <w:pStyle w:val="Prrafodelista"/>
        <w:numPr>
          <w:ilvl w:val="0"/>
          <w:numId w:val="36"/>
        </w:numPr>
        <w:jc w:val="both"/>
        <w:rPr>
          <w:rFonts w:asciiTheme="minorHAnsi" w:eastAsia="Calibri" w:hAnsiTheme="minorHAnsi" w:cstheme="minorHAnsi"/>
          <w:i/>
          <w:iCs/>
          <w:color w:val="838386"/>
          <w:sz w:val="24"/>
          <w:szCs w:val="24"/>
          <w:lang w:val="es-ES"/>
        </w:rPr>
      </w:pPr>
      <w:r w:rsidRPr="009C7738">
        <w:rPr>
          <w:rFonts w:asciiTheme="minorHAnsi" w:eastAsia="Calibri" w:hAnsiTheme="minorHAnsi" w:cstheme="minorHAnsi"/>
          <w:i/>
          <w:iCs/>
          <w:color w:val="838386"/>
          <w:sz w:val="24"/>
          <w:szCs w:val="24"/>
          <w:lang w:val="es-ES"/>
        </w:rPr>
        <w:t>Cualquier otra función relacionada con las anteriores por razón de su contenido y finalidad.</w:t>
      </w:r>
    </w:p>
    <w:p w14:paraId="64EC6BC6" w14:textId="77777777" w:rsidR="009C7738" w:rsidRDefault="009C7738" w:rsidP="009B1F89">
      <w:pPr>
        <w:jc w:val="both"/>
        <w:rPr>
          <w:rFonts w:eastAsia="Calibri" w:cstheme="minorHAnsi"/>
          <w:b/>
          <w:bCs/>
          <w:i/>
          <w:iCs/>
          <w:color w:val="000000" w:themeColor="text1"/>
        </w:rPr>
      </w:pPr>
    </w:p>
    <w:p w14:paraId="105AE112" w14:textId="723135DE" w:rsidR="00403C72" w:rsidRPr="009C7738" w:rsidRDefault="00403C72" w:rsidP="009B1F89">
      <w:pPr>
        <w:jc w:val="both"/>
        <w:rPr>
          <w:rFonts w:eastAsia="Calibri" w:cstheme="minorHAnsi"/>
          <w:i/>
          <w:iCs/>
          <w:color w:val="838386"/>
        </w:rPr>
      </w:pPr>
      <w:r w:rsidRPr="009C7738">
        <w:rPr>
          <w:rFonts w:eastAsia="Calibri" w:cstheme="minorHAnsi"/>
          <w:b/>
          <w:bCs/>
          <w:i/>
          <w:iCs/>
          <w:color w:val="FF0000"/>
        </w:rPr>
        <w:t>5.</w:t>
      </w:r>
      <w:r w:rsidRPr="004B5891">
        <w:rPr>
          <w:rFonts w:eastAsia="Calibri" w:cstheme="minorHAnsi"/>
          <w:b/>
          <w:bCs/>
          <w:i/>
          <w:iCs/>
          <w:color w:val="000000" w:themeColor="text1"/>
        </w:rPr>
        <w:t xml:space="preserve"> </w:t>
      </w:r>
      <w:r w:rsidRPr="009C7738">
        <w:rPr>
          <w:rFonts w:eastAsia="Calibri" w:cstheme="minorHAnsi"/>
          <w:i/>
          <w:iCs/>
          <w:color w:val="838386"/>
        </w:rPr>
        <w:t>Retribuciones: las mismas que correspondan a la categoría de técnico/técnica superior de administración y gestión».</w:t>
      </w:r>
    </w:p>
    <w:p w14:paraId="0A745D45" w14:textId="18CF884C" w:rsidR="00403C72" w:rsidRPr="00DA6852" w:rsidRDefault="00403C72" w:rsidP="009C7738">
      <w:pPr>
        <w:jc w:val="both"/>
        <w:rPr>
          <w:rFonts w:cstheme="minorHAnsi"/>
          <w:i/>
          <w:iCs/>
        </w:rPr>
      </w:pPr>
      <w:r w:rsidRPr="009C7738">
        <w:rPr>
          <w:rFonts w:eastAsia="Calibri" w:cstheme="minorHAnsi"/>
          <w:i/>
          <w:iCs/>
          <w:color w:val="838386"/>
        </w:rPr>
        <w:br/>
      </w:r>
      <w:r w:rsidRPr="00DA6852">
        <w:rPr>
          <w:rFonts w:cstheme="minorHAnsi"/>
          <w:i/>
          <w:iCs/>
        </w:rPr>
        <w:t>OTRAS INSTITUCIONES O AGENTES QUE SE PUEDEN/DEBEN IMPLICAR EN LA ESTRATEGIA</w:t>
      </w:r>
    </w:p>
    <w:p w14:paraId="2668D9A4" w14:textId="77777777" w:rsidR="00380612" w:rsidRPr="00DA6852" w:rsidRDefault="00380612" w:rsidP="007B667D">
      <w:pPr>
        <w:pStyle w:val="Prrafodelista"/>
        <w:jc w:val="both"/>
        <w:rPr>
          <w:rFonts w:cstheme="minorHAnsi"/>
          <w:i/>
          <w:iCs/>
          <w:lang w:val="es-ES"/>
        </w:rPr>
      </w:pPr>
    </w:p>
    <w:p w14:paraId="2D2AE1DB" w14:textId="0A62BEB9" w:rsidR="00403C72" w:rsidRPr="0051709F" w:rsidRDefault="00403C72" w:rsidP="009B1F89">
      <w:pPr>
        <w:jc w:val="both"/>
        <w:rPr>
          <w:rFonts w:cstheme="minorHAnsi"/>
        </w:rPr>
      </w:pPr>
      <w:r w:rsidRPr="0051709F">
        <w:rPr>
          <w:rFonts w:cstheme="minorHAnsi"/>
        </w:rPr>
        <w:t xml:space="preserve">Además de los ya citados, </w:t>
      </w:r>
      <w:r w:rsidR="00A4516F">
        <w:rPr>
          <w:rFonts w:cstheme="minorHAnsi"/>
        </w:rPr>
        <w:t>podrían</w:t>
      </w:r>
      <w:r w:rsidRPr="0051709F">
        <w:rPr>
          <w:rFonts w:cstheme="minorHAnsi"/>
        </w:rPr>
        <w:t xml:space="preserve"> formar parte de la Estrategia en su vertiente de salud y de colaboración con el SNS, las siguientes instituciones</w:t>
      </w:r>
      <w:r w:rsidR="00A4516F">
        <w:rPr>
          <w:rFonts w:cstheme="minorHAnsi"/>
        </w:rPr>
        <w:t>,</w:t>
      </w:r>
      <w:r w:rsidRPr="0051709F">
        <w:rPr>
          <w:rFonts w:cstheme="minorHAnsi"/>
        </w:rPr>
        <w:t xml:space="preserve"> con el fin de apoyar el mensaje en todos los grupos de población: </w:t>
      </w:r>
    </w:p>
    <w:p w14:paraId="79490FA2" w14:textId="77777777" w:rsidR="00380612" w:rsidRPr="0051709F" w:rsidRDefault="00380612" w:rsidP="009B1F89">
      <w:pPr>
        <w:jc w:val="both"/>
        <w:rPr>
          <w:rFonts w:cstheme="minorHAnsi"/>
        </w:rPr>
      </w:pPr>
    </w:p>
    <w:p w14:paraId="61275477" w14:textId="48A48B63" w:rsidR="00403C72" w:rsidRPr="0051709F" w:rsidRDefault="00403C72" w:rsidP="00E6399B">
      <w:pPr>
        <w:pStyle w:val="Prrafodelista"/>
        <w:numPr>
          <w:ilvl w:val="0"/>
          <w:numId w:val="8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Instituciones educativas: Escuelas infantiles, colegios, institutos, universidades</w:t>
      </w:r>
      <w:r w:rsidR="00A4516F">
        <w:rPr>
          <w:rFonts w:asciiTheme="minorHAnsi" w:hAnsiTheme="minorHAnsi" w:cstheme="minorHAnsi"/>
          <w:sz w:val="24"/>
          <w:szCs w:val="24"/>
          <w:lang w:val="es-ES"/>
        </w:rPr>
        <w:t>.</w:t>
      </w:r>
    </w:p>
    <w:p w14:paraId="3CE04521" w14:textId="093B65A6" w:rsidR="00403C72" w:rsidRPr="007B667D" w:rsidRDefault="00403C72" w:rsidP="00E6399B">
      <w:pPr>
        <w:pStyle w:val="Prrafodelista"/>
        <w:numPr>
          <w:ilvl w:val="0"/>
          <w:numId w:val="8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Empresas públicas y privadas, tanto Pymes como grandes empresas. Incluir a los </w:t>
      </w:r>
      <w:r w:rsidR="00A4516F" w:rsidRPr="007B667D">
        <w:rPr>
          <w:rFonts w:asciiTheme="minorHAnsi" w:hAnsiTheme="minorHAnsi" w:cstheme="minorHAnsi"/>
          <w:sz w:val="24"/>
          <w:szCs w:val="24"/>
          <w:lang w:val="es-ES"/>
        </w:rPr>
        <w:t>m</w:t>
      </w:r>
      <w:r w:rsidRPr="007B667D">
        <w:rPr>
          <w:rFonts w:asciiTheme="minorHAnsi" w:hAnsiTheme="minorHAnsi" w:cstheme="minorHAnsi"/>
          <w:sz w:val="24"/>
          <w:szCs w:val="24"/>
          <w:lang w:val="es-ES"/>
        </w:rPr>
        <w:t>édicos especialistas en Medicina del Trabajo y Mutuas.</w:t>
      </w:r>
    </w:p>
    <w:p w14:paraId="02C8CC0C" w14:textId="03FD0B6E" w:rsidR="00403C72" w:rsidRPr="0051709F" w:rsidRDefault="00403C72" w:rsidP="00E6399B">
      <w:pPr>
        <w:pStyle w:val="Prrafodelista"/>
        <w:numPr>
          <w:ilvl w:val="0"/>
          <w:numId w:val="8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Centros de día y residencias de mayores</w:t>
      </w:r>
      <w:r w:rsidR="00A4516F">
        <w:rPr>
          <w:rFonts w:asciiTheme="minorHAnsi" w:hAnsiTheme="minorHAnsi" w:cstheme="minorHAnsi"/>
          <w:sz w:val="24"/>
          <w:szCs w:val="24"/>
          <w:lang w:val="es-ES"/>
        </w:rPr>
        <w:t>.</w:t>
      </w:r>
    </w:p>
    <w:p w14:paraId="6C489FA7" w14:textId="1DAC206D" w:rsidR="00403C72" w:rsidRPr="00DA6852" w:rsidRDefault="00403C72" w:rsidP="00E6399B">
      <w:pPr>
        <w:pStyle w:val="Prrafodelista"/>
        <w:numPr>
          <w:ilvl w:val="0"/>
          <w:numId w:val="84"/>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Gimnasios y centros de fitness</w:t>
      </w:r>
      <w:r w:rsidR="00A4516F" w:rsidRPr="00DA6852">
        <w:rPr>
          <w:rFonts w:asciiTheme="minorHAnsi" w:hAnsiTheme="minorHAnsi" w:cstheme="minorHAnsi"/>
          <w:sz w:val="24"/>
          <w:szCs w:val="24"/>
          <w:lang w:val="es-ES"/>
        </w:rPr>
        <w:t>.</w:t>
      </w:r>
    </w:p>
    <w:p w14:paraId="3921CBD2" w14:textId="086E5943" w:rsidR="00403C72" w:rsidRPr="0051709F" w:rsidRDefault="00403C72" w:rsidP="00E6399B">
      <w:pPr>
        <w:pStyle w:val="Prrafodelista"/>
        <w:numPr>
          <w:ilvl w:val="0"/>
          <w:numId w:val="84"/>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t>Club</w:t>
      </w:r>
      <w:r w:rsidR="00A4516F">
        <w:rPr>
          <w:rFonts w:asciiTheme="minorHAnsi" w:hAnsiTheme="minorHAnsi" w:cstheme="minorHAnsi"/>
          <w:sz w:val="24"/>
          <w:szCs w:val="24"/>
        </w:rPr>
        <w:t>e</w:t>
      </w:r>
      <w:r w:rsidRPr="0051709F">
        <w:rPr>
          <w:rFonts w:asciiTheme="minorHAnsi" w:hAnsiTheme="minorHAnsi" w:cstheme="minorHAnsi"/>
          <w:sz w:val="24"/>
          <w:szCs w:val="24"/>
        </w:rPr>
        <w:t>s</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deportivos</w:t>
      </w:r>
      <w:proofErr w:type="spellEnd"/>
      <w:r w:rsidR="00A4516F">
        <w:rPr>
          <w:rFonts w:asciiTheme="minorHAnsi" w:hAnsiTheme="minorHAnsi" w:cstheme="minorHAnsi"/>
          <w:sz w:val="24"/>
          <w:szCs w:val="24"/>
        </w:rPr>
        <w:t>.</w:t>
      </w:r>
    </w:p>
    <w:p w14:paraId="60951553" w14:textId="0C630E06" w:rsidR="00403C72" w:rsidRPr="0051709F" w:rsidRDefault="00403C72" w:rsidP="00E6399B">
      <w:pPr>
        <w:pStyle w:val="Prrafodelista"/>
        <w:numPr>
          <w:ilvl w:val="0"/>
          <w:numId w:val="84"/>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t>Federaciones</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deportivas</w:t>
      </w:r>
      <w:proofErr w:type="spellEnd"/>
      <w:r w:rsidR="00A4516F">
        <w:rPr>
          <w:rFonts w:asciiTheme="minorHAnsi" w:hAnsiTheme="minorHAnsi" w:cstheme="minorHAnsi"/>
          <w:sz w:val="24"/>
          <w:szCs w:val="24"/>
        </w:rPr>
        <w:t>.</w:t>
      </w:r>
    </w:p>
    <w:p w14:paraId="525FE96B" w14:textId="77777777" w:rsidR="00403C72" w:rsidRPr="0051709F" w:rsidRDefault="00403C72" w:rsidP="009B1F89">
      <w:pPr>
        <w:jc w:val="both"/>
        <w:rPr>
          <w:rFonts w:cstheme="minorHAnsi"/>
        </w:rPr>
      </w:pPr>
    </w:p>
    <w:p w14:paraId="78EA62C7" w14:textId="77777777" w:rsidR="00380612" w:rsidRPr="0051709F" w:rsidRDefault="00380612" w:rsidP="009B1F89">
      <w:pPr>
        <w:jc w:val="both"/>
        <w:rPr>
          <w:rFonts w:cstheme="minorHAnsi"/>
          <w:b/>
        </w:rPr>
      </w:pPr>
    </w:p>
    <w:p w14:paraId="448A86A9" w14:textId="1DE26245" w:rsidR="00403C72" w:rsidRPr="0051709F" w:rsidRDefault="00403C72" w:rsidP="009B1F89">
      <w:pPr>
        <w:jc w:val="both"/>
        <w:rPr>
          <w:rFonts w:cstheme="minorHAnsi"/>
          <w:b/>
        </w:rPr>
      </w:pPr>
      <w:r w:rsidRPr="0051709F">
        <w:rPr>
          <w:rFonts w:cstheme="minorHAnsi"/>
          <w:b/>
        </w:rPr>
        <w:t>FORMACIÓN</w:t>
      </w:r>
      <w:r w:rsidR="00A4516F">
        <w:rPr>
          <w:rFonts w:cstheme="minorHAnsi"/>
          <w:b/>
        </w:rPr>
        <w:t xml:space="preserve"> EN EL ÁMBITO DE LA SALUD:</w:t>
      </w:r>
    </w:p>
    <w:p w14:paraId="6B1E4EB4" w14:textId="77777777" w:rsidR="00380612" w:rsidRPr="0051709F" w:rsidRDefault="00380612" w:rsidP="009B1F89">
      <w:pPr>
        <w:jc w:val="both"/>
        <w:rPr>
          <w:rFonts w:cstheme="minorHAnsi"/>
          <w:b/>
        </w:rPr>
      </w:pPr>
    </w:p>
    <w:p w14:paraId="115CE49A" w14:textId="35D0E224" w:rsidR="00403C72" w:rsidRPr="0051709F" w:rsidRDefault="000B50F9" w:rsidP="009B1F89">
      <w:pPr>
        <w:jc w:val="both"/>
        <w:rPr>
          <w:rFonts w:cstheme="minorHAnsi"/>
        </w:rPr>
      </w:pPr>
      <w:r w:rsidRPr="0051709F">
        <w:rPr>
          <w:rFonts w:cstheme="minorHAnsi"/>
        </w:rPr>
        <w:t>En relación con</w:t>
      </w:r>
      <w:r w:rsidR="00403C72" w:rsidRPr="0051709F">
        <w:rPr>
          <w:rFonts w:cstheme="minorHAnsi"/>
        </w:rPr>
        <w:t xml:space="preserve"> la formación, se debería diferenciar entre formación continuada y formación reglada</w:t>
      </w:r>
      <w:r w:rsidR="00A4516F">
        <w:rPr>
          <w:rFonts w:cstheme="minorHAnsi"/>
        </w:rPr>
        <w:t xml:space="preserve">, </w:t>
      </w:r>
      <w:r w:rsidR="00403C72" w:rsidRPr="0051709F">
        <w:rPr>
          <w:rFonts w:cstheme="minorHAnsi"/>
        </w:rPr>
        <w:t>nivel de FP, Grado, Máster, Doctorado.</w:t>
      </w:r>
    </w:p>
    <w:p w14:paraId="10517663" w14:textId="77777777" w:rsidR="00380612" w:rsidRPr="0051709F" w:rsidRDefault="00380612" w:rsidP="009B1F89">
      <w:pPr>
        <w:jc w:val="both"/>
        <w:rPr>
          <w:rFonts w:cstheme="minorHAnsi"/>
        </w:rPr>
      </w:pPr>
    </w:p>
    <w:p w14:paraId="33BAAE4E"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FORMACIÓN CONTINUADA</w:t>
      </w:r>
    </w:p>
    <w:p w14:paraId="0ADB30F5" w14:textId="77777777" w:rsidR="00380612" w:rsidRPr="0051709F" w:rsidRDefault="00380612" w:rsidP="009B1F89">
      <w:pPr>
        <w:jc w:val="both"/>
        <w:rPr>
          <w:rFonts w:cstheme="minorHAnsi"/>
          <w:u w:val="single"/>
        </w:rPr>
      </w:pPr>
    </w:p>
    <w:p w14:paraId="1BBDAF52" w14:textId="4AB28F93" w:rsidR="00403C72" w:rsidRPr="0051709F" w:rsidRDefault="00403C72" w:rsidP="009B1F89">
      <w:pPr>
        <w:jc w:val="both"/>
        <w:rPr>
          <w:rFonts w:cstheme="minorHAnsi"/>
        </w:rPr>
      </w:pPr>
      <w:r w:rsidRPr="0051709F">
        <w:rPr>
          <w:rFonts w:cstheme="minorHAnsi"/>
        </w:rPr>
        <w:t xml:space="preserve">Todos los estudios han puesto de manifiesto la falta de formación específica de los profesionales sanitarios para la promoción y la prescripción de ejercicio físico.  Asimismo, los graduados y licenciados en ciencias del deporte </w:t>
      </w:r>
      <w:r w:rsidR="008F4778" w:rsidRPr="0051709F">
        <w:rPr>
          <w:rFonts w:cstheme="minorHAnsi"/>
        </w:rPr>
        <w:t>no tienen la suficiente</w:t>
      </w:r>
      <w:r w:rsidRPr="0051709F">
        <w:rPr>
          <w:rFonts w:cstheme="minorHAnsi"/>
        </w:rPr>
        <w:t xml:space="preserve"> formación específica relacionada con el ejercicio en patología. </w:t>
      </w:r>
    </w:p>
    <w:p w14:paraId="6B1BCE66" w14:textId="77777777" w:rsidR="00380612" w:rsidRPr="0051709F" w:rsidRDefault="00380612" w:rsidP="009B1F89">
      <w:pPr>
        <w:jc w:val="both"/>
        <w:rPr>
          <w:rFonts w:cstheme="minorHAnsi"/>
        </w:rPr>
      </w:pPr>
    </w:p>
    <w:p w14:paraId="56FB8D1E" w14:textId="724DADBC" w:rsidR="00403C72" w:rsidRPr="0051709F" w:rsidRDefault="00403C72" w:rsidP="009B1F89">
      <w:pPr>
        <w:jc w:val="both"/>
        <w:rPr>
          <w:rFonts w:cstheme="minorHAnsi"/>
        </w:rPr>
      </w:pPr>
      <w:r w:rsidRPr="0051709F">
        <w:rPr>
          <w:rFonts w:cstheme="minorHAnsi"/>
        </w:rPr>
        <w:t xml:space="preserve">No se debe olvidar que la fisiología del ejercicio es una materia desconocida por médicos y enfermeras, y es fundamental comprender las adaptaciones que produce la práctica regular de ejercicio físico en el organismo. Asimismo, es fundamental conocer la importancia que tiene la dosis adecuada de ejercicio físico, el estímulo que recibe, </w:t>
      </w:r>
      <w:r w:rsidR="00A4516F">
        <w:rPr>
          <w:rFonts w:cstheme="minorHAnsi"/>
        </w:rPr>
        <w:t xml:space="preserve">o </w:t>
      </w:r>
      <w:r w:rsidRPr="0051709F">
        <w:rPr>
          <w:rFonts w:cstheme="minorHAnsi"/>
        </w:rPr>
        <w:t>la intensidad</w:t>
      </w:r>
      <w:r w:rsidR="00A4516F">
        <w:rPr>
          <w:rFonts w:cstheme="minorHAnsi"/>
        </w:rPr>
        <w:t xml:space="preserve"> entre otros.</w:t>
      </w:r>
      <w:r w:rsidRPr="0051709F">
        <w:rPr>
          <w:rFonts w:cstheme="minorHAnsi"/>
        </w:rPr>
        <w:t xml:space="preserve"> </w:t>
      </w:r>
    </w:p>
    <w:p w14:paraId="77212FB0" w14:textId="77777777" w:rsidR="00380612" w:rsidRPr="0051709F" w:rsidRDefault="00380612" w:rsidP="009B1F89">
      <w:pPr>
        <w:jc w:val="both"/>
        <w:rPr>
          <w:rFonts w:cstheme="minorHAnsi"/>
        </w:rPr>
      </w:pPr>
    </w:p>
    <w:p w14:paraId="0B6197CF" w14:textId="290EF65E" w:rsidR="00403C72" w:rsidRPr="0051709F" w:rsidRDefault="00403C72" w:rsidP="009B1F89">
      <w:pPr>
        <w:jc w:val="both"/>
        <w:rPr>
          <w:rFonts w:cstheme="minorHAnsi"/>
        </w:rPr>
      </w:pPr>
      <w:r w:rsidRPr="0051709F">
        <w:rPr>
          <w:rFonts w:cstheme="minorHAnsi"/>
        </w:rPr>
        <w:lastRenderedPageBreak/>
        <w:t xml:space="preserve">Según </w:t>
      </w:r>
      <w:r w:rsidR="00A4516F">
        <w:rPr>
          <w:rFonts w:cstheme="minorHAnsi"/>
        </w:rPr>
        <w:t>estudios recientes</w:t>
      </w:r>
      <w:r w:rsidRPr="0051709F">
        <w:rPr>
          <w:rFonts w:cstheme="minorHAnsi"/>
        </w:rPr>
        <w:t xml:space="preserve">, se prevé una altísima demanda de formación para poder implementar de forma efectiva la Estrategia Nacional Contra el Sedentarismo y la Inactividad Física. </w:t>
      </w:r>
    </w:p>
    <w:p w14:paraId="66BAC7EE" w14:textId="77777777" w:rsidR="00380612" w:rsidRPr="0051709F" w:rsidRDefault="00380612" w:rsidP="009B1F89">
      <w:pPr>
        <w:jc w:val="both"/>
        <w:rPr>
          <w:rFonts w:cstheme="minorHAnsi"/>
        </w:rPr>
      </w:pPr>
    </w:p>
    <w:p w14:paraId="3A09A6DB" w14:textId="77777777" w:rsidR="00403C72" w:rsidRPr="0051709F" w:rsidRDefault="00403C72" w:rsidP="009B1F89">
      <w:pPr>
        <w:jc w:val="both"/>
        <w:rPr>
          <w:rFonts w:cstheme="minorHAnsi"/>
        </w:rPr>
      </w:pPr>
      <w:r w:rsidRPr="0051709F">
        <w:rPr>
          <w:rFonts w:cstheme="minorHAnsi"/>
        </w:rPr>
        <w:t xml:space="preserve">Para los profesionales sanitarios debería haber al menos dos niveles de formación: </w:t>
      </w:r>
    </w:p>
    <w:p w14:paraId="37659D30" w14:textId="77777777" w:rsidR="00380612" w:rsidRPr="0051709F" w:rsidRDefault="00380612" w:rsidP="009B1F89">
      <w:pPr>
        <w:jc w:val="both"/>
        <w:rPr>
          <w:rFonts w:cstheme="minorHAnsi"/>
        </w:rPr>
      </w:pPr>
    </w:p>
    <w:p w14:paraId="1F53046A" w14:textId="1FCACF2C" w:rsidR="00403C72" w:rsidRPr="0051709F" w:rsidRDefault="00403C72" w:rsidP="00E6399B">
      <w:pPr>
        <w:pStyle w:val="Prrafodelista"/>
        <w:numPr>
          <w:ilvl w:val="0"/>
          <w:numId w:val="8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Básica: introducción a la fisiología del ejercicio, aspectos básicos de actividad física y salud, identificación temprana de sujetos en riesgos, anamnesis básica, promoción de la actividad física y reducción del sedentarismo, mensajes a dar y a evitar.</w:t>
      </w:r>
    </w:p>
    <w:p w14:paraId="4EDD1CB7" w14:textId="427A8222" w:rsidR="00403C72" w:rsidRPr="0051709F" w:rsidRDefault="00403C72" w:rsidP="00E6399B">
      <w:pPr>
        <w:pStyle w:val="Prrafodelista"/>
        <w:numPr>
          <w:ilvl w:val="0"/>
          <w:numId w:val="8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Avanzada: fisiología del ejercicio clínica, introducción a la prescripción de ejercicio para la prevención y tratamiento de enfermedades, diagnóstico avanzado, valoración del riesgo y contraindicaciones</w:t>
      </w:r>
    </w:p>
    <w:p w14:paraId="0EBEBB7B" w14:textId="77777777" w:rsidR="00380612" w:rsidRPr="0051709F" w:rsidRDefault="00380612" w:rsidP="009B1F89">
      <w:pPr>
        <w:jc w:val="both"/>
        <w:rPr>
          <w:rFonts w:cstheme="minorHAnsi"/>
        </w:rPr>
      </w:pPr>
    </w:p>
    <w:p w14:paraId="48602BAF" w14:textId="77777777" w:rsidR="00403C72" w:rsidRPr="0051709F" w:rsidRDefault="00403C72" w:rsidP="009B1F89">
      <w:pPr>
        <w:jc w:val="both"/>
        <w:rPr>
          <w:rFonts w:cstheme="minorHAnsi"/>
        </w:rPr>
      </w:pPr>
      <w:r w:rsidRPr="0051709F">
        <w:rPr>
          <w:rFonts w:cstheme="minorHAnsi"/>
        </w:rPr>
        <w:t xml:space="preserve">Los graduados y licenciados en ciencias de la actividad física y del deporte deben ser uno de los actores principales de esta Estrategia Nacional y asumir un rol destacado. Por tanto, deben también recibir formación adicional específica para conocer la fisiopatología de las enfermedades y los planes específicos de entrenamiento consensuados y validados. Para ello, es imprescindible revisar los planes de estudio actuales de Grado, adscribir el Grado, al menos en aquellas universidades que apuesten por esta salida profesional, a la rama de ciencias de la salud y proponer postgrados específicos. </w:t>
      </w:r>
    </w:p>
    <w:p w14:paraId="75A0B835" w14:textId="77777777" w:rsidR="00380612" w:rsidRPr="0051709F" w:rsidRDefault="00380612" w:rsidP="009B1F89">
      <w:pPr>
        <w:jc w:val="both"/>
        <w:rPr>
          <w:rFonts w:cstheme="minorHAnsi"/>
        </w:rPr>
      </w:pPr>
    </w:p>
    <w:p w14:paraId="2C78A561" w14:textId="7599BC5A" w:rsidR="00403C72" w:rsidRPr="0051709F" w:rsidRDefault="00403C72" w:rsidP="009B1F89">
      <w:pPr>
        <w:jc w:val="both"/>
        <w:rPr>
          <w:rFonts w:cstheme="minorHAnsi"/>
        </w:rPr>
      </w:pPr>
      <w:r w:rsidRPr="0051709F">
        <w:rPr>
          <w:rFonts w:cstheme="minorHAnsi"/>
        </w:rPr>
        <w:t>Además, todos los agentes anteriormente descritos deben recibir esta formación adaptada a su parcela profesional (psicólogos, fisioterapeutas, dietistas-nutricionistas, etc</w:t>
      </w:r>
      <w:r w:rsidR="0071032A">
        <w:rPr>
          <w:rFonts w:cstheme="minorHAnsi"/>
        </w:rPr>
        <w:t>.</w:t>
      </w:r>
      <w:r w:rsidRPr="0051709F">
        <w:rPr>
          <w:rFonts w:cstheme="minorHAnsi"/>
        </w:rPr>
        <w:t>)</w:t>
      </w:r>
    </w:p>
    <w:p w14:paraId="06C6FCF4" w14:textId="77777777" w:rsidR="00380612" w:rsidRPr="0051709F" w:rsidRDefault="00380612" w:rsidP="009B1F89">
      <w:pPr>
        <w:jc w:val="both"/>
        <w:rPr>
          <w:rFonts w:cstheme="minorHAnsi"/>
        </w:rPr>
      </w:pPr>
    </w:p>
    <w:p w14:paraId="2B6D34AF" w14:textId="25DBAEC0" w:rsidR="00403C72" w:rsidRPr="0051709F" w:rsidRDefault="00403C72" w:rsidP="009B1F89">
      <w:pPr>
        <w:jc w:val="both"/>
        <w:rPr>
          <w:rFonts w:cstheme="minorHAnsi"/>
        </w:rPr>
      </w:pPr>
      <w:r w:rsidRPr="0051709F">
        <w:rPr>
          <w:rFonts w:cstheme="minorHAnsi"/>
        </w:rPr>
        <w:t>Se propone desarrollar unos criterios básicos que deban incluir estas formaciones e implicar a un amplio número de instituciones en la formación. Un valor añadido de ofrecer una formación rigurosa y de calidad es la oportunidad de trabajo para muchos profesionales ya formados.</w:t>
      </w:r>
    </w:p>
    <w:p w14:paraId="0A795F06" w14:textId="77777777" w:rsidR="00380612" w:rsidRPr="0051709F" w:rsidRDefault="00380612" w:rsidP="009B1F89">
      <w:pPr>
        <w:jc w:val="both"/>
        <w:rPr>
          <w:rFonts w:cstheme="minorHAnsi"/>
        </w:rPr>
      </w:pPr>
    </w:p>
    <w:p w14:paraId="178AEB21" w14:textId="77CBBE82" w:rsidR="00403C72" w:rsidRPr="0051709F" w:rsidRDefault="0071032A" w:rsidP="009B1F89">
      <w:pPr>
        <w:jc w:val="both"/>
        <w:rPr>
          <w:rFonts w:cstheme="minorHAnsi"/>
        </w:rPr>
      </w:pPr>
      <w:r>
        <w:rPr>
          <w:rFonts w:cstheme="minorHAnsi"/>
        </w:rPr>
        <w:t>S</w:t>
      </w:r>
      <w:r w:rsidR="00403C72" w:rsidRPr="0051709F">
        <w:rPr>
          <w:rFonts w:cstheme="minorHAnsi"/>
        </w:rPr>
        <w:t>e deben identificar los cursos y formaciones de calidad ya existentes; a la vez, se puede animar a las instituciones educativas a diseñar y ofertar nuevos cursos.</w:t>
      </w:r>
    </w:p>
    <w:p w14:paraId="27807E9F" w14:textId="77777777" w:rsidR="00380612" w:rsidRPr="0051709F" w:rsidRDefault="00380612" w:rsidP="009B1F89">
      <w:pPr>
        <w:jc w:val="both"/>
        <w:rPr>
          <w:rFonts w:cstheme="minorHAnsi"/>
        </w:rPr>
      </w:pPr>
    </w:p>
    <w:p w14:paraId="476B0464" w14:textId="09F73384" w:rsidR="00403C72" w:rsidRPr="0051709F" w:rsidRDefault="00403C72" w:rsidP="009B1F89">
      <w:pPr>
        <w:jc w:val="both"/>
        <w:rPr>
          <w:rFonts w:cstheme="minorHAnsi"/>
        </w:rPr>
      </w:pPr>
      <w:r w:rsidRPr="0051709F">
        <w:rPr>
          <w:rFonts w:cstheme="minorHAnsi"/>
        </w:rPr>
        <w:t>Se han identificado</w:t>
      </w:r>
      <w:r w:rsidR="0071032A">
        <w:rPr>
          <w:rFonts w:cstheme="minorHAnsi"/>
        </w:rPr>
        <w:t xml:space="preserve"> como parte del análisis de la Estrategia Nacional,</w:t>
      </w:r>
      <w:r w:rsidRPr="0051709F">
        <w:rPr>
          <w:rFonts w:cstheme="minorHAnsi"/>
        </w:rPr>
        <w:t xml:space="preserve"> cursos y formaciones coordinadas y elaboradas por expertos que están disponibles de manera online y presencial. A modo de ejemplo se citan algunas: </w:t>
      </w:r>
    </w:p>
    <w:p w14:paraId="495BCBA8" w14:textId="77777777" w:rsidR="00380612" w:rsidRPr="0051709F" w:rsidRDefault="00380612" w:rsidP="009B1F89">
      <w:pPr>
        <w:jc w:val="both"/>
        <w:rPr>
          <w:rFonts w:cstheme="minorHAnsi"/>
        </w:rPr>
      </w:pPr>
    </w:p>
    <w:p w14:paraId="24A97F6B" w14:textId="13B0A0D7" w:rsidR="00403C72" w:rsidRPr="00DA6852" w:rsidRDefault="00403C72" w:rsidP="007B667D">
      <w:pPr>
        <w:pStyle w:val="Prrafodelista"/>
        <w:numPr>
          <w:ilvl w:val="0"/>
          <w:numId w:val="142"/>
        </w:numPr>
        <w:jc w:val="both"/>
        <w:rPr>
          <w:rFonts w:eastAsia="Calibri" w:cstheme="minorHAnsi"/>
          <w:lang w:val="es-ES"/>
        </w:rPr>
      </w:pPr>
      <w:r w:rsidRPr="00DA6852">
        <w:rPr>
          <w:rFonts w:asciiTheme="minorHAnsi" w:hAnsiTheme="minorHAnsi" w:cstheme="minorHAnsi"/>
          <w:sz w:val="24"/>
          <w:szCs w:val="24"/>
          <w:lang w:val="es-ES"/>
        </w:rPr>
        <w:t xml:space="preserve">Consejo COLEF-CSD: </w:t>
      </w:r>
      <w:r w:rsidRPr="00DA6852">
        <w:rPr>
          <w:rFonts w:asciiTheme="minorHAnsi" w:eastAsia="Calibri" w:hAnsiTheme="minorHAnsi" w:cstheme="minorHAnsi"/>
          <w:b/>
          <w:bCs/>
          <w:i/>
          <w:iCs/>
          <w:sz w:val="24"/>
          <w:szCs w:val="24"/>
          <w:lang w:val="es-ES"/>
        </w:rPr>
        <w:t>Curso básico de Diseño de Programas de Actividad y Ejercicio Físico Saludable'</w:t>
      </w:r>
      <w:r w:rsidRPr="00DA6852">
        <w:rPr>
          <w:rFonts w:asciiTheme="minorHAnsi" w:eastAsia="Calibri" w:hAnsiTheme="minorHAnsi" w:cstheme="minorHAnsi"/>
          <w:sz w:val="24"/>
          <w:szCs w:val="24"/>
          <w:lang w:val="es-ES"/>
        </w:rPr>
        <w:t xml:space="preserve"> (AFBS),</w:t>
      </w:r>
      <w:r w:rsidR="0071032A" w:rsidRPr="00DA6852">
        <w:rPr>
          <w:rFonts w:asciiTheme="minorHAnsi" w:eastAsia="Calibri" w:hAnsiTheme="minorHAnsi" w:cstheme="minorHAnsi"/>
          <w:sz w:val="24"/>
          <w:szCs w:val="24"/>
          <w:lang w:val="es-ES"/>
        </w:rPr>
        <w:t xml:space="preserve"> </w:t>
      </w:r>
      <w:r w:rsidRPr="00DA6852">
        <w:rPr>
          <w:rFonts w:asciiTheme="minorHAnsi" w:eastAsia="Calibri" w:hAnsiTheme="minorHAnsi" w:cstheme="minorHAnsi"/>
          <w:i/>
          <w:iCs/>
          <w:sz w:val="24"/>
          <w:szCs w:val="24"/>
          <w:lang w:val="es-ES"/>
        </w:rPr>
        <w:t>online</w:t>
      </w:r>
      <w:r w:rsidRPr="00DA6852">
        <w:rPr>
          <w:rFonts w:asciiTheme="minorHAnsi" w:eastAsia="Calibri" w:hAnsiTheme="minorHAnsi" w:cstheme="minorHAnsi"/>
          <w:sz w:val="24"/>
          <w:szCs w:val="24"/>
          <w:lang w:val="es-ES"/>
        </w:rPr>
        <w:t>, 60 horas. S</w:t>
      </w:r>
      <w:r w:rsidR="0071032A" w:rsidRPr="00DA6852">
        <w:rPr>
          <w:rFonts w:asciiTheme="minorHAnsi" w:eastAsia="Calibri" w:hAnsiTheme="minorHAnsi" w:cstheme="minorHAnsi"/>
          <w:sz w:val="24"/>
          <w:szCs w:val="24"/>
          <w:lang w:val="es-ES"/>
        </w:rPr>
        <w:t>ó</w:t>
      </w:r>
      <w:r w:rsidRPr="00DA6852">
        <w:rPr>
          <w:rFonts w:asciiTheme="minorHAnsi" w:eastAsia="Calibri" w:hAnsiTheme="minorHAnsi" w:cstheme="minorHAnsi"/>
          <w:sz w:val="24"/>
          <w:szCs w:val="24"/>
          <w:lang w:val="es-ES"/>
        </w:rPr>
        <w:t xml:space="preserve">lo para titulación universitaria en Ciencias de la Actividad Física y del Deporte colegiadas. </w:t>
      </w:r>
    </w:p>
    <w:p w14:paraId="19D33B32" w14:textId="77777777" w:rsidR="00380612" w:rsidRPr="007B667D" w:rsidRDefault="00380612" w:rsidP="00380612">
      <w:pPr>
        <w:jc w:val="both"/>
        <w:rPr>
          <w:rFonts w:cstheme="minorHAnsi"/>
          <w:sz w:val="28"/>
          <w:szCs w:val="28"/>
        </w:rPr>
      </w:pPr>
    </w:p>
    <w:p w14:paraId="1589F9B9" w14:textId="1E7C18E1" w:rsidR="00403C72" w:rsidRPr="00DA6852" w:rsidRDefault="00403C72" w:rsidP="007B667D">
      <w:pPr>
        <w:pStyle w:val="Prrafodelista"/>
        <w:numPr>
          <w:ilvl w:val="0"/>
          <w:numId w:val="142"/>
        </w:numPr>
        <w:jc w:val="both"/>
        <w:rPr>
          <w:rFonts w:cstheme="minorHAnsi"/>
          <w:lang w:val="es-ES"/>
        </w:rPr>
      </w:pPr>
      <w:r w:rsidRPr="00DA6852">
        <w:rPr>
          <w:rFonts w:asciiTheme="minorHAnsi" w:hAnsiTheme="minorHAnsi" w:cstheme="minorHAnsi"/>
          <w:sz w:val="24"/>
          <w:szCs w:val="24"/>
          <w:lang w:val="es-ES"/>
        </w:rPr>
        <w:t xml:space="preserve">Curso EXERNET – SENPE: ABORDAJE MULTIDISCIPLINAR DE LA TERAPIA NUTRICIONAL E INTERVENCIÓN CON PRESCRIPCIÓN DE EJERCICIO FÍSICO. Para profesionales sanitarios. </w:t>
      </w:r>
      <w:hyperlink r:id="rId85" w:history="1">
        <w:r w:rsidRPr="00DA6852">
          <w:rPr>
            <w:rStyle w:val="Hipervnculo"/>
            <w:rFonts w:asciiTheme="minorHAnsi" w:hAnsiTheme="minorHAnsi" w:cstheme="minorHAnsi"/>
            <w:sz w:val="24"/>
            <w:szCs w:val="24"/>
            <w:lang w:val="es-ES"/>
          </w:rPr>
          <w:t>https://senpe.com/documentacion/abordaje-</w:t>
        </w:r>
        <w:r w:rsidRPr="00DA6852">
          <w:rPr>
            <w:rStyle w:val="Hipervnculo"/>
            <w:rFonts w:asciiTheme="minorHAnsi" w:hAnsiTheme="minorHAnsi" w:cstheme="minorHAnsi"/>
            <w:sz w:val="24"/>
            <w:szCs w:val="24"/>
            <w:lang w:val="es-ES"/>
          </w:rPr>
          <w:lastRenderedPageBreak/>
          <w:t>multidisciplinar-de-la-terapia-nutricional-e-intervencion-con-prescripcion-de-ejercicio-fisico/</w:t>
        </w:r>
      </w:hyperlink>
    </w:p>
    <w:p w14:paraId="5EDFA6E3" w14:textId="7A17261A" w:rsidR="000C6DB1" w:rsidRPr="007B667D" w:rsidRDefault="000C6DB1" w:rsidP="007B667D">
      <w:pPr>
        <w:ind w:firstLine="705"/>
        <w:jc w:val="both"/>
        <w:rPr>
          <w:rFonts w:cstheme="minorHAnsi"/>
          <w:sz w:val="28"/>
          <w:szCs w:val="28"/>
        </w:rPr>
      </w:pPr>
    </w:p>
    <w:p w14:paraId="693DFD7B" w14:textId="45123D8A" w:rsidR="00403C72" w:rsidRPr="00A858EF" w:rsidRDefault="00403C72" w:rsidP="007B667D">
      <w:pPr>
        <w:pStyle w:val="Prrafodelista"/>
        <w:numPr>
          <w:ilvl w:val="0"/>
          <w:numId w:val="142"/>
        </w:numPr>
        <w:jc w:val="both"/>
        <w:rPr>
          <w:rFonts w:cstheme="minorHAnsi"/>
        </w:rPr>
      </w:pPr>
      <w:r w:rsidRPr="00DA6852">
        <w:rPr>
          <w:rFonts w:asciiTheme="minorHAnsi" w:hAnsiTheme="minorHAnsi" w:cstheme="minorHAnsi"/>
          <w:sz w:val="24"/>
          <w:szCs w:val="24"/>
          <w:lang w:val="es-ES"/>
        </w:rPr>
        <w:t xml:space="preserve">Universidad Francisco de Vitoria-Editorial Panamericana: Curso Superior de Prescripción del Ejercicio Físico, Salud y Calidad de Vida. </w:t>
      </w:r>
      <w:r w:rsidRPr="007B667D">
        <w:rPr>
          <w:rFonts w:asciiTheme="minorHAnsi" w:hAnsiTheme="minorHAnsi" w:cstheme="minorHAnsi"/>
          <w:sz w:val="24"/>
          <w:szCs w:val="24"/>
        </w:rPr>
        <w:t xml:space="preserve">Online. 100 horas/ 4 ECTS. </w:t>
      </w:r>
      <w:hyperlink r:id="rId86" w:history="1">
        <w:r w:rsidRPr="007B667D">
          <w:rPr>
            <w:rStyle w:val="Hipervnculo"/>
            <w:rFonts w:asciiTheme="minorHAnsi" w:hAnsiTheme="minorHAnsi" w:cstheme="minorHAnsi"/>
            <w:sz w:val="24"/>
            <w:szCs w:val="24"/>
          </w:rPr>
          <w:t>https://www.medicapanamericana.com/mx/formacion/curso-superior-de-prescripcion-del-ejercicio-fisico-salud-y-calidad-de-vida?gclid=Cj0KCQjw756lBhDMARIsAEI0Agnbd1edEwNfy6IadOK9joIpnzTDrsvwu0AHsvb0zzaCkHOU46PTw5YaAnzbEALw_wcB</w:t>
        </w:r>
      </w:hyperlink>
    </w:p>
    <w:p w14:paraId="0A323845" w14:textId="77777777" w:rsidR="00403C72" w:rsidRPr="007B667D" w:rsidRDefault="00403C72" w:rsidP="009B1F89">
      <w:pPr>
        <w:jc w:val="both"/>
        <w:rPr>
          <w:rFonts w:cstheme="minorHAnsi"/>
          <w:sz w:val="28"/>
          <w:szCs w:val="28"/>
          <w:lang w:val="en-GB"/>
        </w:rPr>
      </w:pPr>
    </w:p>
    <w:p w14:paraId="43A567B6" w14:textId="77777777" w:rsidR="00403C72" w:rsidRPr="00DA6852" w:rsidRDefault="00403C72" w:rsidP="007B667D">
      <w:pPr>
        <w:pStyle w:val="Prrafodelista"/>
        <w:numPr>
          <w:ilvl w:val="0"/>
          <w:numId w:val="142"/>
        </w:numPr>
        <w:rPr>
          <w:rFonts w:cstheme="minorHAnsi"/>
          <w:lang w:val="es-ES"/>
        </w:rPr>
      </w:pPr>
      <w:r w:rsidRPr="00DA6852">
        <w:rPr>
          <w:rFonts w:asciiTheme="minorHAnsi" w:hAnsiTheme="minorHAnsi" w:cstheme="minorHAnsi"/>
          <w:sz w:val="24"/>
          <w:szCs w:val="24"/>
          <w:lang w:val="es-ES"/>
        </w:rPr>
        <w:t xml:space="preserve">Sociedad Española de Medicina del Deporte SEMED-FEMED: "PRESCRIPCIÓN DE EJERCICIO FÍSICO PARA PACIENTES CRÓNICOS". Online. 60 h. Para médicos. </w:t>
      </w:r>
      <w:hyperlink r:id="rId87" w:history="1">
        <w:r w:rsidRPr="00DA6852">
          <w:rPr>
            <w:rStyle w:val="Hipervnculo"/>
            <w:rFonts w:asciiTheme="minorHAnsi" w:hAnsiTheme="minorHAnsi" w:cstheme="minorHAnsi"/>
            <w:sz w:val="24"/>
            <w:szCs w:val="24"/>
            <w:lang w:val="es-ES"/>
          </w:rPr>
          <w:t>http://femede.es/registro_prescripcion_ef_pacientes_cronicos.php</w:t>
        </w:r>
      </w:hyperlink>
    </w:p>
    <w:p w14:paraId="3B88973F" w14:textId="77777777" w:rsidR="00403C72" w:rsidRPr="007B667D" w:rsidRDefault="00403C72" w:rsidP="009B1F89">
      <w:pPr>
        <w:jc w:val="both"/>
        <w:rPr>
          <w:rStyle w:val="Hipervnculo"/>
          <w:rFonts w:cstheme="minorHAnsi"/>
          <w:sz w:val="28"/>
          <w:szCs w:val="28"/>
        </w:rPr>
      </w:pPr>
    </w:p>
    <w:p w14:paraId="021F1578" w14:textId="40031328" w:rsidR="00403C72" w:rsidRPr="00DA6852" w:rsidRDefault="00403C72" w:rsidP="007B667D">
      <w:pPr>
        <w:pStyle w:val="Prrafodelista"/>
        <w:numPr>
          <w:ilvl w:val="0"/>
          <w:numId w:val="142"/>
        </w:numPr>
        <w:rPr>
          <w:rFonts w:cstheme="minorHAnsi"/>
          <w:lang w:val="es-ES"/>
        </w:rPr>
      </w:pPr>
      <w:r w:rsidRPr="00DA6852">
        <w:rPr>
          <w:rFonts w:asciiTheme="minorHAnsi" w:hAnsiTheme="minorHAnsi" w:cstheme="minorHAnsi"/>
          <w:sz w:val="24"/>
          <w:szCs w:val="24"/>
          <w:lang w:val="es-ES"/>
        </w:rPr>
        <w:t xml:space="preserve">Instituto de Salud Carlos III: ACTIVATE, PRESCRIBE EJERCICIO FISICO ISCIII-ENS-CSD. Online. 13 lecciones. Profesionales sanitarios de Atención Primaria. </w:t>
      </w:r>
      <w:hyperlink r:id="rId88" w:history="1">
        <w:r w:rsidRPr="00DA6852">
          <w:rPr>
            <w:rStyle w:val="Hipervnculo"/>
            <w:rFonts w:asciiTheme="minorHAnsi" w:hAnsiTheme="minorHAnsi" w:cstheme="minorHAnsi"/>
            <w:sz w:val="24"/>
            <w:szCs w:val="24"/>
            <w:lang w:val="es-ES"/>
          </w:rPr>
          <w:t>https://sigade.isciii.es/publico/actual/VerCurso.asp?ID=4&amp;CodProp=4407&amp;CodEd=4506</w:t>
        </w:r>
      </w:hyperlink>
    </w:p>
    <w:p w14:paraId="7D875E4D" w14:textId="77777777" w:rsidR="00403C72" w:rsidRPr="007B667D" w:rsidRDefault="00403C72" w:rsidP="009B1F89">
      <w:pPr>
        <w:rPr>
          <w:rFonts w:cstheme="minorHAnsi"/>
          <w:sz w:val="28"/>
          <w:szCs w:val="28"/>
        </w:rPr>
      </w:pPr>
    </w:p>
    <w:p w14:paraId="238ECA1E" w14:textId="0D46BB12" w:rsidR="00380612" w:rsidRPr="00A858EF" w:rsidRDefault="00403C72" w:rsidP="007B667D">
      <w:pPr>
        <w:pStyle w:val="Prrafodelista"/>
        <w:numPr>
          <w:ilvl w:val="0"/>
          <w:numId w:val="142"/>
        </w:numPr>
        <w:jc w:val="both"/>
        <w:rPr>
          <w:rFonts w:cstheme="minorHAnsi"/>
        </w:rPr>
      </w:pPr>
      <w:r w:rsidRPr="007B667D">
        <w:rPr>
          <w:rFonts w:asciiTheme="minorHAnsi" w:hAnsiTheme="minorHAnsi" w:cstheme="minorHAnsi"/>
          <w:sz w:val="24"/>
          <w:szCs w:val="24"/>
        </w:rPr>
        <w:t xml:space="preserve">EIM Italy:  </w:t>
      </w:r>
    </w:p>
    <w:p w14:paraId="0C5DBD85" w14:textId="68916DFE" w:rsidR="00380612" w:rsidRPr="00A858EF" w:rsidRDefault="00403C72" w:rsidP="007B667D">
      <w:pPr>
        <w:pStyle w:val="Prrafodelista"/>
        <w:numPr>
          <w:ilvl w:val="1"/>
          <w:numId w:val="142"/>
        </w:numPr>
        <w:jc w:val="both"/>
        <w:rPr>
          <w:rFonts w:cstheme="minorHAnsi"/>
        </w:rPr>
      </w:pPr>
      <w:r w:rsidRPr="007B667D">
        <w:rPr>
          <w:rFonts w:asciiTheme="minorHAnsi" w:hAnsiTheme="minorHAnsi" w:cstheme="minorHAnsi"/>
          <w:sz w:val="24"/>
          <w:szCs w:val="24"/>
        </w:rPr>
        <w:t xml:space="preserve">MOOC Exercise is Medicine (online, 4 </w:t>
      </w:r>
      <w:proofErr w:type="spellStart"/>
      <w:r w:rsidRPr="007B667D">
        <w:rPr>
          <w:rFonts w:asciiTheme="minorHAnsi" w:hAnsiTheme="minorHAnsi" w:cstheme="minorHAnsi"/>
          <w:sz w:val="24"/>
          <w:szCs w:val="24"/>
        </w:rPr>
        <w:t>semanas</w:t>
      </w:r>
      <w:proofErr w:type="spellEnd"/>
      <w:r w:rsidRPr="007B667D">
        <w:rPr>
          <w:rFonts w:asciiTheme="minorHAnsi" w:hAnsiTheme="minorHAnsi" w:cstheme="minorHAnsi"/>
          <w:sz w:val="24"/>
          <w:szCs w:val="24"/>
        </w:rPr>
        <w:t xml:space="preserve">, </w:t>
      </w:r>
      <w:proofErr w:type="spellStart"/>
      <w:r w:rsidRPr="007B667D">
        <w:rPr>
          <w:rFonts w:asciiTheme="minorHAnsi" w:hAnsiTheme="minorHAnsi" w:cstheme="minorHAnsi"/>
          <w:sz w:val="24"/>
          <w:szCs w:val="24"/>
        </w:rPr>
        <w:t>en</w:t>
      </w:r>
      <w:proofErr w:type="spellEnd"/>
      <w:r w:rsidRPr="007B667D">
        <w:rPr>
          <w:rFonts w:asciiTheme="minorHAnsi" w:hAnsiTheme="minorHAnsi" w:cstheme="minorHAnsi"/>
          <w:sz w:val="24"/>
          <w:szCs w:val="24"/>
        </w:rPr>
        <w:t xml:space="preserve"> </w:t>
      </w:r>
      <w:proofErr w:type="spellStart"/>
      <w:r w:rsidRPr="007B667D">
        <w:rPr>
          <w:rFonts w:asciiTheme="minorHAnsi" w:hAnsiTheme="minorHAnsi" w:cstheme="minorHAnsi"/>
          <w:sz w:val="24"/>
          <w:szCs w:val="24"/>
        </w:rPr>
        <w:t>inglés</w:t>
      </w:r>
      <w:proofErr w:type="spellEnd"/>
      <w:r w:rsidRPr="007B667D">
        <w:rPr>
          <w:rFonts w:asciiTheme="minorHAnsi" w:hAnsiTheme="minorHAnsi" w:cstheme="minorHAnsi"/>
          <w:sz w:val="24"/>
          <w:szCs w:val="24"/>
        </w:rPr>
        <w:t xml:space="preserve">) </w:t>
      </w:r>
      <w:hyperlink r:id="rId89" w:anchor="sezione-1" w:history="1">
        <w:r w:rsidRPr="007B667D">
          <w:rPr>
            <w:rStyle w:val="Hipervnculo"/>
            <w:rFonts w:asciiTheme="minorHAnsi" w:hAnsiTheme="minorHAnsi" w:cstheme="minorHAnsi"/>
            <w:sz w:val="24"/>
            <w:szCs w:val="24"/>
          </w:rPr>
          <w:t>https://exerciseismedicine.it/cosa/#sezione-1</w:t>
        </w:r>
      </w:hyperlink>
      <w:r w:rsidRPr="007B667D">
        <w:rPr>
          <w:rFonts w:asciiTheme="minorHAnsi" w:hAnsiTheme="minorHAnsi" w:cstheme="minorHAnsi"/>
          <w:sz w:val="24"/>
          <w:szCs w:val="24"/>
        </w:rPr>
        <w:tab/>
      </w:r>
      <w:r w:rsidRPr="007B667D">
        <w:rPr>
          <w:rFonts w:asciiTheme="minorHAnsi" w:hAnsiTheme="minorHAnsi" w:cstheme="minorHAnsi"/>
          <w:sz w:val="24"/>
          <w:szCs w:val="24"/>
        </w:rPr>
        <w:tab/>
      </w:r>
    </w:p>
    <w:p w14:paraId="131C0622" w14:textId="598B97D2" w:rsidR="00380612" w:rsidRPr="00DA6852" w:rsidRDefault="00403C72" w:rsidP="007B667D">
      <w:pPr>
        <w:pStyle w:val="Prrafodelista"/>
        <w:numPr>
          <w:ilvl w:val="1"/>
          <w:numId w:val="142"/>
        </w:numPr>
        <w:jc w:val="both"/>
        <w:rPr>
          <w:rFonts w:cstheme="minorHAnsi"/>
          <w:u w:val="single"/>
          <w:lang w:val="es-ES"/>
        </w:rPr>
      </w:pPr>
      <w:r w:rsidRPr="00DA6852">
        <w:rPr>
          <w:rFonts w:asciiTheme="minorHAnsi" w:eastAsia="Calibri" w:hAnsiTheme="minorHAnsi" w:cstheme="minorHAnsi"/>
          <w:sz w:val="24"/>
          <w:szCs w:val="24"/>
          <w:lang w:val="es-ES"/>
        </w:rPr>
        <w:t>CORSO INTRODUTTIVO EXERCISE IS MEDICINE (en italiano, 11 meses)</w:t>
      </w:r>
    </w:p>
    <w:p w14:paraId="236A2375" w14:textId="5B4C44A7" w:rsidR="00403C72" w:rsidRPr="007B667D" w:rsidRDefault="0071032A" w:rsidP="007B667D">
      <w:pPr>
        <w:pStyle w:val="Prrafodelista"/>
        <w:numPr>
          <w:ilvl w:val="0"/>
          <w:numId w:val="142"/>
        </w:numPr>
        <w:jc w:val="both"/>
        <w:rPr>
          <w:rFonts w:cstheme="minorHAnsi"/>
          <w:u w:val="single"/>
        </w:rPr>
      </w:pPr>
      <w:r>
        <w:rPr>
          <w:rFonts w:asciiTheme="minorHAnsi" w:hAnsiTheme="minorHAnsi" w:cstheme="minorHAnsi"/>
          <w:sz w:val="24"/>
          <w:szCs w:val="24"/>
          <w:u w:val="single"/>
        </w:rPr>
        <w:t>EIM EEUU</w:t>
      </w:r>
      <w:r w:rsidR="00403C72" w:rsidRPr="007B667D">
        <w:rPr>
          <w:rFonts w:asciiTheme="minorHAnsi" w:hAnsiTheme="minorHAnsi" w:cstheme="minorHAnsi"/>
          <w:sz w:val="24"/>
          <w:szCs w:val="24"/>
          <w:u w:val="single"/>
        </w:rPr>
        <w:t>:</w:t>
      </w:r>
    </w:p>
    <w:p w14:paraId="39DF0CE8" w14:textId="17F2B40E" w:rsidR="00403C72" w:rsidRPr="00A858EF" w:rsidRDefault="00403C72" w:rsidP="007B667D">
      <w:pPr>
        <w:pStyle w:val="Prrafodelista"/>
        <w:numPr>
          <w:ilvl w:val="1"/>
          <w:numId w:val="142"/>
        </w:numPr>
        <w:jc w:val="both"/>
        <w:rPr>
          <w:rFonts w:cstheme="minorHAnsi"/>
        </w:rPr>
      </w:pPr>
      <w:r w:rsidRPr="007B667D">
        <w:rPr>
          <w:rFonts w:asciiTheme="minorHAnsi" w:hAnsiTheme="minorHAnsi" w:cstheme="minorHAnsi"/>
          <w:sz w:val="24"/>
          <w:szCs w:val="24"/>
        </w:rPr>
        <w:t>EIM Online course (</w:t>
      </w:r>
      <w:proofErr w:type="spellStart"/>
      <w:r w:rsidRPr="007B667D">
        <w:rPr>
          <w:rFonts w:asciiTheme="minorHAnsi" w:hAnsiTheme="minorHAnsi" w:cstheme="minorHAnsi"/>
          <w:sz w:val="24"/>
          <w:szCs w:val="24"/>
        </w:rPr>
        <w:t>en</w:t>
      </w:r>
      <w:proofErr w:type="spellEnd"/>
      <w:r w:rsidRPr="007B667D">
        <w:rPr>
          <w:rFonts w:asciiTheme="minorHAnsi" w:hAnsiTheme="minorHAnsi" w:cstheme="minorHAnsi"/>
          <w:sz w:val="24"/>
          <w:szCs w:val="24"/>
        </w:rPr>
        <w:t xml:space="preserve"> </w:t>
      </w:r>
      <w:proofErr w:type="spellStart"/>
      <w:r w:rsidRPr="007B667D">
        <w:rPr>
          <w:rFonts w:asciiTheme="minorHAnsi" w:hAnsiTheme="minorHAnsi" w:cstheme="minorHAnsi"/>
          <w:sz w:val="24"/>
          <w:szCs w:val="24"/>
        </w:rPr>
        <w:t>inglés</w:t>
      </w:r>
      <w:proofErr w:type="spellEnd"/>
      <w:r w:rsidRPr="007B667D">
        <w:rPr>
          <w:rFonts w:asciiTheme="minorHAnsi" w:hAnsiTheme="minorHAnsi" w:cstheme="minorHAnsi"/>
          <w:sz w:val="24"/>
          <w:szCs w:val="24"/>
        </w:rPr>
        <w:t>)</w:t>
      </w:r>
      <w:r w:rsidR="0071032A">
        <w:rPr>
          <w:rFonts w:asciiTheme="minorHAnsi" w:hAnsiTheme="minorHAnsi" w:cstheme="minorHAnsi"/>
          <w:sz w:val="24"/>
          <w:szCs w:val="24"/>
        </w:rPr>
        <w:t xml:space="preserve">: </w:t>
      </w:r>
    </w:p>
    <w:p w14:paraId="3CFEEC1C" w14:textId="25984DA7" w:rsidR="00403C72" w:rsidRPr="0071032A" w:rsidRDefault="00000000" w:rsidP="007B667D">
      <w:pPr>
        <w:pStyle w:val="Prrafodelista"/>
        <w:ind w:left="1440"/>
        <w:jc w:val="both"/>
        <w:rPr>
          <w:rFonts w:cstheme="minorHAnsi"/>
        </w:rPr>
      </w:pPr>
      <w:hyperlink r:id="rId90" w:history="1">
        <w:r w:rsidR="0071032A" w:rsidRPr="007B667D">
          <w:rPr>
            <w:rStyle w:val="Hipervnculo"/>
            <w:rFonts w:asciiTheme="minorHAnsi" w:hAnsiTheme="minorHAnsi" w:cstheme="minorHAnsi"/>
            <w:sz w:val="24"/>
            <w:szCs w:val="24"/>
          </w:rPr>
          <w:t>https://members.acsm.org/ItemDetail?iProductCode=EIM0522F&amp;Category=EIM&amp;WebsiteKey=e6756b65-2c71-47cb-b31b-cb7858e166e3</w:t>
        </w:r>
      </w:hyperlink>
    </w:p>
    <w:p w14:paraId="5881B929" w14:textId="77777777" w:rsidR="00380612" w:rsidRPr="00DA6852" w:rsidRDefault="00380612" w:rsidP="009B1F89">
      <w:pPr>
        <w:jc w:val="both"/>
        <w:rPr>
          <w:rFonts w:cstheme="minorHAnsi"/>
          <w:lang w:val="en-US"/>
        </w:rPr>
      </w:pPr>
    </w:p>
    <w:p w14:paraId="1AB4C11F" w14:textId="3D959781" w:rsidR="00403C72" w:rsidRPr="0051709F" w:rsidRDefault="0071032A" w:rsidP="009B1F89">
      <w:pPr>
        <w:jc w:val="both"/>
        <w:rPr>
          <w:rFonts w:cstheme="minorHAnsi"/>
        </w:rPr>
      </w:pPr>
      <w:r>
        <w:rPr>
          <w:rFonts w:cstheme="minorHAnsi"/>
        </w:rPr>
        <w:t>L</w:t>
      </w:r>
      <w:r w:rsidR="00865634">
        <w:rPr>
          <w:rFonts w:cstheme="minorHAnsi"/>
        </w:rPr>
        <w:t>a</w:t>
      </w:r>
      <w:r>
        <w:rPr>
          <w:rFonts w:cstheme="minorHAnsi"/>
        </w:rPr>
        <w:t xml:space="preserve"> Estrategia promoverá la realización de </w:t>
      </w:r>
      <w:r w:rsidR="00403C72" w:rsidRPr="0051709F">
        <w:rPr>
          <w:rFonts w:cstheme="minorHAnsi"/>
        </w:rPr>
        <w:t xml:space="preserve">hacer un repositorio de estas formaciones, con el fin de aumentar la oferta y aprovechar el trabajo realizado. </w:t>
      </w:r>
    </w:p>
    <w:p w14:paraId="62614C20" w14:textId="77777777" w:rsidR="00380612" w:rsidRPr="0051709F" w:rsidRDefault="00380612" w:rsidP="009B1F89">
      <w:pPr>
        <w:jc w:val="both"/>
        <w:rPr>
          <w:rFonts w:cstheme="minorHAnsi"/>
        </w:rPr>
      </w:pPr>
    </w:p>
    <w:p w14:paraId="236178A9" w14:textId="77777777" w:rsidR="00403C72" w:rsidRPr="007B667D" w:rsidRDefault="00403C72" w:rsidP="007B667D">
      <w:pPr>
        <w:pStyle w:val="Prrafodelista"/>
        <w:numPr>
          <w:ilvl w:val="0"/>
          <w:numId w:val="139"/>
        </w:numPr>
        <w:jc w:val="both"/>
        <w:rPr>
          <w:rFonts w:cstheme="minorHAnsi"/>
          <w:i/>
          <w:iCs/>
        </w:rPr>
      </w:pPr>
      <w:r w:rsidRPr="007B667D">
        <w:rPr>
          <w:rFonts w:asciiTheme="minorHAnsi" w:hAnsiTheme="minorHAnsi" w:cstheme="minorHAnsi"/>
          <w:i/>
          <w:iCs/>
          <w:sz w:val="24"/>
          <w:szCs w:val="24"/>
        </w:rPr>
        <w:t>FORMACIÓN REGLADA</w:t>
      </w:r>
    </w:p>
    <w:p w14:paraId="567AC46B" w14:textId="77777777" w:rsidR="00380612" w:rsidRPr="0051709F" w:rsidRDefault="00380612" w:rsidP="009B1F89">
      <w:pPr>
        <w:jc w:val="both"/>
        <w:rPr>
          <w:rFonts w:cstheme="minorHAnsi"/>
          <w:u w:val="single"/>
        </w:rPr>
      </w:pPr>
    </w:p>
    <w:p w14:paraId="6D5EC049" w14:textId="321D93DC" w:rsidR="00403C72" w:rsidRPr="0051709F" w:rsidRDefault="00403C72" w:rsidP="009B1F89">
      <w:pPr>
        <w:jc w:val="both"/>
        <w:rPr>
          <w:rFonts w:cstheme="minorHAnsi"/>
        </w:rPr>
      </w:pPr>
      <w:r w:rsidRPr="0051709F">
        <w:rPr>
          <w:rFonts w:cstheme="minorHAnsi"/>
        </w:rPr>
        <w:t xml:space="preserve">Desde la Estrategia Nacional se </w:t>
      </w:r>
      <w:r w:rsidR="00865634">
        <w:rPr>
          <w:rFonts w:cstheme="minorHAnsi"/>
        </w:rPr>
        <w:t>harán</w:t>
      </w:r>
      <w:r w:rsidR="006D634E">
        <w:rPr>
          <w:rFonts w:cstheme="minorHAnsi"/>
        </w:rPr>
        <w:t xml:space="preserve"> las recomendaciones oportunas</w:t>
      </w:r>
      <w:r w:rsidRPr="0051709F">
        <w:rPr>
          <w:rFonts w:cstheme="minorHAnsi"/>
        </w:rPr>
        <w:t xml:space="preserve"> para incorporar a los planes de estudio de las diferentes titulaciones los contenidos necesarios para que los futuros profesionales adquieran conocimientos básicos relacionados con la actividad física, el sedentarismo, la nutrición y la salud. </w:t>
      </w:r>
      <w:r w:rsidR="006D634E">
        <w:rPr>
          <w:rFonts w:cstheme="minorHAnsi"/>
        </w:rPr>
        <w:t>S</w:t>
      </w:r>
      <w:r w:rsidRPr="0051709F">
        <w:rPr>
          <w:rFonts w:cstheme="minorHAnsi"/>
        </w:rPr>
        <w:t xml:space="preserve">on necesarios cursos de especialista y máster. Asimismo, la formación continuada debe seguir con el fin de que los profesionales aprendan y estén al día de los avances del conocimiento científico. </w:t>
      </w:r>
    </w:p>
    <w:p w14:paraId="05B13A1E" w14:textId="77777777" w:rsidR="00380612" w:rsidRPr="0051709F" w:rsidRDefault="00380612" w:rsidP="009B1F89">
      <w:pPr>
        <w:jc w:val="both"/>
        <w:rPr>
          <w:rFonts w:cstheme="minorHAnsi"/>
        </w:rPr>
      </w:pPr>
    </w:p>
    <w:p w14:paraId="6703A901" w14:textId="33BE2AE6" w:rsidR="00403C72" w:rsidRDefault="00403C72" w:rsidP="009B1F89">
      <w:pPr>
        <w:jc w:val="both"/>
        <w:rPr>
          <w:rFonts w:cstheme="minorHAnsi"/>
        </w:rPr>
      </w:pPr>
      <w:proofErr w:type="spellStart"/>
      <w:r w:rsidRPr="0051709F">
        <w:rPr>
          <w:rFonts w:cstheme="minorHAnsi"/>
        </w:rPr>
        <w:t>Brannan</w:t>
      </w:r>
      <w:proofErr w:type="spellEnd"/>
      <w:r w:rsidRPr="0051709F">
        <w:rPr>
          <w:rFonts w:cstheme="minorHAnsi"/>
        </w:rPr>
        <w:t xml:space="preserve"> y col (2019) proponen y analizan un modelo educativo para integrar la AF en el sistema sanitario (Figura </w:t>
      </w:r>
      <w:r w:rsidR="00253B19" w:rsidRPr="0051709F">
        <w:rPr>
          <w:rFonts w:cstheme="minorHAnsi"/>
        </w:rPr>
        <w:t>26</w:t>
      </w:r>
      <w:r w:rsidRPr="0051709F">
        <w:rPr>
          <w:rFonts w:cstheme="minorHAnsi"/>
        </w:rPr>
        <w:t>).  Destacan la importancia de que todo el sistema educativo de todos los niveles participe en el modelo. Este modelo se diseñó para el Reino Unido en 2014 y se puede tomar de referencia. Especialmente interesante es el análisis que se hace del mismo, algo que s</w:t>
      </w:r>
      <w:r w:rsidR="006D634E">
        <w:rPr>
          <w:rFonts w:cstheme="minorHAnsi"/>
        </w:rPr>
        <w:t>e considera</w:t>
      </w:r>
      <w:r w:rsidRPr="0051709F">
        <w:rPr>
          <w:rFonts w:cstheme="minorHAnsi"/>
        </w:rPr>
        <w:t xml:space="preserve"> fundamental, ya que todas las propuestas de esta Estrategia deben ser evaluadas.</w:t>
      </w:r>
    </w:p>
    <w:p w14:paraId="104A5002" w14:textId="77777777" w:rsidR="00914456" w:rsidRPr="0051709F" w:rsidRDefault="00914456" w:rsidP="009B1F89">
      <w:pPr>
        <w:jc w:val="both"/>
        <w:rPr>
          <w:rFonts w:cstheme="minorHAnsi"/>
        </w:rPr>
      </w:pPr>
    </w:p>
    <w:p w14:paraId="12776834" w14:textId="77777777" w:rsidR="00403C72" w:rsidRPr="0051709F" w:rsidRDefault="00403C72" w:rsidP="009B1F89">
      <w:pPr>
        <w:jc w:val="both"/>
        <w:rPr>
          <w:rFonts w:cstheme="minorHAnsi"/>
        </w:rPr>
      </w:pPr>
    </w:p>
    <w:p w14:paraId="09E54865" w14:textId="77777777" w:rsidR="00403C72" w:rsidRPr="0051709F" w:rsidRDefault="00403C72" w:rsidP="00380612">
      <w:pPr>
        <w:jc w:val="center"/>
        <w:rPr>
          <w:rFonts w:cstheme="minorHAnsi"/>
          <w:bCs/>
        </w:rPr>
      </w:pPr>
      <w:r w:rsidRPr="0051709F">
        <w:rPr>
          <w:rFonts w:cstheme="minorHAnsi"/>
          <w:bCs/>
          <w:noProof/>
          <w:lang w:val="en-GB" w:eastAsia="en-GB"/>
        </w:rPr>
        <w:drawing>
          <wp:inline distT="0" distB="0" distL="0" distR="0" wp14:anchorId="57E0C213" wp14:editId="0D20A4E0">
            <wp:extent cx="3410262" cy="2252302"/>
            <wp:effectExtent l="0" t="0" r="0" b="0"/>
            <wp:docPr id="1852798281" name="Imagen 185279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428888" cy="2264603"/>
                    </a:xfrm>
                    <a:prstGeom prst="rect">
                      <a:avLst/>
                    </a:prstGeom>
                  </pic:spPr>
                </pic:pic>
              </a:graphicData>
            </a:graphic>
          </wp:inline>
        </w:drawing>
      </w:r>
    </w:p>
    <w:p w14:paraId="58C1D7D7" w14:textId="37DA831A" w:rsidR="00380612" w:rsidRPr="007B667D" w:rsidRDefault="00403C72" w:rsidP="00380612">
      <w:pPr>
        <w:jc w:val="center"/>
        <w:rPr>
          <w:rFonts w:ascii="Arial Narrow" w:hAnsi="Arial Narrow" w:cstheme="minorHAnsi"/>
          <w:bCs/>
        </w:rPr>
      </w:pPr>
      <w:r w:rsidRPr="007B667D">
        <w:rPr>
          <w:rFonts w:ascii="Arial Narrow" w:hAnsi="Arial Narrow" w:cstheme="minorHAnsi"/>
          <w:bCs/>
        </w:rPr>
        <w:t xml:space="preserve">Figura </w:t>
      </w:r>
      <w:r w:rsidR="00253B19" w:rsidRPr="007B667D">
        <w:rPr>
          <w:rFonts w:ascii="Arial Narrow" w:hAnsi="Arial Narrow" w:cstheme="minorHAnsi"/>
          <w:bCs/>
        </w:rPr>
        <w:t>26</w:t>
      </w:r>
      <w:r w:rsidRPr="007B667D">
        <w:rPr>
          <w:rFonts w:ascii="Arial Narrow" w:hAnsi="Arial Narrow" w:cstheme="minorHAnsi"/>
          <w:bCs/>
        </w:rPr>
        <w:t xml:space="preserve">. Modelo educativo del </w:t>
      </w:r>
      <w:proofErr w:type="spellStart"/>
      <w:r w:rsidRPr="007B667D">
        <w:rPr>
          <w:rFonts w:ascii="Arial Narrow" w:hAnsi="Arial Narrow" w:cstheme="minorHAnsi"/>
          <w:bCs/>
        </w:rPr>
        <w:t>Moving</w:t>
      </w:r>
      <w:proofErr w:type="spellEnd"/>
      <w:r w:rsidRPr="007B667D">
        <w:rPr>
          <w:rFonts w:ascii="Arial Narrow" w:hAnsi="Arial Narrow" w:cstheme="minorHAnsi"/>
          <w:bCs/>
        </w:rPr>
        <w:t xml:space="preserve"> </w:t>
      </w:r>
      <w:proofErr w:type="spellStart"/>
      <w:r w:rsidRPr="007B667D">
        <w:rPr>
          <w:rFonts w:ascii="Arial Narrow" w:hAnsi="Arial Narrow" w:cstheme="minorHAnsi"/>
          <w:bCs/>
        </w:rPr>
        <w:t>healthcare</w:t>
      </w:r>
      <w:proofErr w:type="spellEnd"/>
      <w:r w:rsidRPr="007B667D">
        <w:rPr>
          <w:rFonts w:ascii="Arial Narrow" w:hAnsi="Arial Narrow" w:cstheme="minorHAnsi"/>
          <w:bCs/>
        </w:rPr>
        <w:t xml:space="preserve"> </w:t>
      </w:r>
      <w:proofErr w:type="spellStart"/>
      <w:r w:rsidRPr="007B667D">
        <w:rPr>
          <w:rFonts w:ascii="Arial Narrow" w:hAnsi="Arial Narrow" w:cstheme="minorHAnsi"/>
          <w:bCs/>
        </w:rPr>
        <w:t>professional</w:t>
      </w:r>
      <w:proofErr w:type="spellEnd"/>
      <w:r w:rsidRPr="007B667D">
        <w:rPr>
          <w:rFonts w:ascii="Arial Narrow" w:hAnsi="Arial Narrow" w:cstheme="minorHAnsi"/>
          <w:bCs/>
        </w:rPr>
        <w:t xml:space="preserve"> </w:t>
      </w:r>
      <w:proofErr w:type="spellStart"/>
      <w:r w:rsidRPr="007B667D">
        <w:rPr>
          <w:rFonts w:ascii="Arial Narrow" w:hAnsi="Arial Narrow" w:cstheme="minorHAnsi"/>
          <w:bCs/>
        </w:rPr>
        <w:t>Programme</w:t>
      </w:r>
      <w:proofErr w:type="spellEnd"/>
      <w:r w:rsidRPr="007B667D">
        <w:rPr>
          <w:rFonts w:ascii="Arial Narrow" w:hAnsi="Arial Narrow" w:cstheme="minorHAnsi"/>
          <w:bCs/>
        </w:rPr>
        <w:t xml:space="preserve"> </w:t>
      </w:r>
    </w:p>
    <w:p w14:paraId="3C16F254" w14:textId="54B0BDA5" w:rsidR="00403C72" w:rsidRPr="007B667D" w:rsidRDefault="00403C72" w:rsidP="00380612">
      <w:pPr>
        <w:jc w:val="center"/>
        <w:rPr>
          <w:rFonts w:ascii="Arial Narrow" w:hAnsi="Arial Narrow" w:cstheme="minorHAnsi"/>
          <w:bCs/>
        </w:rPr>
      </w:pPr>
      <w:r w:rsidRPr="007B667D">
        <w:rPr>
          <w:rFonts w:ascii="Arial Narrow" w:hAnsi="Arial Narrow" w:cstheme="minorHAnsi"/>
          <w:bCs/>
        </w:rPr>
        <w:t>(MHPP) (</w:t>
      </w:r>
      <w:proofErr w:type="spellStart"/>
      <w:r w:rsidRPr="007B667D">
        <w:rPr>
          <w:rFonts w:ascii="Arial Narrow" w:hAnsi="Arial Narrow" w:cstheme="minorHAnsi"/>
          <w:bCs/>
        </w:rPr>
        <w:t>Brannan</w:t>
      </w:r>
      <w:proofErr w:type="spellEnd"/>
      <w:r w:rsidRPr="007B667D">
        <w:rPr>
          <w:rFonts w:ascii="Arial Narrow" w:hAnsi="Arial Narrow" w:cstheme="minorHAnsi"/>
          <w:bCs/>
        </w:rPr>
        <w:t xml:space="preserve"> y col, 2019)</w:t>
      </w:r>
      <w:r w:rsidR="00145599" w:rsidRPr="007B667D">
        <w:rPr>
          <w:rFonts w:ascii="Arial Narrow" w:hAnsi="Arial Narrow" w:cstheme="minorHAnsi"/>
          <w:bCs/>
        </w:rPr>
        <w:t>.</w:t>
      </w:r>
    </w:p>
    <w:p w14:paraId="575B5DBA" w14:textId="77777777" w:rsidR="00403C72" w:rsidRPr="0051709F" w:rsidRDefault="00403C72" w:rsidP="009B1F89">
      <w:pPr>
        <w:shd w:val="clear" w:color="auto" w:fill="FFFFFF" w:themeFill="background1"/>
        <w:jc w:val="both"/>
        <w:rPr>
          <w:rFonts w:eastAsia="Times New Roman" w:cstheme="minorHAnsi"/>
          <w:lang w:eastAsia="es-ES"/>
        </w:rPr>
      </w:pPr>
    </w:p>
    <w:p w14:paraId="61FA1AF4" w14:textId="77777777" w:rsidR="00380612" w:rsidRPr="0051709F" w:rsidRDefault="00380612" w:rsidP="009B1F89">
      <w:pPr>
        <w:shd w:val="clear" w:color="auto" w:fill="FFFFFF" w:themeFill="background1"/>
        <w:jc w:val="both"/>
        <w:rPr>
          <w:rFonts w:eastAsia="Times New Roman" w:cstheme="minorHAnsi"/>
          <w:lang w:eastAsia="es-ES"/>
        </w:rPr>
      </w:pPr>
    </w:p>
    <w:p w14:paraId="672780E9" w14:textId="2E6D314D" w:rsidR="00403C72" w:rsidRPr="0051709F" w:rsidRDefault="00403C72" w:rsidP="009B1F89">
      <w:pPr>
        <w:shd w:val="clear" w:color="auto" w:fill="FFFFFF" w:themeFill="background1"/>
        <w:jc w:val="both"/>
        <w:rPr>
          <w:rFonts w:eastAsia="Times New Roman" w:cstheme="minorHAnsi"/>
          <w:lang w:eastAsia="es-ES"/>
        </w:rPr>
      </w:pPr>
      <w:r w:rsidRPr="0051709F">
        <w:rPr>
          <w:rFonts w:eastAsia="Times New Roman" w:cstheme="minorHAnsi"/>
          <w:lang w:eastAsia="es-ES"/>
        </w:rPr>
        <w:t xml:space="preserve">También se puede valorar </w:t>
      </w:r>
      <w:r w:rsidR="006D634E">
        <w:rPr>
          <w:rFonts w:eastAsia="Times New Roman" w:cstheme="minorHAnsi"/>
          <w:lang w:eastAsia="es-ES"/>
        </w:rPr>
        <w:t xml:space="preserve">y como desarrollo de la Estrategia de promoverá </w:t>
      </w:r>
      <w:r w:rsidRPr="0051709F">
        <w:rPr>
          <w:rFonts w:eastAsia="Times New Roman" w:cstheme="minorHAnsi"/>
          <w:lang w:eastAsia="es-ES"/>
        </w:rPr>
        <w:t xml:space="preserve">la formación específica. </w:t>
      </w:r>
      <w:r w:rsidR="006D634E">
        <w:rPr>
          <w:rFonts w:eastAsia="Times New Roman" w:cstheme="minorHAnsi"/>
          <w:lang w:eastAsia="es-ES"/>
        </w:rPr>
        <w:t>Así</w:t>
      </w:r>
      <w:r w:rsidR="006D634E" w:rsidRPr="0051709F">
        <w:rPr>
          <w:rFonts w:eastAsia="Times New Roman" w:cstheme="minorHAnsi"/>
          <w:lang w:eastAsia="es-ES"/>
        </w:rPr>
        <w:t xml:space="preserve"> </w:t>
      </w:r>
      <w:r w:rsidRPr="0051709F">
        <w:rPr>
          <w:rFonts w:eastAsia="Times New Roman" w:cstheme="minorHAnsi"/>
          <w:lang w:eastAsia="es-ES"/>
        </w:rPr>
        <w:t>ejemplo, en Australia, desde el año 2006, se reconoce al fisiólogo clínico del ejercicio, que recibe una educación universitaria de 4 o 5 años adquiriendo los conocimientos, recursos y competencias para diseñar, realizar y evaluar intervenciones con ejercicio seguras y efectivas para personas con enfermedades agudas, subagudas o crónicas, lesiones o discapacidades. Estos profesionales tienen que estar acreditados por ESSA (</w:t>
      </w:r>
      <w:proofErr w:type="spellStart"/>
      <w:r w:rsidRPr="0051709F">
        <w:rPr>
          <w:rFonts w:eastAsia="Times New Roman" w:cstheme="minorHAnsi"/>
          <w:lang w:eastAsia="es-ES"/>
        </w:rPr>
        <w:t>Exercise</w:t>
      </w:r>
      <w:proofErr w:type="spellEnd"/>
      <w:r w:rsidRPr="0051709F">
        <w:rPr>
          <w:rFonts w:eastAsia="Times New Roman" w:cstheme="minorHAnsi"/>
          <w:lang w:eastAsia="es-ES"/>
        </w:rPr>
        <w:t xml:space="preserve"> &amp; </w:t>
      </w:r>
      <w:proofErr w:type="spellStart"/>
      <w:r w:rsidRPr="0051709F">
        <w:rPr>
          <w:rFonts w:eastAsia="Times New Roman" w:cstheme="minorHAnsi"/>
          <w:lang w:eastAsia="es-ES"/>
        </w:rPr>
        <w:t>Sports</w:t>
      </w:r>
      <w:proofErr w:type="spellEnd"/>
      <w:r w:rsidRPr="0051709F">
        <w:rPr>
          <w:rFonts w:eastAsia="Times New Roman" w:cstheme="minorHAnsi"/>
          <w:lang w:eastAsia="es-ES"/>
        </w:rPr>
        <w:t xml:space="preserve"> </w:t>
      </w:r>
      <w:proofErr w:type="spellStart"/>
      <w:r w:rsidRPr="0051709F">
        <w:rPr>
          <w:rFonts w:eastAsia="Times New Roman" w:cstheme="minorHAnsi"/>
          <w:lang w:eastAsia="es-ES"/>
        </w:rPr>
        <w:t>Science</w:t>
      </w:r>
      <w:proofErr w:type="spellEnd"/>
      <w:r w:rsidRPr="0051709F">
        <w:rPr>
          <w:rFonts w:eastAsia="Times New Roman" w:cstheme="minorHAnsi"/>
          <w:lang w:eastAsia="es-ES"/>
        </w:rPr>
        <w:t xml:space="preserve"> Australia), se consideran profesión sanitaria y pueden trabajar en el Sistema Nacional de Salud (Zhou et al., 2019). Los autores califican la incorporación de estos profesionales como exitosa tanto en hospitales públicos como privados, centros especializados, </w:t>
      </w:r>
      <w:r w:rsidR="006D634E">
        <w:rPr>
          <w:rFonts w:eastAsia="Times New Roman" w:cstheme="minorHAnsi"/>
          <w:lang w:eastAsia="es-ES"/>
        </w:rPr>
        <w:t>y otros centros sanitarios</w:t>
      </w:r>
      <w:r w:rsidR="00B14CF7">
        <w:rPr>
          <w:rFonts w:eastAsia="Times New Roman" w:cstheme="minorHAnsi"/>
          <w:lang w:eastAsia="es-ES"/>
        </w:rPr>
        <w:t>.</w:t>
      </w:r>
    </w:p>
    <w:p w14:paraId="71894A66" w14:textId="77777777" w:rsidR="00403C72" w:rsidRPr="0051709F" w:rsidRDefault="00403C72" w:rsidP="009B1F89">
      <w:pPr>
        <w:shd w:val="clear" w:color="auto" w:fill="FFFFFF" w:themeFill="background1"/>
        <w:jc w:val="both"/>
        <w:rPr>
          <w:rFonts w:eastAsia="Times New Roman" w:cstheme="minorHAnsi"/>
          <w:lang w:eastAsia="es-ES"/>
        </w:rPr>
      </w:pPr>
    </w:p>
    <w:p w14:paraId="3AF83081" w14:textId="36DAE675" w:rsidR="00403C72" w:rsidRPr="0051709F" w:rsidRDefault="00403C72" w:rsidP="009B1F89">
      <w:pPr>
        <w:shd w:val="clear" w:color="auto" w:fill="FFFFFF" w:themeFill="background1"/>
        <w:jc w:val="both"/>
        <w:rPr>
          <w:rFonts w:eastAsia="Times New Roman" w:cstheme="minorHAnsi"/>
          <w:lang w:eastAsia="es-ES"/>
        </w:rPr>
      </w:pPr>
      <w:r w:rsidRPr="0051709F">
        <w:rPr>
          <w:rFonts w:eastAsia="Times New Roman" w:cstheme="minorHAnsi"/>
          <w:lang w:eastAsia="es-ES"/>
        </w:rPr>
        <w:t xml:space="preserve">Otro aspecto que se debe considerar en la formación de los profesionales incluidos en la Estrategia Nacional contra el Sedentarismo y la Inactividad Física es la </w:t>
      </w:r>
      <w:r w:rsidRPr="007B667D">
        <w:rPr>
          <w:rFonts w:eastAsia="Times New Roman" w:cstheme="minorHAnsi"/>
          <w:b/>
          <w:bCs/>
          <w:caps/>
          <w:lang w:eastAsia="es-ES"/>
        </w:rPr>
        <w:t>Comunicación</w:t>
      </w:r>
      <w:r w:rsidRPr="0051709F">
        <w:rPr>
          <w:rFonts w:eastAsia="Times New Roman" w:cstheme="minorHAnsi"/>
          <w:lang w:eastAsia="es-ES"/>
        </w:rPr>
        <w:t>. La comunicación adecuada del mensaje es</w:t>
      </w:r>
      <w:r w:rsidR="006D634E">
        <w:rPr>
          <w:rFonts w:eastAsia="Times New Roman" w:cstheme="minorHAnsi"/>
          <w:lang w:eastAsia="es-ES"/>
        </w:rPr>
        <w:t xml:space="preserve"> muy</w:t>
      </w:r>
      <w:r w:rsidRPr="0051709F">
        <w:rPr>
          <w:rFonts w:eastAsia="Times New Roman" w:cstheme="minorHAnsi"/>
          <w:lang w:eastAsia="es-ES"/>
        </w:rPr>
        <w:t xml:space="preserve"> importante. Hay autores que están proponiendo el uso de la Inteligencia Artificial y el Machine </w:t>
      </w:r>
      <w:proofErr w:type="spellStart"/>
      <w:r w:rsidRPr="0051709F">
        <w:rPr>
          <w:rFonts w:eastAsia="Times New Roman" w:cstheme="minorHAnsi"/>
          <w:lang w:eastAsia="es-ES"/>
        </w:rPr>
        <w:t>Learning</w:t>
      </w:r>
      <w:proofErr w:type="spellEnd"/>
      <w:r w:rsidRPr="0051709F">
        <w:rPr>
          <w:rFonts w:eastAsia="Times New Roman" w:cstheme="minorHAnsi"/>
          <w:lang w:eastAsia="es-ES"/>
        </w:rPr>
        <w:t xml:space="preserve"> para un entrenamiento accesible y viable, coste-efectivo y que no consum</w:t>
      </w:r>
      <w:r w:rsidR="006D634E">
        <w:rPr>
          <w:rFonts w:eastAsia="Times New Roman" w:cstheme="minorHAnsi"/>
          <w:lang w:eastAsia="es-ES"/>
        </w:rPr>
        <w:t>e</w:t>
      </w:r>
      <w:r w:rsidRPr="0051709F">
        <w:rPr>
          <w:rFonts w:eastAsia="Times New Roman" w:cstheme="minorHAnsi"/>
          <w:lang w:eastAsia="es-ES"/>
        </w:rPr>
        <w:t xml:space="preserve"> mucho tiempo para la adquisición de competencias de comunicación (</w:t>
      </w:r>
      <w:proofErr w:type="spellStart"/>
      <w:r w:rsidRPr="0051709F">
        <w:rPr>
          <w:rFonts w:eastAsia="Times New Roman" w:cstheme="minorHAnsi"/>
          <w:lang w:eastAsia="es-ES"/>
        </w:rPr>
        <w:t>Stamer</w:t>
      </w:r>
      <w:proofErr w:type="spellEnd"/>
      <w:r w:rsidRPr="0051709F">
        <w:rPr>
          <w:rFonts w:eastAsia="Times New Roman" w:cstheme="minorHAnsi"/>
          <w:lang w:eastAsia="es-ES"/>
        </w:rPr>
        <w:t xml:space="preserve"> y col, 2023).</w:t>
      </w:r>
    </w:p>
    <w:p w14:paraId="5E698BAB" w14:textId="77777777" w:rsidR="00403C72" w:rsidRPr="0051709F" w:rsidRDefault="00403C72" w:rsidP="009B1F89">
      <w:pPr>
        <w:shd w:val="clear" w:color="auto" w:fill="FFFFFF" w:themeFill="background1"/>
        <w:jc w:val="both"/>
        <w:rPr>
          <w:rFonts w:eastAsia="Times New Roman" w:cstheme="minorHAnsi"/>
          <w:b/>
          <w:bCs/>
          <w:i/>
          <w:iCs/>
          <w:color w:val="C00000"/>
          <w:lang w:eastAsia="es-ES"/>
        </w:rPr>
      </w:pPr>
    </w:p>
    <w:p w14:paraId="122011EA" w14:textId="3CD28EDE" w:rsidR="00403C72" w:rsidRPr="007B667D" w:rsidRDefault="00306089" w:rsidP="009B1F89">
      <w:pPr>
        <w:shd w:val="clear" w:color="auto" w:fill="FFFFFF"/>
        <w:jc w:val="both"/>
        <w:rPr>
          <w:rFonts w:eastAsia="Times New Roman" w:cstheme="minorHAnsi"/>
          <w:bCs/>
          <w:color w:val="000000" w:themeColor="text1"/>
          <w:lang w:eastAsia="es-ES"/>
        </w:rPr>
      </w:pPr>
      <w:r w:rsidRPr="007B667D">
        <w:rPr>
          <w:rFonts w:eastAsia="Times New Roman" w:cstheme="minorHAnsi"/>
          <w:bCs/>
          <w:color w:val="000000" w:themeColor="text1"/>
          <w:lang w:eastAsia="es-ES"/>
        </w:rPr>
        <w:t xml:space="preserve">A </w:t>
      </w:r>
      <w:r w:rsidR="00865634" w:rsidRPr="00865634">
        <w:rPr>
          <w:rFonts w:eastAsia="Times New Roman" w:cstheme="minorHAnsi"/>
          <w:bCs/>
          <w:color w:val="000000" w:themeColor="text1"/>
          <w:lang w:eastAsia="es-ES"/>
        </w:rPr>
        <w:t>continuación,</w:t>
      </w:r>
      <w:r w:rsidRPr="007B667D">
        <w:rPr>
          <w:rFonts w:eastAsia="Times New Roman" w:cstheme="minorHAnsi"/>
          <w:bCs/>
          <w:color w:val="000000" w:themeColor="text1"/>
          <w:lang w:eastAsia="es-ES"/>
        </w:rPr>
        <w:t xml:space="preserve"> se incluyen una relación no definitiva de i</w:t>
      </w:r>
      <w:r w:rsidR="00403C72" w:rsidRPr="007B667D">
        <w:rPr>
          <w:rFonts w:eastAsia="Times New Roman" w:cstheme="minorHAnsi"/>
          <w:bCs/>
          <w:color w:val="000000" w:themeColor="text1"/>
          <w:lang w:eastAsia="es-ES"/>
        </w:rPr>
        <w:t>ndicadores a integrar en su implementación que permitan una adecuada monitorización y evaluación del impacto en cada caso</w:t>
      </w:r>
      <w:r>
        <w:rPr>
          <w:rFonts w:eastAsia="Times New Roman" w:cstheme="minorHAnsi"/>
          <w:bCs/>
          <w:color w:val="000000" w:themeColor="text1"/>
          <w:lang w:eastAsia="es-ES"/>
        </w:rPr>
        <w:t>:</w:t>
      </w:r>
    </w:p>
    <w:p w14:paraId="735BFBF9" w14:textId="77777777" w:rsidR="00403C72" w:rsidRPr="0051709F" w:rsidRDefault="00403C72" w:rsidP="009B1F89">
      <w:pPr>
        <w:jc w:val="both"/>
        <w:rPr>
          <w:rFonts w:cstheme="minorHAnsi"/>
        </w:rPr>
      </w:pPr>
    </w:p>
    <w:p w14:paraId="2ADE619D" w14:textId="4D4EA3DF"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 xml:space="preserve">Número de profesionales que han recibido formación específica: médicos de AP, otros médicos, enfermeras, farmacéuticos, educadores físico-deportivos, otros profesionales de la salud. </w:t>
      </w:r>
    </w:p>
    <w:p w14:paraId="30539C14" w14:textId="5CF17EEC"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 xml:space="preserve">Número de universidades que han incluido en los planes de estudio de Medicina, Farmacia, Enfermería, Nutrición y Dietética, Fisioterapia, </w:t>
      </w:r>
      <w:r w:rsidR="006D634E" w:rsidRPr="00904220">
        <w:rPr>
          <w:rFonts w:asciiTheme="minorHAnsi" w:hAnsiTheme="minorHAnsi" w:cstheme="minorHAnsi"/>
          <w:lang w:val="es-ES"/>
        </w:rPr>
        <w:t xml:space="preserve">u otros similares </w:t>
      </w:r>
      <w:r w:rsidRPr="00904220">
        <w:rPr>
          <w:rFonts w:asciiTheme="minorHAnsi" w:hAnsiTheme="minorHAnsi" w:cstheme="minorHAnsi"/>
          <w:lang w:val="es-ES"/>
        </w:rPr>
        <w:t xml:space="preserve">módulos relacionados con la actividad física, el sedentarismo, la salud y la promoción. </w:t>
      </w:r>
    </w:p>
    <w:p w14:paraId="12976F27" w14:textId="379F0691"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 xml:space="preserve">Número de universidades que han incluido en los planes de estudio del Grado en Ciencias de la Actividad Física y del Deporte módulos relacionados con la nutrición, el ejercicio físico y la fisiopatología de las NDC. </w:t>
      </w:r>
    </w:p>
    <w:p w14:paraId="568FF45F" w14:textId="6ACBB28E"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lastRenderedPageBreak/>
        <w:t>Número de cursos online o de módulos de formación continua cursados.</w:t>
      </w:r>
    </w:p>
    <w:p w14:paraId="6B9ECC1B" w14:textId="238DCF2C"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Número de centros de AP adheridos a la Estrategia</w:t>
      </w:r>
      <w:r w:rsidR="006D634E" w:rsidRPr="00904220">
        <w:rPr>
          <w:rFonts w:asciiTheme="minorHAnsi" w:hAnsiTheme="minorHAnsi" w:cstheme="minorHAnsi"/>
          <w:lang w:val="es-ES"/>
        </w:rPr>
        <w:t>.</w:t>
      </w:r>
    </w:p>
    <w:p w14:paraId="460921B8" w14:textId="12519FE2" w:rsidR="00403C72" w:rsidRPr="00904220" w:rsidRDefault="00403C72" w:rsidP="00904220">
      <w:pPr>
        <w:pStyle w:val="Prrafodelista"/>
        <w:numPr>
          <w:ilvl w:val="0"/>
          <w:numId w:val="156"/>
        </w:numPr>
        <w:jc w:val="both"/>
        <w:rPr>
          <w:rFonts w:asciiTheme="minorHAnsi" w:hAnsiTheme="minorHAnsi" w:cstheme="minorHAnsi"/>
          <w:b/>
          <w:bCs/>
          <w:lang w:val="es-ES"/>
        </w:rPr>
      </w:pPr>
      <w:r w:rsidRPr="00904220">
        <w:rPr>
          <w:rFonts w:asciiTheme="minorHAnsi" w:hAnsiTheme="minorHAnsi" w:cstheme="minorHAnsi"/>
          <w:lang w:val="es-ES"/>
        </w:rPr>
        <w:t xml:space="preserve">Número de </w:t>
      </w:r>
      <w:r w:rsidR="00380612" w:rsidRPr="00904220">
        <w:rPr>
          <w:rFonts w:asciiTheme="minorHAnsi" w:hAnsiTheme="minorHAnsi" w:cstheme="minorHAnsi"/>
          <w:lang w:val="es-ES"/>
        </w:rPr>
        <w:t xml:space="preserve">consultores expertos en deporte y </w:t>
      </w:r>
      <w:proofErr w:type="spellStart"/>
      <w:r w:rsidR="00380612" w:rsidRPr="00904220">
        <w:rPr>
          <w:rFonts w:asciiTheme="minorHAnsi" w:hAnsiTheme="minorHAnsi" w:cstheme="minorHAnsi"/>
          <w:i/>
          <w:iCs/>
          <w:lang w:val="es-ES"/>
        </w:rPr>
        <w:t>Exercise</w:t>
      </w:r>
      <w:proofErr w:type="spellEnd"/>
      <w:r w:rsidR="00380612" w:rsidRPr="00904220">
        <w:rPr>
          <w:rFonts w:asciiTheme="minorHAnsi" w:hAnsiTheme="minorHAnsi" w:cstheme="minorHAnsi"/>
          <w:i/>
          <w:iCs/>
          <w:lang w:val="es-ES"/>
        </w:rPr>
        <w:t xml:space="preserve"> </w:t>
      </w:r>
      <w:proofErr w:type="spellStart"/>
      <w:r w:rsidR="00380612" w:rsidRPr="00904220">
        <w:rPr>
          <w:rFonts w:asciiTheme="minorHAnsi" w:hAnsiTheme="minorHAnsi" w:cstheme="minorHAnsi"/>
          <w:i/>
          <w:iCs/>
          <w:lang w:val="es-ES"/>
        </w:rPr>
        <w:t>is</w:t>
      </w:r>
      <w:proofErr w:type="spellEnd"/>
      <w:r w:rsidR="00380612" w:rsidRPr="00904220">
        <w:rPr>
          <w:rFonts w:asciiTheme="minorHAnsi" w:hAnsiTheme="minorHAnsi" w:cstheme="minorHAnsi"/>
          <w:i/>
          <w:iCs/>
          <w:lang w:val="es-ES"/>
        </w:rPr>
        <w:t xml:space="preserve"> Medicine</w:t>
      </w:r>
      <w:r w:rsidR="00380612" w:rsidRPr="00904220">
        <w:rPr>
          <w:rFonts w:asciiTheme="minorHAnsi" w:hAnsiTheme="minorHAnsi" w:cstheme="minorHAnsi"/>
          <w:lang w:val="es-ES"/>
        </w:rPr>
        <w:t xml:space="preserve"> formados</w:t>
      </w:r>
      <w:r w:rsidR="006D634E" w:rsidRPr="00904220">
        <w:rPr>
          <w:rFonts w:asciiTheme="minorHAnsi" w:hAnsiTheme="minorHAnsi" w:cstheme="minorHAnsi"/>
          <w:lang w:val="es-ES"/>
        </w:rPr>
        <w:t>.</w:t>
      </w:r>
    </w:p>
    <w:p w14:paraId="675F57B3" w14:textId="606F4CDC"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Número de kits de diagnóstico básico suministrados a los centros de atención primaria</w:t>
      </w:r>
      <w:r w:rsidR="006D634E" w:rsidRPr="00904220">
        <w:rPr>
          <w:rFonts w:asciiTheme="minorHAnsi" w:hAnsiTheme="minorHAnsi" w:cstheme="minorHAnsi"/>
          <w:lang w:val="es-ES"/>
        </w:rPr>
        <w:t>.</w:t>
      </w:r>
    </w:p>
    <w:p w14:paraId="4FB44F49" w14:textId="28E470C2" w:rsidR="00403C72" w:rsidRPr="00904220" w:rsidRDefault="00403C72" w:rsidP="00904220">
      <w:pPr>
        <w:pStyle w:val="Prrafodelista"/>
        <w:numPr>
          <w:ilvl w:val="0"/>
          <w:numId w:val="156"/>
        </w:numPr>
        <w:jc w:val="both"/>
        <w:rPr>
          <w:rFonts w:asciiTheme="minorHAnsi" w:hAnsiTheme="minorHAnsi" w:cstheme="minorHAnsi"/>
          <w:lang w:val="es-ES"/>
        </w:rPr>
      </w:pPr>
      <w:r w:rsidRPr="00904220">
        <w:rPr>
          <w:rFonts w:asciiTheme="minorHAnsi" w:hAnsiTheme="minorHAnsi" w:cstheme="minorHAnsi"/>
          <w:lang w:val="es-ES"/>
        </w:rPr>
        <w:t>Número de hospitales adheridos a la iniciativa Hospital Activo</w:t>
      </w:r>
      <w:r w:rsidR="006D634E" w:rsidRPr="00904220">
        <w:rPr>
          <w:rFonts w:asciiTheme="minorHAnsi" w:hAnsiTheme="minorHAnsi" w:cstheme="minorHAnsi"/>
          <w:lang w:val="es-ES"/>
        </w:rPr>
        <w:t>.</w:t>
      </w:r>
    </w:p>
    <w:p w14:paraId="53527484" w14:textId="5EC69E56" w:rsidR="00403C72" w:rsidRPr="003A2F81" w:rsidRDefault="00403C72" w:rsidP="00904220">
      <w:pPr>
        <w:pStyle w:val="Prrafodelista"/>
        <w:numPr>
          <w:ilvl w:val="0"/>
          <w:numId w:val="156"/>
        </w:numPr>
        <w:jc w:val="both"/>
        <w:rPr>
          <w:rFonts w:asciiTheme="minorHAnsi" w:hAnsiTheme="minorHAnsi" w:cstheme="minorHAnsi"/>
          <w:lang w:val="es-ES"/>
        </w:rPr>
      </w:pPr>
      <w:r w:rsidRPr="003A2F81">
        <w:rPr>
          <w:rFonts w:asciiTheme="minorHAnsi" w:hAnsiTheme="minorHAnsi" w:cstheme="minorHAnsi"/>
          <w:lang w:val="es-ES"/>
        </w:rPr>
        <w:t>Número de CENTROS DEPORTIVOS Y DE FITNESS adheridos a los programas de Unidades Activas de Ejercicio Físico</w:t>
      </w:r>
      <w:r w:rsidR="00306089" w:rsidRPr="003A2F81">
        <w:rPr>
          <w:rFonts w:asciiTheme="minorHAnsi" w:hAnsiTheme="minorHAnsi" w:cstheme="minorHAnsi"/>
          <w:lang w:val="es-ES"/>
        </w:rPr>
        <w:t>.</w:t>
      </w:r>
    </w:p>
    <w:p w14:paraId="284391B0" w14:textId="77777777" w:rsidR="00380612" w:rsidRPr="0051709F" w:rsidRDefault="00380612" w:rsidP="009B1F89">
      <w:pPr>
        <w:jc w:val="both"/>
        <w:rPr>
          <w:rFonts w:eastAsia="Calibri" w:cstheme="minorHAnsi"/>
          <w:i/>
        </w:rPr>
      </w:pPr>
    </w:p>
    <w:p w14:paraId="1D4CD35B" w14:textId="3C79D094" w:rsidR="00403C72" w:rsidRPr="0051709F" w:rsidRDefault="00403C72" w:rsidP="009B1F89">
      <w:pPr>
        <w:jc w:val="both"/>
        <w:rPr>
          <w:rFonts w:eastAsia="Calibri" w:cstheme="minorHAnsi"/>
          <w:i/>
        </w:rPr>
      </w:pPr>
      <w:r w:rsidRPr="0051709F">
        <w:rPr>
          <w:rFonts w:eastAsia="Calibri" w:cstheme="minorHAnsi"/>
          <w:i/>
        </w:rPr>
        <w:t>Nota: INDICADORES DE EFICACIA DE LOS ESPACIOS DEPORTIVOS No hay un criterio estándar establecido para valorar la eficacia de los espacios deportivos desde una perspectiva de salud pública. La racionalidad induce a seleccionar como criterios de eficacia el tiempo acumulado de uso para hacer AF y la relación del espacio deportivo con el nivel recomendado de AF. El primer criterio se refiere al tiempo total de uso acumulado por todos los usuarios en un espacio concreto, lo cual permite hacer valoraciones comparativas del soporte que cada espacio ofrece al gasto energético poblacional. El tiempo acumulado de uso de un espacio de AF es, junto a la intensidad de la AF, una de las dos medidas indirectas del gasto energético total que se produce en un espacio de AF determinado. El segundo criterio de eficacia se refiere a la fuerza de la asociación entre el uso habitual de un espacio dado y el logro del nivel recomendado de AF para la salud. Asumimos que aquellos espacios más fuertemente asociados con el nivel recomendado de AF para la salud proporcionan mejores oportunidades para alcanzar un nivel de AF protector de la salud (Serrano-Sánchez y Sanchís-</w:t>
      </w:r>
      <w:proofErr w:type="spellStart"/>
      <w:r w:rsidRPr="0051709F">
        <w:rPr>
          <w:rFonts w:eastAsia="Calibri" w:cstheme="minorHAnsi"/>
          <w:i/>
        </w:rPr>
        <w:t>Moysi</w:t>
      </w:r>
      <w:proofErr w:type="spellEnd"/>
      <w:r w:rsidRPr="0051709F">
        <w:rPr>
          <w:rFonts w:eastAsia="Calibri" w:cstheme="minorHAnsi"/>
          <w:i/>
        </w:rPr>
        <w:t>, 2023)</w:t>
      </w:r>
    </w:p>
    <w:p w14:paraId="6B9E8CC8" w14:textId="77777777" w:rsidR="00380612" w:rsidRPr="0051709F" w:rsidRDefault="00380612" w:rsidP="009B1F89">
      <w:pPr>
        <w:jc w:val="both"/>
        <w:rPr>
          <w:rFonts w:eastAsia="Calibri" w:cstheme="minorHAnsi"/>
          <w:i/>
        </w:rPr>
      </w:pPr>
    </w:p>
    <w:p w14:paraId="27551703" w14:textId="77777777" w:rsidR="00403C72" w:rsidRPr="0051709F" w:rsidRDefault="00403C72" w:rsidP="009B1F89">
      <w:pPr>
        <w:jc w:val="both"/>
        <w:rPr>
          <w:rFonts w:cstheme="minorHAnsi"/>
        </w:rPr>
      </w:pPr>
      <w:r w:rsidRPr="0051709F">
        <w:rPr>
          <w:rFonts w:cstheme="minorHAnsi"/>
        </w:rPr>
        <w:t xml:space="preserve">J. Evolución de Biomarcadores obtenidos de estudios científicos y centros adheridos a los estándares de la Estrategia: </w:t>
      </w:r>
    </w:p>
    <w:p w14:paraId="06609679" w14:textId="77777777" w:rsidR="00403C72" w:rsidRPr="0051709F" w:rsidRDefault="00403C72" w:rsidP="00D14ACA">
      <w:pPr>
        <w:pStyle w:val="Prrafodelista"/>
        <w:numPr>
          <w:ilvl w:val="0"/>
          <w:numId w:val="37"/>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Niveles medios de colesterol total, glucosa</w:t>
      </w:r>
    </w:p>
    <w:p w14:paraId="42796544" w14:textId="77777777" w:rsidR="00403C72" w:rsidRPr="0051709F" w:rsidRDefault="00403C72" w:rsidP="00D14ACA">
      <w:pPr>
        <w:pStyle w:val="Prrafodelista"/>
        <w:numPr>
          <w:ilvl w:val="0"/>
          <w:numId w:val="37"/>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Niveles de condición física: fuerza prensión manual, VO2max, fuerza piernas, equilibrio</w:t>
      </w:r>
    </w:p>
    <w:p w14:paraId="462EBC37" w14:textId="77777777" w:rsidR="00403C72" w:rsidRPr="0051709F" w:rsidRDefault="00403C72" w:rsidP="00D14ACA">
      <w:pPr>
        <w:pStyle w:val="Prrafodelista"/>
        <w:numPr>
          <w:ilvl w:val="0"/>
          <w:numId w:val="37"/>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Porcentaje de sobrepeso y obesidad en la población</w:t>
      </w:r>
    </w:p>
    <w:p w14:paraId="09F77402" w14:textId="77777777" w:rsidR="00403C72" w:rsidRPr="0051709F" w:rsidRDefault="00403C72" w:rsidP="00D14ACA">
      <w:pPr>
        <w:pStyle w:val="Prrafodelista"/>
        <w:numPr>
          <w:ilvl w:val="0"/>
          <w:numId w:val="37"/>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Horas de actividad física espontánea (NEAT)</w:t>
      </w:r>
    </w:p>
    <w:p w14:paraId="752A2506" w14:textId="77777777" w:rsidR="00403C72" w:rsidRPr="0051709F" w:rsidRDefault="00403C72" w:rsidP="00D14ACA">
      <w:pPr>
        <w:pStyle w:val="Prrafodelista"/>
        <w:numPr>
          <w:ilvl w:val="0"/>
          <w:numId w:val="37"/>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Horas de ejercicio físico (EAT)</w:t>
      </w:r>
    </w:p>
    <w:p w14:paraId="6CDB4F23" w14:textId="0C67C7CF" w:rsidR="00403C72" w:rsidRDefault="00403C72" w:rsidP="00D14ACA">
      <w:pPr>
        <w:pStyle w:val="Prrafodelista"/>
        <w:numPr>
          <w:ilvl w:val="0"/>
          <w:numId w:val="37"/>
        </w:numPr>
        <w:jc w:val="both"/>
        <w:rPr>
          <w:rFonts w:asciiTheme="minorHAnsi" w:hAnsiTheme="minorHAnsi" w:cstheme="minorHAnsi"/>
          <w:sz w:val="24"/>
          <w:szCs w:val="24"/>
        </w:rPr>
      </w:pPr>
      <w:r w:rsidRPr="0051709F">
        <w:rPr>
          <w:rFonts w:asciiTheme="minorHAnsi" w:hAnsiTheme="minorHAnsi" w:cstheme="minorHAnsi"/>
          <w:sz w:val="24"/>
          <w:szCs w:val="24"/>
        </w:rPr>
        <w:t xml:space="preserve">Horas de </w:t>
      </w:r>
      <w:proofErr w:type="spellStart"/>
      <w:r w:rsidRPr="0051709F">
        <w:rPr>
          <w:rFonts w:asciiTheme="minorHAnsi" w:hAnsiTheme="minorHAnsi" w:cstheme="minorHAnsi"/>
          <w:sz w:val="24"/>
          <w:szCs w:val="24"/>
        </w:rPr>
        <w:t>sedentarismo</w:t>
      </w:r>
      <w:proofErr w:type="spellEnd"/>
      <w:r w:rsidR="00306089">
        <w:rPr>
          <w:rFonts w:asciiTheme="minorHAnsi" w:hAnsiTheme="minorHAnsi" w:cstheme="minorHAnsi"/>
          <w:sz w:val="24"/>
          <w:szCs w:val="24"/>
        </w:rPr>
        <w:t>.</w:t>
      </w:r>
    </w:p>
    <w:p w14:paraId="6E3667EC" w14:textId="77777777" w:rsidR="00143228" w:rsidRPr="0051709F" w:rsidRDefault="00143228" w:rsidP="00143228">
      <w:pPr>
        <w:pStyle w:val="Prrafodelista"/>
        <w:jc w:val="both"/>
        <w:rPr>
          <w:rFonts w:asciiTheme="minorHAnsi" w:hAnsiTheme="minorHAnsi" w:cstheme="minorHAnsi"/>
          <w:sz w:val="24"/>
          <w:szCs w:val="24"/>
        </w:rPr>
      </w:pPr>
    </w:p>
    <w:p w14:paraId="3477EA93" w14:textId="04690195" w:rsidR="00403C72" w:rsidRPr="0051709F" w:rsidRDefault="00403C72" w:rsidP="009B1F89">
      <w:pPr>
        <w:jc w:val="both"/>
        <w:rPr>
          <w:rFonts w:cstheme="minorHAnsi"/>
        </w:rPr>
      </w:pPr>
      <w:r w:rsidRPr="0051709F">
        <w:rPr>
          <w:rFonts w:cstheme="minorHAnsi"/>
        </w:rPr>
        <w:t>K.-Análisis de la evolución de facilitadores y barreras</w:t>
      </w:r>
      <w:r w:rsidR="00306089">
        <w:rPr>
          <w:rFonts w:cstheme="minorHAnsi"/>
        </w:rPr>
        <w:t>.</w:t>
      </w:r>
    </w:p>
    <w:p w14:paraId="66D5E558" w14:textId="77777777" w:rsidR="004B5891" w:rsidRDefault="004B5891" w:rsidP="003906F1">
      <w:pPr>
        <w:pStyle w:val="Ttulo1"/>
        <w:rPr>
          <w:rFonts w:asciiTheme="minorHAnsi" w:hAnsiTheme="minorHAnsi" w:cstheme="minorHAnsi"/>
          <w:sz w:val="24"/>
          <w:szCs w:val="24"/>
        </w:rPr>
      </w:pPr>
    </w:p>
    <w:p w14:paraId="72052754" w14:textId="77777777" w:rsidR="004B5891" w:rsidRDefault="004B5891" w:rsidP="003906F1">
      <w:pPr>
        <w:pStyle w:val="Ttulo1"/>
        <w:rPr>
          <w:rFonts w:asciiTheme="minorHAnsi" w:hAnsiTheme="minorHAnsi" w:cstheme="minorHAnsi"/>
          <w:sz w:val="24"/>
          <w:szCs w:val="24"/>
        </w:rPr>
      </w:pPr>
    </w:p>
    <w:p w14:paraId="29A0436C" w14:textId="77777777" w:rsidR="004B5891" w:rsidRDefault="004B5891" w:rsidP="004B5891"/>
    <w:p w14:paraId="3DB9D30E" w14:textId="77777777" w:rsidR="004B5891" w:rsidRDefault="004B5891" w:rsidP="004B5891"/>
    <w:p w14:paraId="39FBE482" w14:textId="77777777" w:rsidR="004B5891" w:rsidRDefault="004B5891" w:rsidP="004B5891"/>
    <w:p w14:paraId="58E00CE1" w14:textId="77777777" w:rsidR="004B5891" w:rsidRDefault="004B5891" w:rsidP="004B5891"/>
    <w:p w14:paraId="08C67F09" w14:textId="77777777" w:rsidR="004B5891" w:rsidRDefault="004B5891" w:rsidP="004B5891"/>
    <w:p w14:paraId="38578527" w14:textId="77777777" w:rsidR="004B5891" w:rsidRDefault="004B5891" w:rsidP="004B5891"/>
    <w:p w14:paraId="483B42CB" w14:textId="77777777" w:rsidR="004B5891" w:rsidRDefault="004B5891" w:rsidP="004B5891"/>
    <w:p w14:paraId="1896E379" w14:textId="77777777" w:rsidR="004B5891" w:rsidRDefault="004B5891" w:rsidP="004B5891"/>
    <w:p w14:paraId="192679B3" w14:textId="77777777" w:rsidR="004B5891" w:rsidRPr="004B5891" w:rsidRDefault="004B5891" w:rsidP="004B5891"/>
    <w:p w14:paraId="69EFBFEB" w14:textId="77777777" w:rsidR="004B5891" w:rsidRDefault="004B5891" w:rsidP="003906F1">
      <w:pPr>
        <w:pStyle w:val="Ttulo1"/>
        <w:rPr>
          <w:rFonts w:asciiTheme="minorHAnsi" w:hAnsiTheme="minorHAnsi" w:cstheme="minorHAnsi"/>
          <w:sz w:val="28"/>
          <w:szCs w:val="28"/>
        </w:rPr>
      </w:pPr>
    </w:p>
    <w:p w14:paraId="6BAD2D37" w14:textId="77777777" w:rsidR="00332D86" w:rsidRDefault="00332D86" w:rsidP="003906F1">
      <w:pPr>
        <w:pStyle w:val="Ttulo1"/>
        <w:rPr>
          <w:rFonts w:asciiTheme="minorHAnsi" w:hAnsiTheme="minorHAnsi" w:cstheme="minorHAnsi"/>
          <w:sz w:val="28"/>
          <w:szCs w:val="28"/>
        </w:rPr>
      </w:pPr>
    </w:p>
    <w:p w14:paraId="11561611" w14:textId="77777777" w:rsidR="00332D86" w:rsidRDefault="00332D86" w:rsidP="003906F1">
      <w:pPr>
        <w:pStyle w:val="Ttulo1"/>
        <w:rPr>
          <w:rFonts w:asciiTheme="minorHAnsi" w:hAnsiTheme="minorHAnsi" w:cstheme="minorHAnsi"/>
          <w:sz w:val="28"/>
          <w:szCs w:val="28"/>
        </w:rPr>
      </w:pPr>
    </w:p>
    <w:p w14:paraId="4B48DA06" w14:textId="77777777" w:rsidR="00332D86" w:rsidRDefault="00332D86" w:rsidP="003906F1">
      <w:pPr>
        <w:pStyle w:val="Ttulo1"/>
        <w:rPr>
          <w:rFonts w:asciiTheme="minorHAnsi" w:hAnsiTheme="minorHAnsi" w:cstheme="minorHAnsi"/>
          <w:sz w:val="28"/>
          <w:szCs w:val="28"/>
        </w:rPr>
      </w:pPr>
    </w:p>
    <w:p w14:paraId="069A2582" w14:textId="77777777" w:rsidR="00332D86" w:rsidRDefault="00332D86" w:rsidP="003906F1">
      <w:pPr>
        <w:pStyle w:val="Ttulo1"/>
        <w:rPr>
          <w:rFonts w:asciiTheme="minorHAnsi" w:hAnsiTheme="minorHAnsi" w:cstheme="minorHAnsi"/>
          <w:sz w:val="28"/>
          <w:szCs w:val="28"/>
        </w:rPr>
      </w:pPr>
    </w:p>
    <w:p w14:paraId="5272202B" w14:textId="77777777" w:rsidR="00332D86" w:rsidRDefault="00332D86" w:rsidP="003906F1">
      <w:pPr>
        <w:pStyle w:val="Ttulo1"/>
        <w:rPr>
          <w:rFonts w:asciiTheme="minorHAnsi" w:hAnsiTheme="minorHAnsi" w:cstheme="minorHAnsi"/>
          <w:sz w:val="28"/>
          <w:szCs w:val="28"/>
        </w:rPr>
      </w:pPr>
    </w:p>
    <w:p w14:paraId="2BA61DBB" w14:textId="77777777" w:rsidR="00332D86" w:rsidRDefault="00332D86" w:rsidP="003906F1">
      <w:pPr>
        <w:pStyle w:val="Ttulo1"/>
        <w:rPr>
          <w:rFonts w:asciiTheme="minorHAnsi" w:hAnsiTheme="minorHAnsi" w:cstheme="minorHAnsi"/>
          <w:sz w:val="28"/>
          <w:szCs w:val="28"/>
        </w:rPr>
      </w:pPr>
    </w:p>
    <w:p w14:paraId="12FC67BF" w14:textId="77777777" w:rsidR="00332D86" w:rsidRDefault="00332D86" w:rsidP="003906F1">
      <w:pPr>
        <w:pStyle w:val="Ttulo1"/>
        <w:rPr>
          <w:rFonts w:asciiTheme="minorHAnsi" w:hAnsiTheme="minorHAnsi" w:cstheme="minorHAnsi"/>
          <w:sz w:val="28"/>
          <w:szCs w:val="28"/>
        </w:rPr>
      </w:pPr>
    </w:p>
    <w:p w14:paraId="369441F0" w14:textId="77777777" w:rsidR="00332D86" w:rsidRDefault="00332D86" w:rsidP="003906F1">
      <w:pPr>
        <w:pStyle w:val="Ttulo1"/>
        <w:rPr>
          <w:rFonts w:asciiTheme="minorHAnsi" w:hAnsiTheme="minorHAnsi" w:cstheme="minorHAnsi"/>
          <w:sz w:val="28"/>
          <w:szCs w:val="28"/>
        </w:rPr>
      </w:pPr>
    </w:p>
    <w:p w14:paraId="07705D03" w14:textId="77777777" w:rsidR="00332D86" w:rsidRDefault="00332D86" w:rsidP="003906F1">
      <w:pPr>
        <w:pStyle w:val="Ttulo1"/>
        <w:rPr>
          <w:rFonts w:asciiTheme="minorHAnsi" w:hAnsiTheme="minorHAnsi" w:cstheme="minorHAnsi"/>
          <w:sz w:val="28"/>
          <w:szCs w:val="28"/>
        </w:rPr>
      </w:pPr>
    </w:p>
    <w:p w14:paraId="13244BB1" w14:textId="77777777" w:rsidR="00332D86" w:rsidRDefault="00332D86" w:rsidP="003906F1">
      <w:pPr>
        <w:pStyle w:val="Ttulo1"/>
        <w:rPr>
          <w:rFonts w:asciiTheme="minorHAnsi" w:hAnsiTheme="minorHAnsi" w:cstheme="minorHAnsi"/>
          <w:sz w:val="28"/>
          <w:szCs w:val="28"/>
        </w:rPr>
      </w:pPr>
    </w:p>
    <w:p w14:paraId="168F8FFF" w14:textId="77777777" w:rsidR="00332D86" w:rsidRDefault="00332D86" w:rsidP="003906F1">
      <w:pPr>
        <w:pStyle w:val="Ttulo1"/>
        <w:rPr>
          <w:rFonts w:asciiTheme="minorHAnsi" w:hAnsiTheme="minorHAnsi" w:cstheme="minorHAnsi"/>
          <w:sz w:val="28"/>
          <w:szCs w:val="28"/>
        </w:rPr>
      </w:pPr>
    </w:p>
    <w:p w14:paraId="6DDFEAE3" w14:textId="77777777" w:rsidR="00332D86" w:rsidRDefault="00332D86" w:rsidP="00332D86"/>
    <w:p w14:paraId="1EBA3303" w14:textId="77777777" w:rsidR="00332D86" w:rsidRDefault="00332D86" w:rsidP="00332D86"/>
    <w:p w14:paraId="07CB00D3" w14:textId="77777777" w:rsidR="00332D86" w:rsidRPr="00332D86" w:rsidRDefault="00332D86" w:rsidP="00332D86"/>
    <w:p w14:paraId="0D0ADE88" w14:textId="764C6393" w:rsidR="00332D86" w:rsidRPr="00332D86" w:rsidRDefault="00332D86" w:rsidP="00332D86">
      <w:pPr>
        <w:pStyle w:val="Ttulo1"/>
        <w:jc w:val="right"/>
        <w:rPr>
          <w:rFonts w:asciiTheme="minorHAnsi" w:hAnsiTheme="minorHAnsi" w:cstheme="minorHAnsi"/>
        </w:rPr>
      </w:pPr>
      <w:r w:rsidRPr="00332D86">
        <w:rPr>
          <w:rFonts w:asciiTheme="minorHAnsi" w:hAnsiTheme="minorHAnsi" w:cstheme="minorHAnsi"/>
        </w:rPr>
        <w:t>#</w:t>
      </w:r>
      <w:r w:rsidR="00143228">
        <w:rPr>
          <w:rFonts w:asciiTheme="minorHAnsi" w:hAnsiTheme="minorHAnsi" w:cstheme="minorHAnsi"/>
        </w:rPr>
        <w:t>5</w:t>
      </w:r>
      <w:r w:rsidRPr="00332D86">
        <w:rPr>
          <w:rFonts w:asciiTheme="minorHAnsi" w:hAnsiTheme="minorHAnsi" w:cstheme="minorHAnsi"/>
        </w:rPr>
        <w:t>.</w:t>
      </w:r>
      <w:r w:rsidR="00143228">
        <w:rPr>
          <w:rFonts w:asciiTheme="minorHAnsi" w:hAnsiTheme="minorHAnsi" w:cstheme="minorHAnsi"/>
        </w:rPr>
        <w:t>4</w:t>
      </w:r>
      <w:r w:rsidRPr="00332D86">
        <w:rPr>
          <w:rFonts w:asciiTheme="minorHAnsi" w:hAnsiTheme="minorHAnsi" w:cstheme="minorHAnsi"/>
        </w:rPr>
        <w:t xml:space="preserve"> Área de acción 3: </w:t>
      </w:r>
    </w:p>
    <w:p w14:paraId="2B2BFE20" w14:textId="11EB5AE6" w:rsidR="00332D86" w:rsidRPr="00332D86" w:rsidRDefault="00332D86" w:rsidP="00332D86">
      <w:pPr>
        <w:pStyle w:val="Ttulo1"/>
        <w:jc w:val="right"/>
        <w:rPr>
          <w:rFonts w:asciiTheme="minorHAnsi" w:hAnsiTheme="minorHAnsi" w:cstheme="minorHAnsi"/>
        </w:rPr>
      </w:pPr>
      <w:r w:rsidRPr="00332D86">
        <w:rPr>
          <w:rFonts w:asciiTheme="minorHAnsi" w:hAnsiTheme="minorHAnsi" w:cstheme="minorHAnsi"/>
        </w:rPr>
        <w:t xml:space="preserve">Medio Ambiente y Desarrollo Sostenible </w:t>
      </w:r>
    </w:p>
    <w:p w14:paraId="7248542B" w14:textId="77777777" w:rsidR="00332D86" w:rsidRPr="00332D86" w:rsidRDefault="00332D86" w:rsidP="00332D86">
      <w:pPr>
        <w:pStyle w:val="Ttulo1"/>
        <w:jc w:val="right"/>
        <w:rPr>
          <w:rFonts w:asciiTheme="minorHAnsi" w:hAnsiTheme="minorHAnsi" w:cstheme="minorHAnsi"/>
        </w:rPr>
      </w:pPr>
    </w:p>
    <w:p w14:paraId="1C4165E8" w14:textId="77777777" w:rsidR="00332D86" w:rsidRDefault="00332D86" w:rsidP="003906F1">
      <w:pPr>
        <w:pStyle w:val="Ttulo1"/>
        <w:rPr>
          <w:rFonts w:asciiTheme="minorHAnsi" w:hAnsiTheme="minorHAnsi" w:cstheme="minorHAnsi"/>
          <w:sz w:val="28"/>
          <w:szCs w:val="28"/>
        </w:rPr>
      </w:pPr>
    </w:p>
    <w:p w14:paraId="470345F8" w14:textId="77777777" w:rsidR="00332D86" w:rsidRDefault="00332D86" w:rsidP="00332D86"/>
    <w:p w14:paraId="0EB4AD7C" w14:textId="77777777" w:rsidR="00332D86" w:rsidRDefault="00332D86" w:rsidP="00332D86"/>
    <w:p w14:paraId="1B8C7152" w14:textId="77777777" w:rsidR="00332D86" w:rsidRDefault="00332D86" w:rsidP="00332D86"/>
    <w:p w14:paraId="4BCEBD51" w14:textId="77777777" w:rsidR="00332D86" w:rsidRDefault="00332D86" w:rsidP="00332D86"/>
    <w:p w14:paraId="55B92C2A" w14:textId="77777777" w:rsidR="00332D86" w:rsidRDefault="00332D86" w:rsidP="00332D86"/>
    <w:p w14:paraId="1FDE53B5" w14:textId="77777777" w:rsidR="00332D86" w:rsidRDefault="00332D86" w:rsidP="00332D86"/>
    <w:p w14:paraId="774DFFC2" w14:textId="77777777" w:rsidR="00332D86" w:rsidRDefault="00332D86" w:rsidP="00332D86"/>
    <w:p w14:paraId="39C6EF87" w14:textId="77777777" w:rsidR="00332D86" w:rsidRPr="00332D86" w:rsidRDefault="00332D86" w:rsidP="00332D86"/>
    <w:p w14:paraId="6C2038B2" w14:textId="77777777" w:rsidR="00332D86" w:rsidRDefault="00332D86" w:rsidP="003906F1">
      <w:pPr>
        <w:pStyle w:val="Ttulo1"/>
        <w:rPr>
          <w:rFonts w:asciiTheme="minorHAnsi" w:hAnsiTheme="minorHAnsi" w:cstheme="minorHAnsi"/>
          <w:sz w:val="28"/>
          <w:szCs w:val="28"/>
        </w:rPr>
      </w:pPr>
    </w:p>
    <w:p w14:paraId="6C7EF2E2" w14:textId="77777777" w:rsidR="00332D86" w:rsidRDefault="00332D86" w:rsidP="00332D86"/>
    <w:p w14:paraId="632A6F88" w14:textId="77777777" w:rsidR="00332D86" w:rsidRDefault="00332D86" w:rsidP="00332D86"/>
    <w:p w14:paraId="68765E4E" w14:textId="77777777" w:rsidR="00332D86" w:rsidRDefault="00332D86" w:rsidP="00332D86"/>
    <w:p w14:paraId="22DDB3DD" w14:textId="77777777" w:rsidR="00332D86" w:rsidRPr="00332D86" w:rsidRDefault="00332D86" w:rsidP="00332D86"/>
    <w:p w14:paraId="3D1DDBB5" w14:textId="7DA19085" w:rsidR="00380C49" w:rsidRPr="004B5891" w:rsidRDefault="00380C49" w:rsidP="003906F1">
      <w:pPr>
        <w:pStyle w:val="Ttulo1"/>
        <w:rPr>
          <w:rFonts w:asciiTheme="minorHAnsi" w:hAnsiTheme="minorHAnsi" w:cstheme="minorHAnsi"/>
          <w:sz w:val="28"/>
          <w:szCs w:val="28"/>
        </w:rPr>
      </w:pPr>
      <w:r w:rsidRPr="004B5891">
        <w:rPr>
          <w:rFonts w:asciiTheme="minorHAnsi" w:hAnsiTheme="minorHAnsi" w:cstheme="minorHAnsi"/>
          <w:sz w:val="28"/>
          <w:szCs w:val="28"/>
        </w:rPr>
        <w:t>#</w:t>
      </w:r>
      <w:r w:rsidR="00330A24">
        <w:rPr>
          <w:rFonts w:asciiTheme="minorHAnsi" w:hAnsiTheme="minorHAnsi" w:cstheme="minorHAnsi"/>
          <w:sz w:val="28"/>
          <w:szCs w:val="28"/>
        </w:rPr>
        <w:t>5.4</w:t>
      </w:r>
      <w:r w:rsidRPr="004B5891">
        <w:rPr>
          <w:rFonts w:asciiTheme="minorHAnsi" w:hAnsiTheme="minorHAnsi" w:cstheme="minorHAnsi"/>
          <w:sz w:val="28"/>
          <w:szCs w:val="28"/>
        </w:rPr>
        <w:t xml:space="preserve"> Área de acción </w:t>
      </w:r>
      <w:r w:rsidR="004B5891">
        <w:rPr>
          <w:rFonts w:asciiTheme="minorHAnsi" w:hAnsiTheme="minorHAnsi" w:cstheme="minorHAnsi"/>
          <w:sz w:val="28"/>
          <w:szCs w:val="28"/>
        </w:rPr>
        <w:t>3</w:t>
      </w:r>
      <w:r w:rsidRPr="004B5891">
        <w:rPr>
          <w:rFonts w:asciiTheme="minorHAnsi" w:hAnsiTheme="minorHAnsi" w:cstheme="minorHAnsi"/>
          <w:sz w:val="28"/>
          <w:szCs w:val="28"/>
        </w:rPr>
        <w:t xml:space="preserve">: Medio </w:t>
      </w:r>
      <w:r w:rsidR="004B5891">
        <w:rPr>
          <w:rFonts w:asciiTheme="minorHAnsi" w:hAnsiTheme="minorHAnsi" w:cstheme="minorHAnsi"/>
          <w:sz w:val="28"/>
          <w:szCs w:val="28"/>
        </w:rPr>
        <w:t>A</w:t>
      </w:r>
      <w:r w:rsidRPr="004B5891">
        <w:rPr>
          <w:rFonts w:asciiTheme="minorHAnsi" w:hAnsiTheme="minorHAnsi" w:cstheme="minorHAnsi"/>
          <w:sz w:val="28"/>
          <w:szCs w:val="28"/>
        </w:rPr>
        <w:t xml:space="preserve">mbiente y </w:t>
      </w:r>
      <w:r w:rsidR="00140A7B" w:rsidRPr="004B5891">
        <w:rPr>
          <w:rFonts w:asciiTheme="minorHAnsi" w:hAnsiTheme="minorHAnsi" w:cstheme="minorHAnsi"/>
          <w:sz w:val="28"/>
          <w:szCs w:val="28"/>
        </w:rPr>
        <w:t>D</w:t>
      </w:r>
      <w:r w:rsidRPr="004B5891">
        <w:rPr>
          <w:rFonts w:asciiTheme="minorHAnsi" w:hAnsiTheme="minorHAnsi" w:cstheme="minorHAnsi"/>
          <w:sz w:val="28"/>
          <w:szCs w:val="28"/>
        </w:rPr>
        <w:t xml:space="preserve">esarrollo </w:t>
      </w:r>
      <w:r w:rsidR="00140A7B" w:rsidRPr="004B5891">
        <w:rPr>
          <w:rFonts w:asciiTheme="minorHAnsi" w:hAnsiTheme="minorHAnsi" w:cstheme="minorHAnsi"/>
          <w:sz w:val="28"/>
          <w:szCs w:val="28"/>
        </w:rPr>
        <w:t>S</w:t>
      </w:r>
      <w:r w:rsidRPr="004B5891">
        <w:rPr>
          <w:rFonts w:asciiTheme="minorHAnsi" w:hAnsiTheme="minorHAnsi" w:cstheme="minorHAnsi"/>
          <w:sz w:val="28"/>
          <w:szCs w:val="28"/>
        </w:rPr>
        <w:t xml:space="preserve">ostenible </w:t>
      </w:r>
    </w:p>
    <w:p w14:paraId="6F1BF9C6" w14:textId="77777777" w:rsidR="00140A7B" w:rsidRPr="0051709F" w:rsidRDefault="00140A7B" w:rsidP="00140A7B">
      <w:pPr>
        <w:rPr>
          <w:rFonts w:cstheme="minorHAnsi"/>
          <w:lang w:val="es-ES_tradnl"/>
        </w:rPr>
      </w:pPr>
    </w:p>
    <w:p w14:paraId="5A254BE4" w14:textId="04683931" w:rsidR="004257F4" w:rsidRPr="0051709F" w:rsidRDefault="004257F4" w:rsidP="00140A7B">
      <w:pPr>
        <w:jc w:val="both"/>
        <w:rPr>
          <w:rFonts w:cstheme="minorHAnsi"/>
        </w:rPr>
      </w:pPr>
      <w:r w:rsidRPr="0051709F">
        <w:rPr>
          <w:rFonts w:cstheme="minorHAnsi"/>
        </w:rPr>
        <w:t>Garantizar una actividad física y deportiva saludable implica disponer de un entorno y de un planeta sano. Ahora más que nunca es importante diseñar un deporte, que además de integrarse en el modelo de país inspirado en la Agenda 2030, garantice las condiciones ambientales, sociales, culturales y económicas de la actividad.</w:t>
      </w:r>
    </w:p>
    <w:p w14:paraId="1406C3EA" w14:textId="77777777" w:rsidR="00140A7B" w:rsidRPr="0051709F" w:rsidRDefault="00140A7B" w:rsidP="00140A7B">
      <w:pPr>
        <w:jc w:val="both"/>
        <w:rPr>
          <w:rFonts w:cstheme="minorHAnsi"/>
        </w:rPr>
      </w:pPr>
    </w:p>
    <w:p w14:paraId="63DD5FB0" w14:textId="02445F40" w:rsidR="004257F4" w:rsidRPr="0051709F" w:rsidRDefault="004257F4" w:rsidP="00140A7B">
      <w:pPr>
        <w:jc w:val="both"/>
        <w:rPr>
          <w:rFonts w:cstheme="minorHAnsi"/>
        </w:rPr>
      </w:pPr>
      <w:r w:rsidRPr="0051709F">
        <w:rPr>
          <w:rFonts w:cstheme="minorHAnsi"/>
        </w:rPr>
        <w:t>Esta estrategia se articula en ocho grandes retos en los que se integran de manera transversal los Objetivos de Desarrollo Sostenible</w:t>
      </w:r>
      <w:r w:rsidR="00140A7B" w:rsidRPr="0051709F">
        <w:rPr>
          <w:rFonts w:cstheme="minorHAnsi"/>
        </w:rPr>
        <w:t>.</w:t>
      </w:r>
      <w:r w:rsidRPr="0051709F">
        <w:rPr>
          <w:rFonts w:cstheme="minorHAnsi"/>
        </w:rPr>
        <w:t xml:space="preserve"> </w:t>
      </w:r>
    </w:p>
    <w:p w14:paraId="46CC4D3D" w14:textId="77777777" w:rsidR="00140A7B" w:rsidRPr="0051709F" w:rsidRDefault="00140A7B" w:rsidP="00140A7B">
      <w:pPr>
        <w:jc w:val="both"/>
        <w:rPr>
          <w:rFonts w:cstheme="minorHAnsi"/>
        </w:rPr>
      </w:pPr>
    </w:p>
    <w:p w14:paraId="3EACD86D" w14:textId="384A2216" w:rsidR="004257F4" w:rsidRPr="0051709F" w:rsidRDefault="004257F4" w:rsidP="00140A7B">
      <w:pPr>
        <w:jc w:val="both"/>
        <w:rPr>
          <w:rFonts w:cstheme="minorHAnsi"/>
        </w:rPr>
      </w:pPr>
      <w:r w:rsidRPr="0051709F">
        <w:rPr>
          <w:rFonts w:cstheme="minorHAnsi"/>
        </w:rPr>
        <w:t xml:space="preserve">Previa a la Estrategia de Desarrollo Sostenible 2030 del Gobierno de España, en la declaración de Bangkok sobre la actividad fisca para la salud mundial y el desarrollo sostenible organizado por la Sociedad Internacional de Actividad Física y Salud  (16-19 de noviembre de 2016), ya se identificó el impulso que los Objetivos de Desarrollo Sostenible pueden dar al fomento de la actividad física, </w:t>
      </w:r>
      <w:r w:rsidR="008B7AC5">
        <w:rPr>
          <w:rFonts w:cstheme="minorHAnsi"/>
        </w:rPr>
        <w:t xml:space="preserve">y </w:t>
      </w:r>
      <w:r w:rsidRPr="0051709F">
        <w:rPr>
          <w:rFonts w:cstheme="minorHAnsi"/>
        </w:rPr>
        <w:t xml:space="preserve">como la actividad física puede contribuir a su </w:t>
      </w:r>
      <w:r w:rsidR="008B7AC5">
        <w:rPr>
          <w:rFonts w:cstheme="minorHAnsi"/>
        </w:rPr>
        <w:t>consecución, instando a</w:t>
      </w:r>
      <w:r w:rsidRPr="0051709F">
        <w:rPr>
          <w:rFonts w:cstheme="minorHAnsi"/>
        </w:rPr>
        <w:t xml:space="preserve"> gobiernos, </w:t>
      </w:r>
      <w:r w:rsidR="008B7AC5">
        <w:rPr>
          <w:rFonts w:cstheme="minorHAnsi"/>
        </w:rPr>
        <w:t>decisores</w:t>
      </w:r>
      <w:r w:rsidRPr="0051709F">
        <w:rPr>
          <w:rFonts w:cstheme="minorHAnsi"/>
        </w:rPr>
        <w:t>, donantes y partes interesadas a:</w:t>
      </w:r>
    </w:p>
    <w:p w14:paraId="150AE0A6" w14:textId="77777777" w:rsidR="00140A7B" w:rsidRPr="0051709F" w:rsidRDefault="00140A7B" w:rsidP="00140A7B">
      <w:pPr>
        <w:jc w:val="both"/>
        <w:rPr>
          <w:rFonts w:cstheme="minorHAnsi"/>
        </w:rPr>
      </w:pPr>
    </w:p>
    <w:p w14:paraId="41CB51C6" w14:textId="412E93AF" w:rsidR="004257F4" w:rsidRPr="0051709F" w:rsidRDefault="004257F4" w:rsidP="00140A7B">
      <w:pPr>
        <w:jc w:val="both"/>
        <w:rPr>
          <w:rFonts w:cstheme="minorHAnsi"/>
        </w:rPr>
      </w:pPr>
      <w:r w:rsidRPr="0051709F">
        <w:rPr>
          <w:rFonts w:cstheme="minorHAnsi"/>
        </w:rPr>
        <w:t>1.- Renovar los compromisos para invertir e implementar, a escala y ritmo, medidas políticas a fin de disminuir la inactividad física a lo largo del curso de la vida como una contribución a la reducción de la carga mundial de las ENT y para alcanzar los objetivos de la Agenda 2030</w:t>
      </w:r>
      <w:r w:rsidR="008B7AC5">
        <w:rPr>
          <w:rFonts w:cstheme="minorHAnsi"/>
        </w:rPr>
        <w:t xml:space="preserve">, </w:t>
      </w:r>
      <w:r w:rsidRPr="0051709F">
        <w:rPr>
          <w:rFonts w:cstheme="minorHAnsi"/>
        </w:rPr>
        <w:t xml:space="preserve">ODS 3, 4, 5, 10, 13, 15 y 16: </w:t>
      </w:r>
      <w:r w:rsidR="008B7AC5">
        <w:rPr>
          <w:rFonts w:cstheme="minorHAnsi"/>
        </w:rPr>
        <w:t>l</w:t>
      </w:r>
      <w:r w:rsidRPr="0051709F">
        <w:rPr>
          <w:rFonts w:cstheme="minorHAnsi"/>
        </w:rPr>
        <w:t xml:space="preserve">as medidas necesarias para reducir la inactividad física requieren mayor priorización, liderazgo multisectorial, asociaciones, y un compromiso sostenido, así como una asignación focalizada de recursos. </w:t>
      </w:r>
    </w:p>
    <w:p w14:paraId="71E9EE4D" w14:textId="77777777" w:rsidR="00140A7B" w:rsidRPr="0051709F" w:rsidRDefault="00140A7B" w:rsidP="00140A7B">
      <w:pPr>
        <w:jc w:val="both"/>
        <w:rPr>
          <w:rFonts w:cstheme="minorHAnsi"/>
        </w:rPr>
      </w:pPr>
    </w:p>
    <w:p w14:paraId="300CFE4F" w14:textId="623CF60A" w:rsidR="004257F4" w:rsidRPr="0051709F" w:rsidRDefault="004257F4" w:rsidP="00140A7B">
      <w:pPr>
        <w:jc w:val="both"/>
        <w:rPr>
          <w:rFonts w:cstheme="minorHAnsi"/>
        </w:rPr>
      </w:pPr>
      <w:r w:rsidRPr="0051709F">
        <w:rPr>
          <w:rFonts w:cstheme="minorHAnsi"/>
        </w:rPr>
        <w:t xml:space="preserve">2. Establecer plataformas nacionales de participación y coordinación multisectorial: </w:t>
      </w:r>
    </w:p>
    <w:p w14:paraId="4D464267" w14:textId="77777777" w:rsidR="00140A7B" w:rsidRPr="0051709F" w:rsidRDefault="00140A7B" w:rsidP="00140A7B">
      <w:pPr>
        <w:jc w:val="both"/>
        <w:rPr>
          <w:rFonts w:cstheme="minorHAnsi"/>
        </w:rPr>
      </w:pPr>
    </w:p>
    <w:p w14:paraId="346538EB" w14:textId="32E47ED6" w:rsidR="00CE2885" w:rsidRPr="0051709F" w:rsidRDefault="004257F4" w:rsidP="00140A7B">
      <w:pPr>
        <w:jc w:val="both"/>
        <w:rPr>
          <w:rFonts w:cstheme="minorHAnsi"/>
        </w:rPr>
      </w:pPr>
      <w:r w:rsidRPr="0051709F">
        <w:rPr>
          <w:rFonts w:cstheme="minorHAnsi"/>
        </w:rPr>
        <w:t xml:space="preserve">Todos los países deben desarrollar, alimentar e implementar planes de acción nacionales sobre la actividad física. Para ser eficaces, los planes deben incluir mecanismos y recursos que involucren a actores de distintos sectores, dentro y fuera del sector de la salud, e incluir sinergias potenciales con el desarrollo sostenible, así como contribuir a reducir las desigualdades en salud relacionadas al sexo, edad, raza/etnia, orientación sexual, situación socioeconómica y personas con discapacidad. </w:t>
      </w:r>
    </w:p>
    <w:p w14:paraId="39C85994" w14:textId="77777777" w:rsidR="00365180" w:rsidRPr="0051709F" w:rsidRDefault="00365180" w:rsidP="00140A7B">
      <w:pPr>
        <w:jc w:val="both"/>
        <w:rPr>
          <w:rFonts w:cstheme="minorHAnsi"/>
        </w:rPr>
      </w:pPr>
    </w:p>
    <w:p w14:paraId="6F914DB6" w14:textId="231A0F44" w:rsidR="004257F4" w:rsidRPr="0051709F" w:rsidRDefault="004257F4" w:rsidP="00140A7B">
      <w:pPr>
        <w:jc w:val="both"/>
        <w:rPr>
          <w:rFonts w:cstheme="minorHAnsi"/>
        </w:rPr>
      </w:pPr>
      <w:r w:rsidRPr="0051709F">
        <w:rPr>
          <w:rFonts w:cstheme="minorHAnsi"/>
        </w:rPr>
        <w:t xml:space="preserve">3. Desarrollar capacidad en la fuerza laboral: </w:t>
      </w:r>
    </w:p>
    <w:p w14:paraId="560AA77F" w14:textId="77777777" w:rsidR="00140A7B" w:rsidRPr="0051709F" w:rsidRDefault="00140A7B" w:rsidP="00140A7B">
      <w:pPr>
        <w:jc w:val="both"/>
        <w:rPr>
          <w:rFonts w:cstheme="minorHAnsi"/>
        </w:rPr>
      </w:pPr>
    </w:p>
    <w:p w14:paraId="345F20C0" w14:textId="77777777" w:rsidR="004257F4" w:rsidRPr="0051709F" w:rsidRDefault="004257F4" w:rsidP="00140A7B">
      <w:pPr>
        <w:jc w:val="both"/>
        <w:rPr>
          <w:rFonts w:cstheme="minorHAnsi"/>
        </w:rPr>
      </w:pPr>
      <w:r w:rsidRPr="0051709F">
        <w:rPr>
          <w:rFonts w:cstheme="minorHAnsi"/>
        </w:rPr>
        <w:t xml:space="preserve">La capacitación y el desarrollo de la fuerza laboral es fundamental para lograr la reducción efectiva de la inactividad. La construcción de capacidades debe ser multiprofesional, incluyendo tanto la atención sanitaria y social como a los planificadores urbanos, arquitectos, profesores, encargados de deporte y recreación, educadores, responsables políticos y la fuerza de trabajo no gubernamental. Los enfoques deben integrarse en los niveles educativos de pregrado, posgrado y profesionales, así como también se deben considerar las necesidades de los voluntarios y líderes comunitarios. </w:t>
      </w:r>
    </w:p>
    <w:p w14:paraId="385683BB" w14:textId="77777777" w:rsidR="00140A7B" w:rsidRDefault="004257F4" w:rsidP="00140A7B">
      <w:pPr>
        <w:jc w:val="both"/>
        <w:rPr>
          <w:rFonts w:cstheme="minorHAnsi"/>
        </w:rPr>
      </w:pPr>
      <w:r w:rsidRPr="0051709F">
        <w:rPr>
          <w:rFonts w:cstheme="minorHAnsi"/>
        </w:rPr>
        <w:tab/>
      </w:r>
    </w:p>
    <w:p w14:paraId="22BED9F5" w14:textId="77777777" w:rsidR="004B5891" w:rsidRPr="0051709F" w:rsidRDefault="004B5891" w:rsidP="00140A7B">
      <w:pPr>
        <w:jc w:val="both"/>
        <w:rPr>
          <w:rFonts w:cstheme="minorHAnsi"/>
        </w:rPr>
      </w:pPr>
    </w:p>
    <w:p w14:paraId="4078334D" w14:textId="3D747919" w:rsidR="004257F4" w:rsidRPr="0051709F" w:rsidRDefault="004257F4" w:rsidP="00140A7B">
      <w:pPr>
        <w:jc w:val="both"/>
        <w:rPr>
          <w:rFonts w:cstheme="minorHAnsi"/>
        </w:rPr>
      </w:pPr>
      <w:r w:rsidRPr="0051709F">
        <w:rPr>
          <w:rFonts w:cstheme="minorHAnsi"/>
        </w:rPr>
        <w:t xml:space="preserve">4. Aumentar la asistencia técnica y compartir experiencias: </w:t>
      </w:r>
    </w:p>
    <w:p w14:paraId="682C8F49" w14:textId="77777777" w:rsidR="00140A7B" w:rsidRPr="0051709F" w:rsidRDefault="00140A7B" w:rsidP="00140A7B">
      <w:pPr>
        <w:jc w:val="both"/>
        <w:rPr>
          <w:rFonts w:cstheme="minorHAnsi"/>
        </w:rPr>
      </w:pPr>
    </w:p>
    <w:p w14:paraId="5E54EABC" w14:textId="01CB1D38" w:rsidR="004257F4" w:rsidRPr="0051709F" w:rsidRDefault="004257F4" w:rsidP="00140A7B">
      <w:pPr>
        <w:jc w:val="both"/>
        <w:rPr>
          <w:rFonts w:cstheme="minorHAnsi"/>
        </w:rPr>
      </w:pPr>
      <w:r w:rsidRPr="0051709F">
        <w:rPr>
          <w:rFonts w:cstheme="minorHAnsi"/>
        </w:rPr>
        <w:t xml:space="preserve">Muchos países requieren asistencia técnica y orientación para apoyar el desarrollo, la implementación y la evaluación de los planes de acción nacionales sobre actividad física, así como asesoramiento sobre la creación de asociaciones sostenibles. Es posible lograr más mediante la colaboración y el intercambio a nivel mundial, y debe haber inversiones para apoyar la transferencia de conocimientos y las redes profesionales a nivel mundial, regional y nacional para ayudar a todos los países a avanzar hacia las metas mundiales de prevención y control de las ENT para el 2025 y las de la Agenda 2030. </w:t>
      </w:r>
    </w:p>
    <w:p w14:paraId="2177988E" w14:textId="77777777" w:rsidR="00140A7B" w:rsidRPr="0051709F" w:rsidRDefault="00140A7B" w:rsidP="00140A7B">
      <w:pPr>
        <w:jc w:val="both"/>
        <w:rPr>
          <w:rFonts w:cstheme="minorHAnsi"/>
        </w:rPr>
      </w:pPr>
    </w:p>
    <w:p w14:paraId="7ABE1F5C" w14:textId="5DEB2858" w:rsidR="004257F4" w:rsidRPr="0051709F" w:rsidRDefault="004257F4" w:rsidP="00140A7B">
      <w:pPr>
        <w:jc w:val="both"/>
        <w:rPr>
          <w:rFonts w:cstheme="minorHAnsi"/>
        </w:rPr>
      </w:pPr>
      <w:r w:rsidRPr="0051709F">
        <w:rPr>
          <w:rFonts w:cstheme="minorHAnsi"/>
        </w:rPr>
        <w:t xml:space="preserve">5. Fortalecer el monitoreo y la vigilancia: </w:t>
      </w:r>
    </w:p>
    <w:p w14:paraId="7C8E158F" w14:textId="77777777" w:rsidR="00140A7B" w:rsidRPr="0051709F" w:rsidRDefault="00140A7B" w:rsidP="00140A7B">
      <w:pPr>
        <w:jc w:val="both"/>
        <w:rPr>
          <w:rFonts w:cstheme="minorHAnsi"/>
        </w:rPr>
      </w:pPr>
    </w:p>
    <w:p w14:paraId="6AC6104B" w14:textId="0424383C" w:rsidR="004257F4" w:rsidRPr="0051709F" w:rsidRDefault="004257F4" w:rsidP="00140A7B">
      <w:pPr>
        <w:jc w:val="both"/>
        <w:rPr>
          <w:rFonts w:cstheme="minorHAnsi"/>
        </w:rPr>
      </w:pPr>
      <w:r w:rsidRPr="0051709F">
        <w:rPr>
          <w:rFonts w:cstheme="minorHAnsi"/>
        </w:rPr>
        <w:t xml:space="preserve">El monitoreo y la presentación de informes de avances regulares sobre la actividad física, sus determinantes y una política de implementación son esenciales para que todos los países rindan cuentas de sus compromisos y puedan guiar con eficiencia la asignación de recursos. Sin embargo, existen importantes lagunas en la vigilancia de la actividad física en niños, jóvenes, adultos mayores, y dentro de las poblaciones minoritarias; </w:t>
      </w:r>
    </w:p>
    <w:p w14:paraId="45CD3B0A" w14:textId="77777777" w:rsidR="00140A7B" w:rsidRPr="0051709F" w:rsidRDefault="00140A7B" w:rsidP="00140A7B">
      <w:pPr>
        <w:jc w:val="both"/>
        <w:rPr>
          <w:rFonts w:cstheme="minorHAnsi"/>
        </w:rPr>
      </w:pPr>
    </w:p>
    <w:p w14:paraId="4B6C0176" w14:textId="6C88590D" w:rsidR="004257F4" w:rsidRPr="0051709F" w:rsidRDefault="004257F4" w:rsidP="00140A7B">
      <w:pPr>
        <w:jc w:val="both"/>
        <w:rPr>
          <w:rFonts w:cstheme="minorHAnsi"/>
        </w:rPr>
      </w:pPr>
      <w:r w:rsidRPr="0051709F">
        <w:rPr>
          <w:rFonts w:cstheme="minorHAnsi"/>
        </w:rPr>
        <w:t xml:space="preserve">6. Apoyar y promover la colaboración, la investigación y la evaluación de políticas: </w:t>
      </w:r>
    </w:p>
    <w:p w14:paraId="65A2B9A1" w14:textId="77777777" w:rsidR="00140A7B" w:rsidRPr="0051709F" w:rsidRDefault="00140A7B" w:rsidP="00140A7B">
      <w:pPr>
        <w:jc w:val="both"/>
        <w:rPr>
          <w:rFonts w:cstheme="minorHAnsi"/>
        </w:rPr>
      </w:pPr>
    </w:p>
    <w:p w14:paraId="0980DB38" w14:textId="02E29E8E" w:rsidR="004257F4" w:rsidRPr="0051709F" w:rsidRDefault="004257F4" w:rsidP="00140A7B">
      <w:pPr>
        <w:jc w:val="both"/>
        <w:rPr>
          <w:rFonts w:cstheme="minorHAnsi"/>
        </w:rPr>
      </w:pPr>
      <w:r w:rsidRPr="0051709F">
        <w:rPr>
          <w:rFonts w:cstheme="minorHAnsi"/>
        </w:rPr>
        <w:t xml:space="preserve">La colaboración entre investigadores y responsables de la formulación de políticas, incluidas las agencias de financiación </w:t>
      </w:r>
      <w:r w:rsidR="008B7AC5">
        <w:rPr>
          <w:rFonts w:cstheme="minorHAnsi"/>
        </w:rPr>
        <w:t>de</w:t>
      </w:r>
      <w:r w:rsidRPr="0051709F">
        <w:rPr>
          <w:rFonts w:cstheme="minorHAnsi"/>
        </w:rPr>
        <w:t xml:space="preserve"> investigación médica y social, para impulsar la base de evidencias con especial énfasis en abordar las deficiencias del conocimiento en áreas como la de los análisis económicos multisectoriales, la investigación para la implementación a nivel de población, y la evaluación de políticas y procesos. Hay una necesidad particular de cooperar con aquello que realmente funciona para reducir la inactividad, especialmente en los países de ingresos bajos y medianos. </w:t>
      </w:r>
    </w:p>
    <w:p w14:paraId="703DBEA9" w14:textId="77777777" w:rsidR="00140A7B" w:rsidRPr="0051709F" w:rsidRDefault="00140A7B" w:rsidP="00140A7B">
      <w:pPr>
        <w:jc w:val="both"/>
        <w:rPr>
          <w:rFonts w:cstheme="minorHAnsi"/>
        </w:rPr>
      </w:pPr>
    </w:p>
    <w:p w14:paraId="1E7E6736" w14:textId="77777777" w:rsidR="00140A7B" w:rsidRPr="0051709F" w:rsidRDefault="00140A7B" w:rsidP="00140A7B">
      <w:pPr>
        <w:jc w:val="both"/>
        <w:rPr>
          <w:rFonts w:cstheme="minorHAnsi"/>
        </w:rPr>
      </w:pPr>
    </w:p>
    <w:p w14:paraId="28F22FE0" w14:textId="77777777" w:rsidR="00140A7B" w:rsidRPr="0051709F" w:rsidRDefault="00140A7B" w:rsidP="00140A7B">
      <w:pPr>
        <w:jc w:val="both"/>
        <w:rPr>
          <w:rFonts w:cstheme="minorHAnsi"/>
        </w:rPr>
      </w:pPr>
    </w:p>
    <w:p w14:paraId="1228A04C" w14:textId="77777777" w:rsidR="004257F4" w:rsidRPr="0051709F" w:rsidRDefault="004257F4" w:rsidP="00140A7B">
      <w:pPr>
        <w:jc w:val="both"/>
        <w:rPr>
          <w:rFonts w:cstheme="minorHAnsi"/>
        </w:rPr>
      </w:pPr>
    </w:p>
    <w:p w14:paraId="3B9A43C0" w14:textId="77777777" w:rsidR="004257F4" w:rsidRPr="0051709F" w:rsidRDefault="004257F4" w:rsidP="00140A7B">
      <w:pPr>
        <w:jc w:val="both"/>
        <w:rPr>
          <w:rFonts w:cstheme="minorHAnsi"/>
        </w:rPr>
      </w:pPr>
      <w:r w:rsidRPr="0051709F">
        <w:rPr>
          <w:rFonts w:cstheme="minorHAnsi"/>
          <w:noProof/>
          <w:lang w:val="en-GB" w:eastAsia="en-GB"/>
        </w:rPr>
        <w:lastRenderedPageBreak/>
        <w:drawing>
          <wp:inline distT="0" distB="0" distL="0" distR="0" wp14:anchorId="310D23F5" wp14:editId="60294D63">
            <wp:extent cx="5400040" cy="3208020"/>
            <wp:effectExtent l="0" t="0" r="0" b="0"/>
            <wp:docPr id="887923630" name="Imagen 1"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23630" name="Imagen 1" descr="Gráfico, Gráfico de proyección solar&#10;&#10;Descripción generada automáticamente"/>
                    <pic:cNvPicPr/>
                  </pic:nvPicPr>
                  <pic:blipFill>
                    <a:blip r:embed="rId92"/>
                    <a:stretch>
                      <a:fillRect/>
                    </a:stretch>
                  </pic:blipFill>
                  <pic:spPr>
                    <a:xfrm>
                      <a:off x="0" y="0"/>
                      <a:ext cx="5400040" cy="3208020"/>
                    </a:xfrm>
                    <a:prstGeom prst="rect">
                      <a:avLst/>
                    </a:prstGeom>
                  </pic:spPr>
                </pic:pic>
              </a:graphicData>
            </a:graphic>
          </wp:inline>
        </w:drawing>
      </w:r>
    </w:p>
    <w:p w14:paraId="2825E2CF" w14:textId="77777777" w:rsidR="004257F4" w:rsidRPr="0051709F" w:rsidRDefault="004257F4" w:rsidP="00140A7B">
      <w:pPr>
        <w:jc w:val="both"/>
        <w:rPr>
          <w:rFonts w:cstheme="minorHAnsi"/>
        </w:rPr>
      </w:pPr>
    </w:p>
    <w:p w14:paraId="1D332256" w14:textId="74E74203" w:rsidR="00140A7B" w:rsidRPr="007B667D" w:rsidRDefault="00253B19" w:rsidP="00140A7B">
      <w:pPr>
        <w:jc w:val="center"/>
        <w:rPr>
          <w:rFonts w:cstheme="minorHAnsi"/>
          <w:i/>
          <w:iCs/>
          <w:sz w:val="22"/>
          <w:szCs w:val="22"/>
        </w:rPr>
      </w:pPr>
      <w:r w:rsidRPr="007B667D">
        <w:rPr>
          <w:rFonts w:cstheme="minorHAnsi"/>
          <w:i/>
          <w:iCs/>
          <w:sz w:val="22"/>
          <w:szCs w:val="22"/>
        </w:rPr>
        <w:t>Figura 27</w:t>
      </w:r>
      <w:r w:rsidR="00140A7B" w:rsidRPr="007B667D">
        <w:rPr>
          <w:rFonts w:cstheme="minorHAnsi"/>
          <w:i/>
          <w:iCs/>
          <w:sz w:val="22"/>
          <w:szCs w:val="22"/>
        </w:rPr>
        <w:t>: Contribución al logro de ocho ODS por parte de la actividad física</w:t>
      </w:r>
    </w:p>
    <w:p w14:paraId="507AF2AB" w14:textId="1B68361D" w:rsidR="004257F4" w:rsidRPr="007B667D" w:rsidRDefault="004257F4" w:rsidP="00140A7B">
      <w:pPr>
        <w:jc w:val="center"/>
        <w:rPr>
          <w:rFonts w:cstheme="minorHAnsi"/>
          <w:i/>
          <w:iCs/>
          <w:sz w:val="22"/>
          <w:szCs w:val="22"/>
        </w:rPr>
      </w:pPr>
      <w:r w:rsidRPr="007B667D">
        <w:rPr>
          <w:rFonts w:cstheme="minorHAnsi"/>
          <w:i/>
          <w:iCs/>
          <w:sz w:val="22"/>
          <w:szCs w:val="22"/>
        </w:rPr>
        <w:t xml:space="preserve">ISPAH (Sociedad </w:t>
      </w:r>
      <w:r w:rsidR="00140A7B" w:rsidRPr="007B667D">
        <w:rPr>
          <w:rFonts w:cstheme="minorHAnsi"/>
          <w:i/>
          <w:iCs/>
          <w:sz w:val="22"/>
          <w:szCs w:val="22"/>
        </w:rPr>
        <w:t>I</w:t>
      </w:r>
      <w:r w:rsidRPr="007B667D">
        <w:rPr>
          <w:rFonts w:cstheme="minorHAnsi"/>
          <w:i/>
          <w:iCs/>
          <w:sz w:val="22"/>
          <w:szCs w:val="22"/>
        </w:rPr>
        <w:t xml:space="preserve">nternacional para la </w:t>
      </w:r>
      <w:r w:rsidR="00140A7B" w:rsidRPr="007B667D">
        <w:rPr>
          <w:rFonts w:cstheme="minorHAnsi"/>
          <w:i/>
          <w:iCs/>
          <w:sz w:val="22"/>
          <w:szCs w:val="22"/>
        </w:rPr>
        <w:t>A</w:t>
      </w:r>
      <w:r w:rsidRPr="007B667D">
        <w:rPr>
          <w:rFonts w:cstheme="minorHAnsi"/>
          <w:i/>
          <w:iCs/>
          <w:sz w:val="22"/>
          <w:szCs w:val="22"/>
        </w:rPr>
        <w:t xml:space="preserve">ctividad </w:t>
      </w:r>
      <w:r w:rsidR="00140A7B" w:rsidRPr="007B667D">
        <w:rPr>
          <w:rFonts w:cstheme="minorHAnsi"/>
          <w:i/>
          <w:iCs/>
          <w:sz w:val="22"/>
          <w:szCs w:val="22"/>
        </w:rPr>
        <w:t>F</w:t>
      </w:r>
      <w:r w:rsidRPr="007B667D">
        <w:rPr>
          <w:rFonts w:cstheme="minorHAnsi"/>
          <w:i/>
          <w:iCs/>
          <w:sz w:val="22"/>
          <w:szCs w:val="22"/>
        </w:rPr>
        <w:t xml:space="preserve">ísica y la </w:t>
      </w:r>
      <w:r w:rsidR="00140A7B" w:rsidRPr="007B667D">
        <w:rPr>
          <w:rFonts w:cstheme="minorHAnsi"/>
          <w:i/>
          <w:iCs/>
          <w:sz w:val="22"/>
          <w:szCs w:val="22"/>
        </w:rPr>
        <w:t>S</w:t>
      </w:r>
      <w:r w:rsidRPr="007B667D">
        <w:rPr>
          <w:rFonts w:cstheme="minorHAnsi"/>
          <w:i/>
          <w:iCs/>
          <w:sz w:val="22"/>
          <w:szCs w:val="22"/>
        </w:rPr>
        <w:t>alud</w:t>
      </w:r>
      <w:r w:rsidR="00140A7B" w:rsidRPr="007B667D">
        <w:rPr>
          <w:rFonts w:cstheme="minorHAnsi"/>
          <w:i/>
          <w:iCs/>
          <w:sz w:val="22"/>
          <w:szCs w:val="22"/>
        </w:rPr>
        <w:t>)</w:t>
      </w:r>
      <w:r w:rsidR="00145599" w:rsidRPr="007B667D">
        <w:rPr>
          <w:rFonts w:cstheme="minorHAnsi"/>
          <w:i/>
          <w:iCs/>
          <w:sz w:val="22"/>
          <w:szCs w:val="22"/>
        </w:rPr>
        <w:t>.</w:t>
      </w:r>
    </w:p>
    <w:p w14:paraId="17BC714D" w14:textId="77777777" w:rsidR="004257F4" w:rsidRPr="0051709F" w:rsidRDefault="004257F4" w:rsidP="00140A7B">
      <w:pPr>
        <w:jc w:val="both"/>
        <w:rPr>
          <w:rFonts w:cstheme="minorHAnsi"/>
        </w:rPr>
      </w:pPr>
    </w:p>
    <w:p w14:paraId="33534F05" w14:textId="77777777" w:rsidR="004257F4" w:rsidRPr="0051709F" w:rsidRDefault="004257F4" w:rsidP="00140A7B">
      <w:pPr>
        <w:jc w:val="both"/>
        <w:rPr>
          <w:rFonts w:cstheme="minorHAnsi"/>
        </w:rPr>
      </w:pPr>
    </w:p>
    <w:p w14:paraId="1E0B4790" w14:textId="66DC60B4" w:rsidR="004257F4" w:rsidRPr="0051709F" w:rsidRDefault="004257F4" w:rsidP="00140A7B">
      <w:pPr>
        <w:jc w:val="both"/>
        <w:rPr>
          <w:rFonts w:cstheme="minorHAnsi"/>
        </w:rPr>
      </w:pPr>
      <w:r w:rsidRPr="0051709F">
        <w:rPr>
          <w:rFonts w:cstheme="minorHAnsi"/>
        </w:rPr>
        <w:t xml:space="preserve">Cómo se diseña la actividad física y deportiva, las condiciones del entorno, los espacios naturales, las instalaciones deportivas, la accesibilidad, las condiciones de movilidad, </w:t>
      </w:r>
      <w:r w:rsidR="008B7AC5">
        <w:rPr>
          <w:rFonts w:cstheme="minorHAnsi"/>
        </w:rPr>
        <w:t xml:space="preserve">o </w:t>
      </w:r>
      <w:r w:rsidRPr="0051709F">
        <w:rPr>
          <w:rFonts w:cstheme="minorHAnsi"/>
        </w:rPr>
        <w:t xml:space="preserve">la proximidad, </w:t>
      </w:r>
      <w:r w:rsidR="008B7AC5">
        <w:rPr>
          <w:rFonts w:cstheme="minorHAnsi"/>
        </w:rPr>
        <w:t>entre otras</w:t>
      </w:r>
      <w:r w:rsidRPr="0051709F">
        <w:rPr>
          <w:rFonts w:cstheme="minorHAnsi"/>
        </w:rPr>
        <w:t>, tienen un impacto en la propia actividad, en la salud de los deportistas y en la salud ambiental (factores ambientales que afectan a la salud de las personas).</w:t>
      </w:r>
    </w:p>
    <w:p w14:paraId="27F92284" w14:textId="77777777" w:rsidR="00140A7B" w:rsidRPr="0051709F" w:rsidRDefault="00140A7B" w:rsidP="00140A7B">
      <w:pPr>
        <w:jc w:val="both"/>
        <w:rPr>
          <w:rFonts w:cstheme="minorHAnsi"/>
        </w:rPr>
      </w:pPr>
    </w:p>
    <w:p w14:paraId="31C52380" w14:textId="2F76BDB9" w:rsidR="004257F4" w:rsidRPr="0051709F" w:rsidRDefault="004257F4" w:rsidP="00140A7B">
      <w:pPr>
        <w:jc w:val="both"/>
        <w:rPr>
          <w:rFonts w:cstheme="minorHAnsi"/>
        </w:rPr>
      </w:pPr>
      <w:r w:rsidRPr="0051709F">
        <w:rPr>
          <w:rFonts w:cstheme="minorHAnsi"/>
        </w:rPr>
        <w:t xml:space="preserve">En las conclusiones del </w:t>
      </w:r>
      <w:r w:rsidRPr="0051709F">
        <w:rPr>
          <w:rFonts w:cstheme="minorHAnsi"/>
          <w:i/>
          <w:iCs/>
        </w:rPr>
        <w:t>“I Encuentro Internacional sobre Salud y Enfermedades Medioambientales”</w:t>
      </w:r>
      <w:r w:rsidRPr="0051709F">
        <w:rPr>
          <w:rFonts w:cstheme="minorHAnsi"/>
        </w:rPr>
        <w:t xml:space="preserve">, organizado por </w:t>
      </w:r>
      <w:proofErr w:type="spellStart"/>
      <w:r w:rsidRPr="0051709F">
        <w:rPr>
          <w:rFonts w:cstheme="minorHAnsi"/>
        </w:rPr>
        <w:t>Kosma</w:t>
      </w:r>
      <w:proofErr w:type="spellEnd"/>
      <w:r w:rsidRPr="0051709F">
        <w:rPr>
          <w:rFonts w:cstheme="minorHAnsi"/>
        </w:rPr>
        <w:t xml:space="preserve"> </w:t>
      </w:r>
      <w:proofErr w:type="spellStart"/>
      <w:r w:rsidRPr="0051709F">
        <w:rPr>
          <w:rFonts w:cstheme="minorHAnsi"/>
        </w:rPr>
        <w:t>Observatory</w:t>
      </w:r>
      <w:proofErr w:type="spellEnd"/>
      <w:r w:rsidRPr="0051709F">
        <w:rPr>
          <w:rFonts w:cstheme="minorHAnsi"/>
        </w:rPr>
        <w:t xml:space="preserve"> y HM Hospitales y Fundación de Investigación HM Investigación, celebrado en Barcelona el 26 y 27 de enero de 2023, las enfermedades medioambientales</w:t>
      </w:r>
      <w:r w:rsidR="008B7AC5">
        <w:rPr>
          <w:rFonts w:cstheme="minorHAnsi"/>
        </w:rPr>
        <w:t xml:space="preserve"> se reconocen como</w:t>
      </w:r>
      <w:r w:rsidRPr="0051709F">
        <w:rPr>
          <w:rFonts w:cstheme="minorHAnsi"/>
        </w:rPr>
        <w:t xml:space="preserve"> una preocupación creciente en todo el mundo. Los científicos y médicos han objetivado un incremento significativo en el número de enfermedades relacionadas o atribuibles a la exposición a factores de riesgo ambientales.</w:t>
      </w:r>
    </w:p>
    <w:p w14:paraId="7ABE8224" w14:textId="77777777" w:rsidR="00140A7B" w:rsidRPr="0051709F" w:rsidRDefault="00140A7B" w:rsidP="00140A7B">
      <w:pPr>
        <w:jc w:val="both"/>
        <w:rPr>
          <w:rFonts w:cstheme="minorHAnsi"/>
        </w:rPr>
      </w:pPr>
    </w:p>
    <w:p w14:paraId="72EFA436" w14:textId="2B847A9C" w:rsidR="004257F4" w:rsidRPr="0051709F" w:rsidRDefault="004257F4" w:rsidP="00140A7B">
      <w:pPr>
        <w:autoSpaceDE w:val="0"/>
        <w:autoSpaceDN w:val="0"/>
        <w:adjustRightInd w:val="0"/>
        <w:jc w:val="both"/>
        <w:rPr>
          <w:rFonts w:cstheme="minorHAnsi"/>
          <w:color w:val="000000"/>
        </w:rPr>
      </w:pPr>
      <w:r w:rsidRPr="0051709F">
        <w:rPr>
          <w:rFonts w:cstheme="minorHAnsi"/>
          <w:color w:val="000000"/>
        </w:rPr>
        <w:t>Se atribuyen a la contaminación y otros riesgos ambientales el 24% de las muertes adicionales. Esta cifra</w:t>
      </w:r>
      <w:r w:rsidR="008F12B4">
        <w:rPr>
          <w:rFonts w:cstheme="minorHAnsi"/>
          <w:color w:val="000000"/>
        </w:rPr>
        <w:t>,</w:t>
      </w:r>
      <w:r w:rsidRPr="0051709F">
        <w:rPr>
          <w:rFonts w:cstheme="minorHAnsi"/>
          <w:color w:val="000000"/>
        </w:rPr>
        <w:t xml:space="preserve"> podría reducirse sustancialmente con una acción preventiva global.</w:t>
      </w:r>
    </w:p>
    <w:p w14:paraId="6E7BAD17" w14:textId="77777777" w:rsidR="004257F4" w:rsidRPr="0051709F" w:rsidRDefault="004257F4" w:rsidP="00140A7B">
      <w:pPr>
        <w:autoSpaceDE w:val="0"/>
        <w:autoSpaceDN w:val="0"/>
        <w:adjustRightInd w:val="0"/>
        <w:jc w:val="both"/>
        <w:rPr>
          <w:rFonts w:cstheme="minorHAnsi"/>
          <w:color w:val="000000"/>
        </w:rPr>
      </w:pPr>
    </w:p>
    <w:p w14:paraId="000D268E" w14:textId="77777777" w:rsidR="00140A7B" w:rsidRDefault="00140A7B" w:rsidP="00140A7B">
      <w:pPr>
        <w:autoSpaceDE w:val="0"/>
        <w:autoSpaceDN w:val="0"/>
        <w:adjustRightInd w:val="0"/>
        <w:jc w:val="both"/>
        <w:rPr>
          <w:rFonts w:cstheme="minorHAnsi"/>
          <w:color w:val="000000"/>
        </w:rPr>
      </w:pPr>
    </w:p>
    <w:p w14:paraId="6D02589D" w14:textId="77777777" w:rsidR="00363444" w:rsidRDefault="00363444" w:rsidP="00140A7B">
      <w:pPr>
        <w:autoSpaceDE w:val="0"/>
        <w:autoSpaceDN w:val="0"/>
        <w:adjustRightInd w:val="0"/>
        <w:jc w:val="both"/>
        <w:rPr>
          <w:rFonts w:cstheme="minorHAnsi"/>
          <w:color w:val="000000"/>
        </w:rPr>
      </w:pPr>
    </w:p>
    <w:p w14:paraId="5B5CAE1D" w14:textId="77777777" w:rsidR="00363444" w:rsidRPr="0051709F" w:rsidRDefault="00363444" w:rsidP="00140A7B">
      <w:pPr>
        <w:autoSpaceDE w:val="0"/>
        <w:autoSpaceDN w:val="0"/>
        <w:adjustRightInd w:val="0"/>
        <w:jc w:val="both"/>
        <w:rPr>
          <w:rFonts w:cstheme="minorHAnsi"/>
          <w:color w:val="000000"/>
        </w:rPr>
      </w:pPr>
    </w:p>
    <w:p w14:paraId="17CE61BC" w14:textId="77777777" w:rsidR="00140A7B" w:rsidRPr="0051709F" w:rsidRDefault="00140A7B" w:rsidP="00140A7B">
      <w:pPr>
        <w:autoSpaceDE w:val="0"/>
        <w:autoSpaceDN w:val="0"/>
        <w:adjustRightInd w:val="0"/>
        <w:jc w:val="both"/>
        <w:rPr>
          <w:rFonts w:cstheme="minorHAnsi"/>
          <w:color w:val="000000"/>
        </w:rPr>
      </w:pPr>
    </w:p>
    <w:p w14:paraId="19AC46C4" w14:textId="77777777" w:rsidR="004257F4" w:rsidRPr="0051709F" w:rsidRDefault="004257F4" w:rsidP="00140A7B">
      <w:pPr>
        <w:jc w:val="both"/>
        <w:rPr>
          <w:rFonts w:cstheme="minorHAnsi"/>
        </w:rPr>
      </w:pPr>
      <w:r w:rsidRPr="0051709F">
        <w:rPr>
          <w:rFonts w:cstheme="minorHAnsi"/>
          <w:noProof/>
          <w:lang w:val="en-GB" w:eastAsia="en-GB"/>
        </w:rPr>
        <w:lastRenderedPageBreak/>
        <w:drawing>
          <wp:inline distT="0" distB="0" distL="0" distR="0" wp14:anchorId="2B8AB192" wp14:editId="02CB0961">
            <wp:extent cx="5400040" cy="850265"/>
            <wp:effectExtent l="0" t="0" r="0" b="6985"/>
            <wp:docPr id="1757669859" name="Imagen 1" descr="Forma, Cuad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69859" name="Imagen 1" descr="Forma, Cuadrado&#10;&#10;Descripción generada automáticamente"/>
                    <pic:cNvPicPr/>
                  </pic:nvPicPr>
                  <pic:blipFill>
                    <a:blip r:embed="rId93"/>
                    <a:stretch>
                      <a:fillRect/>
                    </a:stretch>
                  </pic:blipFill>
                  <pic:spPr>
                    <a:xfrm>
                      <a:off x="0" y="0"/>
                      <a:ext cx="5400040" cy="850265"/>
                    </a:xfrm>
                    <a:prstGeom prst="rect">
                      <a:avLst/>
                    </a:prstGeom>
                  </pic:spPr>
                </pic:pic>
              </a:graphicData>
            </a:graphic>
          </wp:inline>
        </w:drawing>
      </w:r>
    </w:p>
    <w:p w14:paraId="7C87686D" w14:textId="77777777" w:rsidR="00363444" w:rsidRDefault="00363444" w:rsidP="00140A7B">
      <w:pPr>
        <w:jc w:val="both"/>
        <w:rPr>
          <w:rFonts w:cstheme="minorHAnsi"/>
          <w:color w:val="000000" w:themeColor="text1"/>
        </w:rPr>
      </w:pPr>
    </w:p>
    <w:p w14:paraId="4AFDDA05" w14:textId="0D908693" w:rsidR="004257F4" w:rsidRPr="0051709F" w:rsidRDefault="004257F4" w:rsidP="00140A7B">
      <w:pPr>
        <w:jc w:val="both"/>
        <w:rPr>
          <w:rFonts w:cstheme="minorHAnsi"/>
          <w:color w:val="000000" w:themeColor="text1"/>
        </w:rPr>
      </w:pPr>
      <w:r w:rsidRPr="0051709F">
        <w:rPr>
          <w:rFonts w:cstheme="minorHAnsi"/>
          <w:color w:val="000000" w:themeColor="text1"/>
        </w:rPr>
        <w:t xml:space="preserve">Para la </w:t>
      </w:r>
      <w:r w:rsidR="006D4843" w:rsidRPr="006D4843">
        <w:rPr>
          <w:rStyle w:val="rynqvb"/>
          <w:rFonts w:cstheme="minorHAnsi"/>
        </w:rPr>
        <w:t xml:space="preserve">Organización Mundial de la Salud </w:t>
      </w:r>
      <w:r w:rsidRPr="0051709F">
        <w:rPr>
          <w:rFonts w:cstheme="minorHAnsi"/>
          <w:color w:val="000000" w:themeColor="text1"/>
        </w:rPr>
        <w:t>el cambio climático es la mayor amenaza para la salud a la que se enfrenta la humanidad, y los profesionales sanitarios de todo el mundo ya están respondiendo a los daños para la salud causados por esta crisis en curso</w:t>
      </w:r>
      <w:r w:rsidR="008F12B4">
        <w:rPr>
          <w:rFonts w:cstheme="minorHAnsi"/>
          <w:color w:val="000000" w:themeColor="text1"/>
        </w:rPr>
        <w:t>:</w:t>
      </w:r>
      <w:r w:rsidRPr="0051709F">
        <w:rPr>
          <w:rFonts w:cstheme="minorHAnsi"/>
          <w:color w:val="000000" w:themeColor="text1"/>
        </w:rPr>
        <w:t xml:space="preserve"> </w:t>
      </w:r>
    </w:p>
    <w:p w14:paraId="25296947" w14:textId="77777777" w:rsidR="00140A7B" w:rsidRPr="0051709F" w:rsidRDefault="00140A7B" w:rsidP="00140A7B">
      <w:pPr>
        <w:jc w:val="both"/>
        <w:rPr>
          <w:rFonts w:cstheme="minorHAnsi"/>
          <w:color w:val="000000" w:themeColor="text1"/>
        </w:rPr>
      </w:pPr>
    </w:p>
    <w:p w14:paraId="07A1CA50" w14:textId="77777777" w:rsidR="004257F4" w:rsidRPr="0051709F" w:rsidRDefault="004257F4" w:rsidP="00D14ACA">
      <w:pPr>
        <w:numPr>
          <w:ilvl w:val="0"/>
          <w:numId w:val="39"/>
        </w:numPr>
        <w:jc w:val="both"/>
        <w:rPr>
          <w:rFonts w:eastAsia="Times New Roman" w:cstheme="minorHAnsi"/>
          <w:color w:val="000000" w:themeColor="text1"/>
          <w:lang w:eastAsia="es-ES"/>
        </w:rPr>
      </w:pPr>
      <w:r w:rsidRPr="0051709F">
        <w:rPr>
          <w:rFonts w:eastAsia="Times New Roman" w:cstheme="minorHAnsi"/>
          <w:color w:val="000000" w:themeColor="text1"/>
          <w:lang w:eastAsia="es-ES"/>
        </w:rPr>
        <w:t>El cambio climático influye en los determinantes sociales y ambientales de la salud, a saber, un aire limpio, agua potable, alimentos suficientes y una vivienda segura.</w:t>
      </w:r>
    </w:p>
    <w:p w14:paraId="64DB0B7E" w14:textId="6AE0BDE3" w:rsidR="004257F4" w:rsidRPr="0051709F" w:rsidRDefault="004257F4" w:rsidP="00D14ACA">
      <w:pPr>
        <w:numPr>
          <w:ilvl w:val="0"/>
          <w:numId w:val="39"/>
        </w:numPr>
        <w:jc w:val="both"/>
        <w:rPr>
          <w:rFonts w:eastAsia="Times New Roman" w:cstheme="minorHAnsi"/>
          <w:color w:val="000000" w:themeColor="text1"/>
          <w:lang w:eastAsia="es-ES"/>
        </w:rPr>
      </w:pPr>
      <w:r w:rsidRPr="0051709F">
        <w:rPr>
          <w:rFonts w:eastAsia="Times New Roman" w:cstheme="minorHAnsi"/>
          <w:color w:val="000000" w:themeColor="text1"/>
          <w:lang w:eastAsia="es-ES"/>
        </w:rPr>
        <w:t>Se prevé que, entre 2030 y 2050, el cambio climático causará unas 250</w:t>
      </w:r>
      <w:r w:rsidR="008F12B4">
        <w:rPr>
          <w:rFonts w:eastAsia="Times New Roman" w:cstheme="minorHAnsi"/>
          <w:color w:val="000000" w:themeColor="text1"/>
          <w:lang w:eastAsia="es-ES"/>
        </w:rPr>
        <w:t>.</w:t>
      </w:r>
      <w:r w:rsidRPr="0051709F">
        <w:rPr>
          <w:rFonts w:eastAsia="Times New Roman" w:cstheme="minorHAnsi"/>
          <w:color w:val="000000" w:themeColor="text1"/>
          <w:lang w:eastAsia="es-ES"/>
        </w:rPr>
        <w:t>000 muertes adicionales cada año debido a la malnutrición, el paludismo, la diarrea y el estrés calórico.</w:t>
      </w:r>
    </w:p>
    <w:p w14:paraId="4254D5F6" w14:textId="4F320678" w:rsidR="004257F4" w:rsidRPr="0051709F" w:rsidRDefault="004257F4" w:rsidP="00D14ACA">
      <w:pPr>
        <w:numPr>
          <w:ilvl w:val="0"/>
          <w:numId w:val="39"/>
        </w:numPr>
        <w:jc w:val="both"/>
        <w:rPr>
          <w:rFonts w:eastAsia="Times New Roman" w:cstheme="minorHAnsi"/>
          <w:color w:val="000000" w:themeColor="text1"/>
          <w:lang w:eastAsia="es-ES"/>
        </w:rPr>
      </w:pPr>
      <w:r w:rsidRPr="0051709F">
        <w:rPr>
          <w:rFonts w:eastAsia="Times New Roman" w:cstheme="minorHAnsi"/>
          <w:color w:val="000000" w:themeColor="text1"/>
          <w:lang w:eastAsia="es-ES"/>
        </w:rPr>
        <w:t>Se estima que el cost</w:t>
      </w:r>
      <w:r w:rsidR="008F12B4">
        <w:rPr>
          <w:rFonts w:eastAsia="Times New Roman" w:cstheme="minorHAnsi"/>
          <w:color w:val="000000" w:themeColor="text1"/>
          <w:lang w:eastAsia="es-ES"/>
        </w:rPr>
        <w:t>e</w:t>
      </w:r>
      <w:r w:rsidRPr="0051709F">
        <w:rPr>
          <w:rFonts w:eastAsia="Times New Roman" w:cstheme="minorHAnsi"/>
          <w:color w:val="000000" w:themeColor="text1"/>
          <w:lang w:eastAsia="es-ES"/>
        </w:rPr>
        <w:t xml:space="preserve"> de los daños directos para la salud (es decir, excluyendo los cost</w:t>
      </w:r>
      <w:r w:rsidR="008F12B4">
        <w:rPr>
          <w:rFonts w:eastAsia="Times New Roman" w:cstheme="minorHAnsi"/>
          <w:color w:val="000000" w:themeColor="text1"/>
          <w:lang w:eastAsia="es-ES"/>
        </w:rPr>
        <w:t>e</w:t>
      </w:r>
      <w:r w:rsidRPr="0051709F">
        <w:rPr>
          <w:rFonts w:eastAsia="Times New Roman" w:cstheme="minorHAnsi"/>
          <w:color w:val="000000" w:themeColor="text1"/>
          <w:lang w:eastAsia="es-ES"/>
        </w:rPr>
        <w:t>s en los sectores determinantes para la salud, como la agricultura y el agua y el saneamiento) será de entre US$ 2</w:t>
      </w:r>
      <w:r w:rsidR="008F12B4">
        <w:rPr>
          <w:rFonts w:eastAsia="Times New Roman" w:cstheme="minorHAnsi"/>
          <w:color w:val="000000" w:themeColor="text1"/>
          <w:lang w:eastAsia="es-ES"/>
        </w:rPr>
        <w:t>.</w:t>
      </w:r>
      <w:r w:rsidRPr="0051709F">
        <w:rPr>
          <w:rFonts w:eastAsia="Times New Roman" w:cstheme="minorHAnsi"/>
          <w:color w:val="000000" w:themeColor="text1"/>
          <w:lang w:eastAsia="es-ES"/>
        </w:rPr>
        <w:t>000 y US$ 4</w:t>
      </w:r>
      <w:r w:rsidR="008F12B4">
        <w:rPr>
          <w:rFonts w:eastAsia="Times New Roman" w:cstheme="minorHAnsi"/>
          <w:color w:val="000000" w:themeColor="text1"/>
          <w:lang w:eastAsia="es-ES"/>
        </w:rPr>
        <w:t>.</w:t>
      </w:r>
      <w:r w:rsidRPr="0051709F">
        <w:rPr>
          <w:rFonts w:eastAsia="Times New Roman" w:cstheme="minorHAnsi"/>
          <w:color w:val="000000" w:themeColor="text1"/>
          <w:lang w:eastAsia="es-ES"/>
        </w:rPr>
        <w:t>000 millones al año de aquí a 2030.</w:t>
      </w:r>
    </w:p>
    <w:p w14:paraId="4BA11B81" w14:textId="77777777" w:rsidR="004257F4" w:rsidRPr="0051709F" w:rsidRDefault="004257F4" w:rsidP="00D14ACA">
      <w:pPr>
        <w:numPr>
          <w:ilvl w:val="0"/>
          <w:numId w:val="39"/>
        </w:numPr>
        <w:jc w:val="both"/>
        <w:rPr>
          <w:rFonts w:eastAsia="Times New Roman" w:cstheme="minorHAnsi"/>
          <w:color w:val="000000" w:themeColor="text1"/>
          <w:lang w:eastAsia="es-ES"/>
        </w:rPr>
      </w:pPr>
      <w:r w:rsidRPr="0051709F">
        <w:rPr>
          <w:rFonts w:eastAsia="Times New Roman" w:cstheme="minorHAnsi"/>
          <w:color w:val="000000" w:themeColor="text1"/>
          <w:lang w:eastAsia="es-ES"/>
        </w:rPr>
        <w:t>Las zonas con malas infraestructuras sanitarias —en su mayoría en países en desarrollo— serán las menos capacitadas para prepararse y responder frente a esos cambios si no reciben ayuda.</w:t>
      </w:r>
    </w:p>
    <w:p w14:paraId="7EA8F53B" w14:textId="41A451DC" w:rsidR="004257F4" w:rsidRPr="0051709F" w:rsidRDefault="004257F4" w:rsidP="00D14ACA">
      <w:pPr>
        <w:numPr>
          <w:ilvl w:val="0"/>
          <w:numId w:val="39"/>
        </w:numPr>
        <w:jc w:val="both"/>
        <w:rPr>
          <w:rFonts w:eastAsia="Times New Roman" w:cstheme="minorHAnsi"/>
          <w:color w:val="000000" w:themeColor="text1"/>
          <w:lang w:eastAsia="es-ES"/>
        </w:rPr>
      </w:pPr>
      <w:r w:rsidRPr="0051709F">
        <w:rPr>
          <w:rFonts w:eastAsia="Times New Roman" w:cstheme="minorHAnsi"/>
          <w:color w:val="000000" w:themeColor="text1"/>
          <w:lang w:eastAsia="es-ES"/>
        </w:rPr>
        <w:t>La reducción de las emisiones de gases de efecto invernadero mediante mejores elecciones en materia de transporte, alimentos y uso de la energía</w:t>
      </w:r>
      <w:r w:rsidR="008F12B4">
        <w:rPr>
          <w:rFonts w:eastAsia="Times New Roman" w:cstheme="minorHAnsi"/>
          <w:color w:val="000000" w:themeColor="text1"/>
          <w:lang w:eastAsia="es-ES"/>
        </w:rPr>
        <w:t>,</w:t>
      </w:r>
      <w:r w:rsidRPr="0051709F">
        <w:rPr>
          <w:rFonts w:eastAsia="Times New Roman" w:cstheme="minorHAnsi"/>
          <w:color w:val="000000" w:themeColor="text1"/>
          <w:lang w:eastAsia="es-ES"/>
        </w:rPr>
        <w:t xml:space="preserve"> pueden traducirse en mejoras de la salud, en particular a través de la reducción de la contaminación del aire.</w:t>
      </w:r>
    </w:p>
    <w:p w14:paraId="01646AA8" w14:textId="77777777" w:rsidR="00140A7B" w:rsidRPr="0051709F" w:rsidRDefault="00140A7B" w:rsidP="00140A7B">
      <w:pPr>
        <w:jc w:val="both"/>
        <w:rPr>
          <w:rFonts w:cstheme="minorHAnsi"/>
        </w:rPr>
      </w:pPr>
    </w:p>
    <w:p w14:paraId="32D4E2AD" w14:textId="229D48BA" w:rsidR="004257F4" w:rsidRPr="0051709F" w:rsidRDefault="004257F4" w:rsidP="00140A7B">
      <w:pPr>
        <w:jc w:val="both"/>
        <w:rPr>
          <w:rFonts w:cstheme="minorHAnsi"/>
        </w:rPr>
      </w:pPr>
      <w:r w:rsidRPr="0051709F">
        <w:rPr>
          <w:rFonts w:cstheme="minorHAnsi"/>
        </w:rPr>
        <w:t>En este contexto, el papel de la actividad física y deportiva es doble</w:t>
      </w:r>
      <w:r w:rsidR="008F12B4">
        <w:rPr>
          <w:rFonts w:cstheme="minorHAnsi"/>
        </w:rPr>
        <w:t>:</w:t>
      </w:r>
      <w:r w:rsidRPr="0051709F">
        <w:rPr>
          <w:rFonts w:cstheme="minorHAnsi"/>
        </w:rPr>
        <w:t xml:space="preserve"> </w:t>
      </w:r>
      <w:r w:rsidR="008F12B4">
        <w:rPr>
          <w:rFonts w:cstheme="minorHAnsi"/>
        </w:rPr>
        <w:t>p</w:t>
      </w:r>
      <w:r w:rsidRPr="0051709F">
        <w:rPr>
          <w:rFonts w:cstheme="minorHAnsi"/>
        </w:rPr>
        <w:t>or un lado, promover, impulsar e incentivar el acceso a la actividad deportiva adecuada sin ningún tipo de discriminación</w:t>
      </w:r>
      <w:r w:rsidR="008F12B4">
        <w:rPr>
          <w:rFonts w:cstheme="minorHAnsi"/>
        </w:rPr>
        <w:t>;</w:t>
      </w:r>
      <w:r w:rsidRPr="0051709F">
        <w:rPr>
          <w:rFonts w:cstheme="minorHAnsi"/>
        </w:rPr>
        <w:t xml:space="preserve"> y por otro, diseñar todo el ecosistema deportivo de manera que no genere no solo impactos negativos en el ambiente, sino impactos positivos.  </w:t>
      </w:r>
    </w:p>
    <w:p w14:paraId="64FD00C3" w14:textId="77777777" w:rsidR="00140A7B" w:rsidRPr="0051709F" w:rsidRDefault="00140A7B" w:rsidP="00140A7B">
      <w:pPr>
        <w:jc w:val="both"/>
        <w:rPr>
          <w:rFonts w:cstheme="minorHAnsi"/>
        </w:rPr>
      </w:pPr>
    </w:p>
    <w:p w14:paraId="2C08E5A2" w14:textId="05430A81" w:rsidR="004257F4" w:rsidRPr="0051709F" w:rsidRDefault="004257F4" w:rsidP="00140A7B">
      <w:pPr>
        <w:jc w:val="both"/>
        <w:rPr>
          <w:rFonts w:cstheme="minorHAnsi"/>
        </w:rPr>
      </w:pPr>
      <w:r w:rsidRPr="0051709F">
        <w:rPr>
          <w:rFonts w:cstheme="minorHAnsi"/>
        </w:rPr>
        <w:t>Esta situación creciente de las consecuencias de la crisis climática está teniendo consecuencias muy importantes en factores, que además de perjudicar</w:t>
      </w:r>
      <w:r w:rsidR="008F12B4">
        <w:rPr>
          <w:rFonts w:cstheme="minorHAnsi"/>
        </w:rPr>
        <w:t xml:space="preserve"> a</w:t>
      </w:r>
      <w:r w:rsidRPr="0051709F">
        <w:rPr>
          <w:rFonts w:cstheme="minorHAnsi"/>
        </w:rPr>
        <w:t xml:space="preserve"> la salud, pueden limitar el acceso a la práctica regular de actividad física</w:t>
      </w:r>
      <w:r w:rsidR="008F12B4">
        <w:rPr>
          <w:rFonts w:cstheme="minorHAnsi"/>
        </w:rPr>
        <w:t>,</w:t>
      </w:r>
      <w:r w:rsidRPr="0051709F">
        <w:rPr>
          <w:rFonts w:cstheme="minorHAnsi"/>
        </w:rPr>
        <w:t xml:space="preserve"> como puede ser el aumento de las temperaturas, la contaminación, la escasez de agua,</w:t>
      </w:r>
      <w:r w:rsidR="008F12B4">
        <w:rPr>
          <w:rFonts w:cstheme="minorHAnsi"/>
        </w:rPr>
        <w:t xml:space="preserve"> o</w:t>
      </w:r>
      <w:r w:rsidRPr="0051709F">
        <w:rPr>
          <w:rFonts w:cstheme="minorHAnsi"/>
        </w:rPr>
        <w:t>la falta de recursos.</w:t>
      </w:r>
    </w:p>
    <w:p w14:paraId="50311DC4" w14:textId="77777777" w:rsidR="00140A7B" w:rsidRPr="0051709F" w:rsidRDefault="00140A7B" w:rsidP="00140A7B">
      <w:pPr>
        <w:jc w:val="both"/>
        <w:rPr>
          <w:rFonts w:cstheme="minorHAnsi"/>
        </w:rPr>
      </w:pPr>
    </w:p>
    <w:p w14:paraId="6C5E4912" w14:textId="7C5FEC6C" w:rsidR="004257F4" w:rsidRPr="0051709F" w:rsidRDefault="004257F4" w:rsidP="00140A7B">
      <w:pPr>
        <w:jc w:val="both"/>
        <w:rPr>
          <w:rFonts w:cstheme="minorHAnsi"/>
        </w:rPr>
      </w:pPr>
      <w:r w:rsidRPr="0051709F">
        <w:rPr>
          <w:rFonts w:cstheme="minorHAnsi"/>
        </w:rPr>
        <w:t>Paradójicamente</w:t>
      </w:r>
      <w:r w:rsidR="008F12B4">
        <w:rPr>
          <w:rFonts w:cstheme="minorHAnsi"/>
        </w:rPr>
        <w:t>,</w:t>
      </w:r>
      <w:r w:rsidRPr="0051709F">
        <w:rPr>
          <w:rFonts w:cstheme="minorHAnsi"/>
        </w:rPr>
        <w:t xml:space="preserve"> el desarrollo de la propia actividad física y deportiva está teniendo impactos negativos directos e indirectos en el entorno, y como consecuencia repercuten de manera negativa en la salud de las personas. </w:t>
      </w:r>
    </w:p>
    <w:p w14:paraId="1A35AD46" w14:textId="77777777" w:rsidR="00140A7B" w:rsidRPr="0051709F" w:rsidRDefault="00140A7B" w:rsidP="00140A7B">
      <w:pPr>
        <w:jc w:val="both"/>
        <w:rPr>
          <w:rFonts w:cstheme="minorHAnsi"/>
        </w:rPr>
      </w:pPr>
    </w:p>
    <w:p w14:paraId="782633D8" w14:textId="0D5A7718" w:rsidR="004257F4" w:rsidRPr="0051709F" w:rsidRDefault="008F12B4" w:rsidP="00140A7B">
      <w:pPr>
        <w:jc w:val="both"/>
        <w:rPr>
          <w:rFonts w:cstheme="minorHAnsi"/>
        </w:rPr>
      </w:pPr>
      <w:r>
        <w:rPr>
          <w:rFonts w:cstheme="minorHAnsi"/>
        </w:rPr>
        <w:t>Desde el sector del deporte se trabaja para mejorar</w:t>
      </w:r>
      <w:r w:rsidR="004257F4" w:rsidRPr="0051709F">
        <w:rPr>
          <w:rFonts w:cstheme="minorHAnsi"/>
        </w:rPr>
        <w:t xml:space="preserve"> el bienestar de las personas, </w:t>
      </w:r>
      <w:r>
        <w:rPr>
          <w:rFonts w:cstheme="minorHAnsi"/>
        </w:rPr>
        <w:t xml:space="preserve">éste es </w:t>
      </w:r>
      <w:r w:rsidR="004257F4" w:rsidRPr="0051709F">
        <w:rPr>
          <w:rFonts w:cstheme="minorHAnsi"/>
        </w:rPr>
        <w:t>uno de los pilares para lograr una vida saludable y generar entornos sostenibles y saludables.</w:t>
      </w:r>
    </w:p>
    <w:p w14:paraId="6C9FCC7E" w14:textId="77777777" w:rsidR="004257F4" w:rsidRPr="0051709F" w:rsidRDefault="004257F4" w:rsidP="00140A7B">
      <w:pPr>
        <w:jc w:val="both"/>
        <w:rPr>
          <w:rFonts w:cstheme="minorHAnsi"/>
        </w:rPr>
      </w:pPr>
      <w:r w:rsidRPr="0051709F">
        <w:rPr>
          <w:rFonts w:cstheme="minorHAnsi"/>
        </w:rPr>
        <w:t xml:space="preserve"> </w:t>
      </w:r>
    </w:p>
    <w:p w14:paraId="4974F4AF" w14:textId="77777777" w:rsidR="004257F4" w:rsidRPr="0051709F" w:rsidRDefault="004257F4" w:rsidP="00140A7B">
      <w:pPr>
        <w:jc w:val="both"/>
        <w:rPr>
          <w:rFonts w:cstheme="minorHAnsi"/>
        </w:rPr>
      </w:pPr>
    </w:p>
    <w:p w14:paraId="2D8844B6" w14:textId="77777777" w:rsidR="00140A7B" w:rsidRPr="0051709F" w:rsidRDefault="00140A7B" w:rsidP="00140A7B">
      <w:pPr>
        <w:jc w:val="both"/>
        <w:rPr>
          <w:rFonts w:cstheme="minorHAnsi"/>
        </w:rPr>
      </w:pPr>
    </w:p>
    <w:p w14:paraId="00C19003" w14:textId="77777777" w:rsidR="00140A7B" w:rsidRPr="0051709F" w:rsidRDefault="00140A7B" w:rsidP="00140A7B">
      <w:pPr>
        <w:jc w:val="both"/>
        <w:rPr>
          <w:rFonts w:cstheme="minorHAnsi"/>
        </w:rPr>
      </w:pPr>
    </w:p>
    <w:p w14:paraId="151AE7DF" w14:textId="77777777" w:rsidR="00140A7B" w:rsidRPr="0051709F" w:rsidRDefault="00140A7B" w:rsidP="00140A7B">
      <w:pPr>
        <w:jc w:val="both"/>
        <w:rPr>
          <w:rFonts w:cstheme="minorHAnsi"/>
        </w:rPr>
      </w:pPr>
    </w:p>
    <w:p w14:paraId="26DBC19B" w14:textId="77777777" w:rsidR="004257F4" w:rsidRPr="0051709F" w:rsidRDefault="004257F4" w:rsidP="00140A7B">
      <w:pPr>
        <w:jc w:val="center"/>
        <w:rPr>
          <w:rFonts w:cstheme="minorHAnsi"/>
        </w:rPr>
      </w:pPr>
      <w:r w:rsidRPr="0051709F">
        <w:rPr>
          <w:rFonts w:cstheme="minorHAnsi"/>
          <w:noProof/>
          <w:lang w:val="en-GB" w:eastAsia="en-GB"/>
        </w:rPr>
        <w:drawing>
          <wp:inline distT="0" distB="0" distL="0" distR="0" wp14:anchorId="423391D3" wp14:editId="4F6E1F59">
            <wp:extent cx="4857750" cy="3521226"/>
            <wp:effectExtent l="0" t="0" r="0" b="3175"/>
            <wp:docPr id="42" name="Imagen 2"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2" descr="Gráfico, Gráfico de proyección solar&#10;&#10;Descripción generada automá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62416" cy="3524608"/>
                    </a:xfrm>
                    <a:prstGeom prst="rect">
                      <a:avLst/>
                    </a:prstGeom>
                    <a:noFill/>
                    <a:ln>
                      <a:noFill/>
                    </a:ln>
                  </pic:spPr>
                </pic:pic>
              </a:graphicData>
            </a:graphic>
          </wp:inline>
        </w:drawing>
      </w:r>
    </w:p>
    <w:p w14:paraId="579F1D97" w14:textId="77777777" w:rsidR="004257F4" w:rsidRPr="0051709F" w:rsidRDefault="004257F4" w:rsidP="00140A7B">
      <w:pPr>
        <w:jc w:val="both"/>
        <w:rPr>
          <w:rFonts w:cstheme="minorHAnsi"/>
        </w:rPr>
      </w:pPr>
    </w:p>
    <w:p w14:paraId="135217DE" w14:textId="62979701" w:rsidR="006A1769" w:rsidRPr="007B667D" w:rsidRDefault="00140A7B" w:rsidP="003906F1">
      <w:pPr>
        <w:jc w:val="center"/>
        <w:rPr>
          <w:rFonts w:cstheme="minorHAnsi"/>
          <w:i/>
          <w:iCs/>
          <w:sz w:val="22"/>
          <w:szCs w:val="22"/>
        </w:rPr>
      </w:pPr>
      <w:r w:rsidRPr="007B667D">
        <w:rPr>
          <w:rFonts w:cstheme="minorHAnsi"/>
          <w:i/>
          <w:iCs/>
          <w:sz w:val="22"/>
          <w:szCs w:val="22"/>
        </w:rPr>
        <w:t>Figura</w:t>
      </w:r>
      <w:r w:rsidR="00253B19" w:rsidRPr="007B667D">
        <w:rPr>
          <w:rFonts w:cstheme="minorHAnsi"/>
          <w:i/>
          <w:iCs/>
          <w:sz w:val="22"/>
          <w:szCs w:val="22"/>
        </w:rPr>
        <w:t xml:space="preserve"> 28</w:t>
      </w:r>
      <w:r w:rsidRPr="007B667D">
        <w:rPr>
          <w:rFonts w:cstheme="minorHAnsi"/>
          <w:i/>
          <w:iCs/>
          <w:sz w:val="22"/>
          <w:szCs w:val="22"/>
        </w:rPr>
        <w:t xml:space="preserve">: Concepto de salud y bienestar </w:t>
      </w:r>
      <w:r w:rsidR="006A1769" w:rsidRPr="007B667D">
        <w:rPr>
          <w:rFonts w:cstheme="minorHAnsi"/>
          <w:i/>
          <w:iCs/>
          <w:sz w:val="22"/>
          <w:szCs w:val="22"/>
        </w:rPr>
        <w:t>en la era de los Objetivos de Desarrollo Sostenible (</w:t>
      </w:r>
      <w:r w:rsidR="006D4843" w:rsidRPr="007B667D">
        <w:rPr>
          <w:rStyle w:val="rynqvb"/>
          <w:rFonts w:cstheme="minorHAnsi"/>
          <w:i/>
          <w:iCs/>
          <w:sz w:val="22"/>
          <w:szCs w:val="22"/>
        </w:rPr>
        <w:t>Organización Mundial de la Salud</w:t>
      </w:r>
      <w:r w:rsidR="006A1769" w:rsidRPr="007B667D">
        <w:rPr>
          <w:rFonts w:cstheme="minorHAnsi"/>
          <w:i/>
          <w:iCs/>
          <w:sz w:val="22"/>
          <w:szCs w:val="22"/>
        </w:rPr>
        <w:t>)</w:t>
      </w:r>
      <w:r w:rsidR="00145599" w:rsidRPr="007B667D">
        <w:rPr>
          <w:rFonts w:cstheme="minorHAnsi"/>
          <w:i/>
          <w:iCs/>
          <w:sz w:val="22"/>
          <w:szCs w:val="22"/>
        </w:rPr>
        <w:t>.</w:t>
      </w:r>
    </w:p>
    <w:p w14:paraId="5353A53D" w14:textId="77777777" w:rsidR="006A1769" w:rsidRPr="007B667D" w:rsidRDefault="006A1769" w:rsidP="00140A7B">
      <w:pPr>
        <w:jc w:val="both"/>
        <w:rPr>
          <w:rFonts w:cstheme="minorHAnsi"/>
          <w:i/>
          <w:iCs/>
          <w:sz w:val="22"/>
          <w:szCs w:val="22"/>
        </w:rPr>
      </w:pPr>
    </w:p>
    <w:p w14:paraId="015DA098" w14:textId="77777777" w:rsidR="006A1769" w:rsidRPr="0051709F" w:rsidRDefault="006A1769" w:rsidP="00140A7B">
      <w:pPr>
        <w:jc w:val="both"/>
        <w:rPr>
          <w:rFonts w:cstheme="minorHAnsi"/>
        </w:rPr>
      </w:pPr>
    </w:p>
    <w:p w14:paraId="0E3F123C" w14:textId="6C88DF8C" w:rsidR="004257F4" w:rsidRPr="0051709F" w:rsidRDefault="004257F4" w:rsidP="00140A7B">
      <w:pPr>
        <w:jc w:val="both"/>
        <w:rPr>
          <w:rFonts w:cstheme="minorHAnsi"/>
          <w:b/>
          <w:bCs/>
        </w:rPr>
      </w:pPr>
      <w:r w:rsidRPr="0051709F">
        <w:rPr>
          <w:rFonts w:cstheme="minorHAnsi"/>
        </w:rPr>
        <w:t xml:space="preserve">Dada la interdependencia entre el medioambiente y la Salud, el Ministerio de Sanidad y el Ministerio para la Transición Ecológica y el Reto demográfico han elaborado el </w:t>
      </w:r>
      <w:r w:rsidRPr="0051709F">
        <w:rPr>
          <w:rFonts w:cstheme="minorHAnsi"/>
          <w:b/>
          <w:bCs/>
        </w:rPr>
        <w:t xml:space="preserve">Plan Estratégico de Salud y Medioambiente 2022-2026.  </w:t>
      </w:r>
    </w:p>
    <w:p w14:paraId="3CECC555" w14:textId="77777777" w:rsidR="006A1769" w:rsidRPr="0051709F" w:rsidRDefault="006A1769" w:rsidP="00140A7B">
      <w:pPr>
        <w:jc w:val="both"/>
        <w:rPr>
          <w:rFonts w:cstheme="minorHAnsi"/>
        </w:rPr>
      </w:pPr>
    </w:p>
    <w:p w14:paraId="5D2F599A" w14:textId="77777777" w:rsidR="006A1769" w:rsidRPr="0051709F" w:rsidRDefault="006A1769" w:rsidP="00140A7B">
      <w:pPr>
        <w:jc w:val="both"/>
        <w:rPr>
          <w:rFonts w:cstheme="minorHAnsi"/>
        </w:rPr>
      </w:pPr>
    </w:p>
    <w:p w14:paraId="24AB3C40" w14:textId="77777777" w:rsidR="004257F4" w:rsidRPr="0051709F" w:rsidRDefault="004257F4" w:rsidP="00140A7B">
      <w:pPr>
        <w:jc w:val="both"/>
        <w:rPr>
          <w:rFonts w:cstheme="minorHAnsi"/>
        </w:rPr>
      </w:pPr>
    </w:p>
    <w:p w14:paraId="013CCD76" w14:textId="77777777" w:rsidR="006A1769" w:rsidRPr="0051709F" w:rsidRDefault="006A1769" w:rsidP="00140A7B">
      <w:pPr>
        <w:jc w:val="both"/>
        <w:rPr>
          <w:rFonts w:cstheme="minorHAnsi"/>
        </w:rPr>
      </w:pPr>
    </w:p>
    <w:p w14:paraId="4455CCB5" w14:textId="77777777" w:rsidR="006A1769" w:rsidRPr="0051709F" w:rsidRDefault="006A1769" w:rsidP="00140A7B">
      <w:pPr>
        <w:jc w:val="both"/>
        <w:rPr>
          <w:rFonts w:cstheme="minorHAnsi"/>
        </w:rPr>
      </w:pPr>
    </w:p>
    <w:p w14:paraId="1849846F" w14:textId="77777777" w:rsidR="006A1769" w:rsidRPr="0051709F" w:rsidRDefault="006A1769" w:rsidP="00140A7B">
      <w:pPr>
        <w:jc w:val="both"/>
        <w:rPr>
          <w:rFonts w:cstheme="minorHAnsi"/>
        </w:rPr>
      </w:pPr>
    </w:p>
    <w:p w14:paraId="2375D0F5" w14:textId="77777777" w:rsidR="006A1769" w:rsidRPr="0051709F" w:rsidRDefault="006A1769" w:rsidP="00140A7B">
      <w:pPr>
        <w:jc w:val="both"/>
        <w:rPr>
          <w:rFonts w:cstheme="minorHAnsi"/>
        </w:rPr>
      </w:pPr>
    </w:p>
    <w:p w14:paraId="56B371C4" w14:textId="77777777" w:rsidR="006A1769" w:rsidRPr="0051709F" w:rsidRDefault="006A1769" w:rsidP="00140A7B">
      <w:pPr>
        <w:jc w:val="both"/>
        <w:rPr>
          <w:rFonts w:cstheme="minorHAnsi"/>
        </w:rPr>
      </w:pPr>
    </w:p>
    <w:p w14:paraId="19B8EAD8" w14:textId="77777777" w:rsidR="006A1769" w:rsidRPr="0051709F" w:rsidRDefault="006A1769" w:rsidP="00140A7B">
      <w:pPr>
        <w:jc w:val="both"/>
        <w:rPr>
          <w:rFonts w:cstheme="minorHAnsi"/>
        </w:rPr>
      </w:pPr>
    </w:p>
    <w:p w14:paraId="79ABA9B3" w14:textId="77777777" w:rsidR="006A1769" w:rsidRPr="0051709F" w:rsidRDefault="006A1769" w:rsidP="00140A7B">
      <w:pPr>
        <w:jc w:val="both"/>
        <w:rPr>
          <w:rFonts w:cstheme="minorHAnsi"/>
        </w:rPr>
      </w:pPr>
    </w:p>
    <w:p w14:paraId="3E2C6D02" w14:textId="77777777" w:rsidR="006A1769" w:rsidRPr="0051709F" w:rsidRDefault="006A1769" w:rsidP="00140A7B">
      <w:pPr>
        <w:jc w:val="both"/>
        <w:rPr>
          <w:rFonts w:cstheme="minorHAnsi"/>
        </w:rPr>
      </w:pPr>
    </w:p>
    <w:p w14:paraId="4F86B646" w14:textId="77777777" w:rsidR="006A1769" w:rsidRPr="0051709F" w:rsidRDefault="006A1769" w:rsidP="00140A7B">
      <w:pPr>
        <w:jc w:val="both"/>
        <w:rPr>
          <w:rFonts w:cstheme="minorHAnsi"/>
        </w:rPr>
      </w:pPr>
    </w:p>
    <w:p w14:paraId="1A78F467" w14:textId="77777777" w:rsidR="006A1769" w:rsidRPr="0051709F" w:rsidRDefault="006A1769" w:rsidP="00140A7B">
      <w:pPr>
        <w:jc w:val="both"/>
        <w:rPr>
          <w:rFonts w:cstheme="minorHAnsi"/>
        </w:rPr>
      </w:pPr>
    </w:p>
    <w:p w14:paraId="4415FF46" w14:textId="77777777" w:rsidR="006A1769" w:rsidRPr="0051709F" w:rsidRDefault="006A1769" w:rsidP="00140A7B">
      <w:pPr>
        <w:jc w:val="both"/>
        <w:rPr>
          <w:rFonts w:cstheme="minorHAnsi"/>
        </w:rPr>
      </w:pPr>
    </w:p>
    <w:p w14:paraId="5F31A1A6" w14:textId="77777777" w:rsidR="006A1769" w:rsidRPr="0051709F" w:rsidRDefault="006A1769" w:rsidP="00140A7B">
      <w:pPr>
        <w:jc w:val="both"/>
        <w:rPr>
          <w:rFonts w:cstheme="minorHAnsi"/>
        </w:rPr>
      </w:pPr>
    </w:p>
    <w:p w14:paraId="1311CE4A" w14:textId="77777777" w:rsidR="006A1769" w:rsidRPr="0051709F" w:rsidRDefault="006A1769" w:rsidP="00140A7B">
      <w:pPr>
        <w:jc w:val="both"/>
        <w:rPr>
          <w:rFonts w:cstheme="minorHAnsi"/>
        </w:rPr>
      </w:pPr>
    </w:p>
    <w:p w14:paraId="58331C6B" w14:textId="77777777" w:rsidR="004257F4" w:rsidRPr="0051709F" w:rsidRDefault="004257F4" w:rsidP="006A1769">
      <w:pPr>
        <w:jc w:val="center"/>
        <w:rPr>
          <w:rFonts w:cstheme="minorHAnsi"/>
        </w:rPr>
      </w:pPr>
      <w:r w:rsidRPr="0051709F">
        <w:rPr>
          <w:rFonts w:cstheme="minorHAnsi"/>
          <w:noProof/>
          <w:lang w:val="en-GB" w:eastAsia="en-GB"/>
        </w:rPr>
        <w:lastRenderedPageBreak/>
        <w:drawing>
          <wp:inline distT="0" distB="0" distL="0" distR="0" wp14:anchorId="4EB5860D" wp14:editId="75962178">
            <wp:extent cx="5926930" cy="2610804"/>
            <wp:effectExtent l="0" t="0" r="4445" b="5715"/>
            <wp:docPr id="4291040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7174" cy="2615317"/>
                    </a:xfrm>
                    <a:prstGeom prst="rect">
                      <a:avLst/>
                    </a:prstGeom>
                    <a:noFill/>
                    <a:ln>
                      <a:noFill/>
                    </a:ln>
                  </pic:spPr>
                </pic:pic>
              </a:graphicData>
            </a:graphic>
          </wp:inline>
        </w:drawing>
      </w:r>
    </w:p>
    <w:p w14:paraId="42D7A497" w14:textId="77777777" w:rsidR="006A1769" w:rsidRPr="0051709F" w:rsidRDefault="006A1769" w:rsidP="006A1769">
      <w:pPr>
        <w:pStyle w:val="Default"/>
        <w:jc w:val="center"/>
        <w:rPr>
          <w:rFonts w:asciiTheme="minorHAnsi" w:hAnsiTheme="minorHAnsi" w:cstheme="minorHAnsi"/>
          <w:b/>
          <w:bCs/>
        </w:rPr>
      </w:pPr>
    </w:p>
    <w:p w14:paraId="0305A750" w14:textId="448ACEED" w:rsidR="006A1769" w:rsidRPr="007B667D" w:rsidRDefault="004257F4" w:rsidP="006A1769">
      <w:pPr>
        <w:pStyle w:val="Default"/>
        <w:jc w:val="center"/>
        <w:rPr>
          <w:rFonts w:ascii="Arial Narrow" w:hAnsi="Arial Narrow" w:cstheme="minorHAnsi"/>
          <w:sz w:val="22"/>
          <w:szCs w:val="22"/>
        </w:rPr>
      </w:pPr>
      <w:r w:rsidRPr="007B667D">
        <w:rPr>
          <w:rFonts w:ascii="Arial Narrow" w:hAnsi="Arial Narrow" w:cstheme="minorHAnsi"/>
          <w:bCs/>
          <w:sz w:val="22"/>
          <w:szCs w:val="22"/>
        </w:rPr>
        <w:t xml:space="preserve">Figura </w:t>
      </w:r>
      <w:r w:rsidR="00253B19" w:rsidRPr="007B667D">
        <w:rPr>
          <w:rFonts w:ascii="Arial Narrow" w:hAnsi="Arial Narrow" w:cstheme="minorHAnsi"/>
          <w:bCs/>
          <w:sz w:val="22"/>
          <w:szCs w:val="22"/>
        </w:rPr>
        <w:t>29</w:t>
      </w:r>
      <w:r w:rsidRPr="007B667D">
        <w:rPr>
          <w:rFonts w:ascii="Arial Narrow" w:hAnsi="Arial Narrow" w:cstheme="minorHAnsi"/>
          <w:sz w:val="22"/>
          <w:szCs w:val="22"/>
        </w:rPr>
        <w:t xml:space="preserve">. Enfermedades que más afectan a menores de 5 años y la contribución </w:t>
      </w:r>
    </w:p>
    <w:p w14:paraId="3BD6256A" w14:textId="1BC22B59" w:rsidR="004257F4" w:rsidRPr="007B667D" w:rsidRDefault="004257F4" w:rsidP="006A1769">
      <w:pPr>
        <w:pStyle w:val="Default"/>
        <w:jc w:val="center"/>
        <w:rPr>
          <w:rFonts w:ascii="Arial Narrow" w:hAnsi="Arial Narrow" w:cstheme="minorHAnsi"/>
          <w:sz w:val="22"/>
          <w:szCs w:val="22"/>
        </w:rPr>
      </w:pPr>
      <w:r w:rsidRPr="007B667D">
        <w:rPr>
          <w:rFonts w:ascii="Arial Narrow" w:hAnsi="Arial Narrow" w:cstheme="minorHAnsi"/>
          <w:sz w:val="22"/>
          <w:szCs w:val="22"/>
        </w:rPr>
        <w:t>(en color rosa) que tienen los factores ambientales en ellas.</w:t>
      </w:r>
    </w:p>
    <w:p w14:paraId="2166269B" w14:textId="77777777" w:rsidR="004257F4" w:rsidRPr="0051709F" w:rsidRDefault="004257F4" w:rsidP="00140A7B">
      <w:pPr>
        <w:jc w:val="both"/>
        <w:rPr>
          <w:rFonts w:cstheme="minorHAnsi"/>
        </w:rPr>
      </w:pPr>
    </w:p>
    <w:p w14:paraId="66E3CCA4" w14:textId="3B404F60" w:rsidR="004257F4" w:rsidRPr="0051709F" w:rsidRDefault="004257F4" w:rsidP="00140A7B">
      <w:pPr>
        <w:jc w:val="both"/>
        <w:rPr>
          <w:rFonts w:cstheme="minorHAnsi"/>
        </w:rPr>
      </w:pPr>
      <w:r w:rsidRPr="0051709F">
        <w:rPr>
          <w:rFonts w:cstheme="minorHAnsi"/>
        </w:rPr>
        <w:t>La misión y el objetivo general del Plan Estratégico de Salud y Medio Ambiente (PESMA) es disminuir los riesgos para la salud de la población derivados de los factores ambientales y sus condicionantes; disminuyendo</w:t>
      </w:r>
      <w:r w:rsidR="008F12B4">
        <w:rPr>
          <w:rFonts w:cstheme="minorHAnsi"/>
        </w:rPr>
        <w:t xml:space="preserve"> con ello</w:t>
      </w:r>
      <w:r w:rsidRPr="0051709F">
        <w:rPr>
          <w:rFonts w:cstheme="minorHAnsi"/>
        </w:rPr>
        <w:t xml:space="preserve"> la carga de enfermedades causadas por </w:t>
      </w:r>
      <w:r w:rsidR="008F12B4">
        <w:rPr>
          <w:rFonts w:cstheme="minorHAnsi"/>
        </w:rPr>
        <w:t>esos riesgos e</w:t>
      </w:r>
      <w:r w:rsidRPr="0051709F">
        <w:rPr>
          <w:rFonts w:cstheme="minorHAnsi"/>
        </w:rPr>
        <w:t xml:space="preserve"> identificando nuevas amenazas y facilitando el desarrollo de políticas en materia de salud.</w:t>
      </w:r>
    </w:p>
    <w:p w14:paraId="60270B25" w14:textId="77777777" w:rsidR="006A1769" w:rsidRPr="0051709F" w:rsidRDefault="006A1769" w:rsidP="00140A7B">
      <w:pPr>
        <w:pStyle w:val="NormalWeb"/>
        <w:shd w:val="clear" w:color="auto" w:fill="FFFFFF"/>
        <w:spacing w:before="0" w:beforeAutospacing="0" w:after="0" w:afterAutospacing="0"/>
        <w:jc w:val="both"/>
        <w:rPr>
          <w:rFonts w:asciiTheme="minorHAnsi" w:hAnsiTheme="minorHAnsi" w:cstheme="minorHAnsi"/>
          <w:color w:val="000000"/>
        </w:rPr>
      </w:pPr>
    </w:p>
    <w:p w14:paraId="4C2EA298" w14:textId="401426F3"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color w:val="000000"/>
        </w:rPr>
      </w:pPr>
      <w:r w:rsidRPr="0051709F">
        <w:rPr>
          <w:rFonts w:asciiTheme="minorHAnsi" w:hAnsiTheme="minorHAnsi" w:cstheme="minorHAnsi"/>
          <w:color w:val="000000"/>
        </w:rPr>
        <w:t>Desde la perspectiva medioambiental se han definido las siguientes cuatro áreas temáticas que presentan riesgos para la salud:</w:t>
      </w:r>
    </w:p>
    <w:p w14:paraId="37AF7499" w14:textId="77777777" w:rsidR="006A1769" w:rsidRPr="0051709F" w:rsidRDefault="006A1769" w:rsidP="00140A7B">
      <w:pPr>
        <w:pStyle w:val="NormalWeb"/>
        <w:shd w:val="clear" w:color="auto" w:fill="FFFFFF"/>
        <w:spacing w:before="0" w:beforeAutospacing="0" w:after="0" w:afterAutospacing="0"/>
        <w:jc w:val="both"/>
        <w:rPr>
          <w:rFonts w:asciiTheme="minorHAnsi" w:hAnsiTheme="minorHAnsi" w:cstheme="minorHAnsi"/>
          <w:color w:val="000000"/>
        </w:rPr>
      </w:pPr>
    </w:p>
    <w:p w14:paraId="34207417" w14:textId="77777777" w:rsidR="004257F4" w:rsidRPr="0051709F" w:rsidRDefault="004257F4" w:rsidP="00D14ACA">
      <w:pPr>
        <w:pStyle w:val="NormalWeb"/>
        <w:numPr>
          <w:ilvl w:val="0"/>
          <w:numId w:val="50"/>
        </w:numPr>
        <w:shd w:val="clear" w:color="auto" w:fill="FFFFFF"/>
        <w:spacing w:before="0" w:beforeAutospacing="0" w:after="0" w:afterAutospacing="0"/>
        <w:jc w:val="both"/>
        <w:rPr>
          <w:rFonts w:asciiTheme="minorHAnsi" w:hAnsiTheme="minorHAnsi" w:cstheme="minorHAnsi"/>
          <w:color w:val="000000"/>
        </w:rPr>
      </w:pPr>
      <w:r w:rsidRPr="0051709F">
        <w:rPr>
          <w:rFonts w:asciiTheme="minorHAnsi" w:hAnsiTheme="minorHAnsi" w:cstheme="minorHAnsi"/>
          <w:color w:val="000000"/>
        </w:rPr>
        <w:t>Cambio climático y salud: riesgos del clima, temperaturas extremas y vectores transmisores de enfermedades.</w:t>
      </w:r>
    </w:p>
    <w:p w14:paraId="5C126C26" w14:textId="77777777" w:rsidR="004257F4" w:rsidRPr="0051709F" w:rsidRDefault="004257F4" w:rsidP="00D14ACA">
      <w:pPr>
        <w:pStyle w:val="NormalWeb"/>
        <w:numPr>
          <w:ilvl w:val="0"/>
          <w:numId w:val="50"/>
        </w:numPr>
        <w:shd w:val="clear" w:color="auto" w:fill="FFFFFF"/>
        <w:spacing w:before="0" w:beforeAutospacing="0" w:after="0" w:afterAutospacing="0"/>
        <w:jc w:val="both"/>
        <w:rPr>
          <w:rFonts w:asciiTheme="minorHAnsi" w:hAnsiTheme="minorHAnsi" w:cstheme="minorHAnsi"/>
          <w:color w:val="000000"/>
        </w:rPr>
      </w:pPr>
      <w:r w:rsidRPr="0051709F">
        <w:rPr>
          <w:rFonts w:asciiTheme="minorHAnsi" w:hAnsiTheme="minorHAnsi" w:cstheme="minorHAnsi"/>
          <w:color w:val="000000"/>
        </w:rPr>
        <w:t>Contaminación: productos químicos, residuos, calidad del aire, calidad del agua   y contaminación industrial.</w:t>
      </w:r>
    </w:p>
    <w:p w14:paraId="49CBC6D2" w14:textId="77777777" w:rsidR="004257F4" w:rsidRPr="0051709F" w:rsidRDefault="004257F4" w:rsidP="00D14ACA">
      <w:pPr>
        <w:pStyle w:val="NormalWeb"/>
        <w:numPr>
          <w:ilvl w:val="0"/>
          <w:numId w:val="50"/>
        </w:numPr>
        <w:shd w:val="clear" w:color="auto" w:fill="FFFFFF"/>
        <w:spacing w:before="0" w:beforeAutospacing="0" w:after="0" w:afterAutospacing="0"/>
        <w:jc w:val="both"/>
        <w:rPr>
          <w:rFonts w:asciiTheme="minorHAnsi" w:hAnsiTheme="minorHAnsi" w:cstheme="minorHAnsi"/>
          <w:color w:val="000000"/>
        </w:rPr>
      </w:pPr>
      <w:r w:rsidRPr="0051709F">
        <w:rPr>
          <w:rFonts w:asciiTheme="minorHAnsi" w:hAnsiTheme="minorHAnsi" w:cstheme="minorHAnsi"/>
          <w:color w:val="000000"/>
        </w:rPr>
        <w:t>Radiaciones: radiactividad natural, campos electromagnéticos y radiación ultravioleta.</w:t>
      </w:r>
    </w:p>
    <w:p w14:paraId="2997380A" w14:textId="77777777" w:rsidR="004257F4" w:rsidRPr="0051709F" w:rsidRDefault="004257F4" w:rsidP="00D14ACA">
      <w:pPr>
        <w:pStyle w:val="NormalWeb"/>
        <w:numPr>
          <w:ilvl w:val="0"/>
          <w:numId w:val="50"/>
        </w:numPr>
        <w:shd w:val="clear" w:color="auto" w:fill="FFFFFF"/>
        <w:spacing w:before="0" w:beforeAutospacing="0" w:after="0" w:afterAutospacing="0"/>
        <w:jc w:val="both"/>
        <w:rPr>
          <w:rFonts w:asciiTheme="minorHAnsi" w:hAnsiTheme="minorHAnsi" w:cstheme="minorHAnsi"/>
          <w:color w:val="000000"/>
        </w:rPr>
      </w:pPr>
      <w:r w:rsidRPr="0051709F">
        <w:rPr>
          <w:rFonts w:asciiTheme="minorHAnsi" w:hAnsiTheme="minorHAnsi" w:cstheme="minorHAnsi"/>
          <w:color w:val="000000"/>
        </w:rPr>
        <w:t>Hábitat y salud: ruido ambiental y vibraciones, calidad de ambientes interiores y ciudades saludables.</w:t>
      </w:r>
    </w:p>
    <w:p w14:paraId="294D91A1" w14:textId="77777777" w:rsidR="004257F4" w:rsidRPr="0051709F" w:rsidRDefault="004257F4" w:rsidP="00140A7B">
      <w:pPr>
        <w:jc w:val="both"/>
        <w:rPr>
          <w:rFonts w:cstheme="minorHAnsi"/>
        </w:rPr>
      </w:pPr>
    </w:p>
    <w:p w14:paraId="1FD89798" w14:textId="77777777" w:rsidR="004257F4" w:rsidRPr="0051709F" w:rsidRDefault="004257F4" w:rsidP="00140A7B">
      <w:pPr>
        <w:jc w:val="both"/>
        <w:rPr>
          <w:rFonts w:cstheme="minorHAnsi"/>
        </w:rPr>
      </w:pPr>
      <w:r w:rsidRPr="0051709F">
        <w:rPr>
          <w:rFonts w:cstheme="minorHAnsi"/>
        </w:rPr>
        <w:t xml:space="preserve">De entre los objetivos planteados hay cuatro que nos orientan para los retos a plantear en la Estrategia Nacional de Fomento del Deporte contra el Sedentarismo y la Inactividad Física: </w:t>
      </w:r>
    </w:p>
    <w:p w14:paraId="32F3B052" w14:textId="77777777" w:rsidR="006A1769" w:rsidRPr="0051709F" w:rsidRDefault="006A1769" w:rsidP="00140A7B">
      <w:pPr>
        <w:jc w:val="both"/>
        <w:rPr>
          <w:rFonts w:cstheme="minorHAnsi"/>
        </w:rPr>
      </w:pPr>
    </w:p>
    <w:p w14:paraId="533C6E58" w14:textId="64F0B680" w:rsidR="004257F4" w:rsidRPr="0051709F" w:rsidRDefault="004257F4" w:rsidP="007B667D">
      <w:pPr>
        <w:pStyle w:val="Default"/>
        <w:numPr>
          <w:ilvl w:val="0"/>
          <w:numId w:val="143"/>
        </w:numPr>
        <w:jc w:val="both"/>
        <w:rPr>
          <w:rFonts w:asciiTheme="minorHAnsi" w:hAnsiTheme="minorHAnsi" w:cstheme="minorHAnsi"/>
        </w:rPr>
      </w:pPr>
      <w:r w:rsidRPr="0051709F">
        <w:rPr>
          <w:rFonts w:asciiTheme="minorHAnsi" w:hAnsiTheme="minorHAnsi" w:cstheme="minorHAnsi"/>
        </w:rPr>
        <w:t>Cumplir con los compromisos, responsabilidades y competencias de la</w:t>
      </w:r>
      <w:r w:rsidR="00514254">
        <w:rPr>
          <w:rFonts w:asciiTheme="minorHAnsi" w:hAnsiTheme="minorHAnsi" w:cstheme="minorHAnsi"/>
        </w:rPr>
        <w:t>s</w:t>
      </w:r>
      <w:r w:rsidRPr="0051709F">
        <w:rPr>
          <w:rFonts w:asciiTheme="minorHAnsi" w:hAnsiTheme="minorHAnsi" w:cstheme="minorHAnsi"/>
        </w:rPr>
        <w:t xml:space="preserve"> </w:t>
      </w:r>
      <w:r w:rsidR="00514254">
        <w:rPr>
          <w:rFonts w:asciiTheme="minorHAnsi" w:hAnsiTheme="minorHAnsi" w:cstheme="minorHAnsi"/>
        </w:rPr>
        <w:t>administraciones</w:t>
      </w:r>
      <w:r w:rsidRPr="0051709F">
        <w:rPr>
          <w:rFonts w:asciiTheme="minorHAnsi" w:hAnsiTheme="minorHAnsi" w:cstheme="minorHAnsi"/>
        </w:rPr>
        <w:t xml:space="preserve"> para conseguir los objetivos previstos en la legislación de la UE sobre salud y medio ambiente</w:t>
      </w:r>
      <w:r w:rsidR="00514254">
        <w:rPr>
          <w:rFonts w:asciiTheme="minorHAnsi" w:hAnsiTheme="minorHAnsi" w:cstheme="minorHAnsi"/>
        </w:rPr>
        <w:t>,</w:t>
      </w:r>
      <w:r w:rsidRPr="0051709F">
        <w:rPr>
          <w:rFonts w:asciiTheme="minorHAnsi" w:hAnsiTheme="minorHAnsi" w:cstheme="minorHAnsi"/>
        </w:rPr>
        <w:t xml:space="preserve"> la declaración de </w:t>
      </w:r>
      <w:proofErr w:type="spellStart"/>
      <w:r w:rsidRPr="0051709F">
        <w:rPr>
          <w:rFonts w:asciiTheme="minorHAnsi" w:hAnsiTheme="minorHAnsi" w:cstheme="minorHAnsi"/>
        </w:rPr>
        <w:t>Ostrava</w:t>
      </w:r>
      <w:proofErr w:type="spellEnd"/>
      <w:r w:rsidR="00514254">
        <w:rPr>
          <w:rFonts w:asciiTheme="minorHAnsi" w:hAnsiTheme="minorHAnsi" w:cstheme="minorHAnsi"/>
        </w:rPr>
        <w:t>,</w:t>
      </w:r>
      <w:r w:rsidRPr="0051709F">
        <w:rPr>
          <w:rFonts w:asciiTheme="minorHAnsi" w:hAnsiTheme="minorHAnsi" w:cstheme="minorHAnsi"/>
        </w:rPr>
        <w:t xml:space="preserve"> la Agenda 2030 para los Objetivos de Desarrollo Sostenible</w:t>
      </w:r>
      <w:r w:rsidR="00514254">
        <w:rPr>
          <w:rFonts w:asciiTheme="minorHAnsi" w:hAnsiTheme="minorHAnsi" w:cstheme="minorHAnsi"/>
        </w:rPr>
        <w:t>,</w:t>
      </w:r>
      <w:r w:rsidRPr="0051709F">
        <w:rPr>
          <w:rFonts w:asciiTheme="minorHAnsi" w:hAnsiTheme="minorHAnsi" w:cstheme="minorHAnsi"/>
        </w:rPr>
        <w:t xml:space="preserve"> el Acuerdo de París sobre Cambio Climático</w:t>
      </w:r>
      <w:r w:rsidR="00514254">
        <w:rPr>
          <w:rFonts w:asciiTheme="minorHAnsi" w:hAnsiTheme="minorHAnsi" w:cstheme="minorHAnsi"/>
        </w:rPr>
        <w:t>,</w:t>
      </w:r>
      <w:r w:rsidRPr="0051709F">
        <w:rPr>
          <w:rFonts w:asciiTheme="minorHAnsi" w:hAnsiTheme="minorHAnsi" w:cstheme="minorHAnsi"/>
        </w:rPr>
        <w:t xml:space="preserve"> la Estrategia de la </w:t>
      </w:r>
      <w:r w:rsidR="006D4843" w:rsidRPr="006D4843">
        <w:rPr>
          <w:rStyle w:val="rynqvb"/>
          <w:rFonts w:asciiTheme="minorHAnsi" w:hAnsiTheme="minorHAnsi" w:cstheme="minorHAnsi"/>
        </w:rPr>
        <w:t xml:space="preserve">Organización Mundial de la Salud </w:t>
      </w:r>
      <w:r w:rsidRPr="0051709F">
        <w:rPr>
          <w:rFonts w:asciiTheme="minorHAnsi" w:hAnsiTheme="minorHAnsi" w:cstheme="minorHAnsi"/>
        </w:rPr>
        <w:t>sobre salud, medio ambiente y cambio climático</w:t>
      </w:r>
      <w:r w:rsidR="00514254">
        <w:rPr>
          <w:rFonts w:asciiTheme="minorHAnsi" w:hAnsiTheme="minorHAnsi" w:cstheme="minorHAnsi"/>
        </w:rPr>
        <w:t>,</w:t>
      </w:r>
      <w:r w:rsidRPr="0051709F">
        <w:rPr>
          <w:rFonts w:asciiTheme="minorHAnsi" w:hAnsiTheme="minorHAnsi" w:cstheme="minorHAnsi"/>
        </w:rPr>
        <w:t xml:space="preserve"> el enfoque “</w:t>
      </w:r>
      <w:proofErr w:type="spellStart"/>
      <w:r w:rsidRPr="0051709F">
        <w:rPr>
          <w:rFonts w:asciiTheme="minorHAnsi" w:hAnsiTheme="minorHAnsi" w:cstheme="minorHAnsi"/>
        </w:rPr>
        <w:t>One</w:t>
      </w:r>
      <w:proofErr w:type="spellEnd"/>
      <w:r w:rsidRPr="0051709F">
        <w:rPr>
          <w:rFonts w:asciiTheme="minorHAnsi" w:hAnsiTheme="minorHAnsi" w:cstheme="minorHAnsi"/>
        </w:rPr>
        <w:t xml:space="preserve"> </w:t>
      </w:r>
      <w:proofErr w:type="spellStart"/>
      <w:r w:rsidRPr="0051709F">
        <w:rPr>
          <w:rFonts w:asciiTheme="minorHAnsi" w:hAnsiTheme="minorHAnsi" w:cstheme="minorHAnsi"/>
        </w:rPr>
        <w:t>Health</w:t>
      </w:r>
      <w:proofErr w:type="spellEnd"/>
      <w:r w:rsidRPr="0051709F">
        <w:rPr>
          <w:rFonts w:asciiTheme="minorHAnsi" w:hAnsiTheme="minorHAnsi" w:cstheme="minorHAnsi"/>
        </w:rPr>
        <w:t>”</w:t>
      </w:r>
      <w:r w:rsidR="00514254">
        <w:rPr>
          <w:rFonts w:asciiTheme="minorHAnsi" w:hAnsiTheme="minorHAnsi" w:cstheme="minorHAnsi"/>
        </w:rPr>
        <w:t>,</w:t>
      </w:r>
      <w:r w:rsidRPr="0051709F">
        <w:rPr>
          <w:rFonts w:asciiTheme="minorHAnsi" w:hAnsiTheme="minorHAnsi" w:cstheme="minorHAnsi"/>
        </w:rPr>
        <w:t xml:space="preserve"> el Séptimo Programa de Acción en materia de Medio Ambiente, el Plan de Acción de </w:t>
      </w:r>
      <w:r w:rsidRPr="0051709F">
        <w:rPr>
          <w:rFonts w:asciiTheme="minorHAnsi" w:hAnsiTheme="minorHAnsi" w:cstheme="minorHAnsi"/>
        </w:rPr>
        <w:lastRenderedPageBreak/>
        <w:t xml:space="preserve">Contaminación Cero de la Unión Europea, el Pacto Verde Europeo y el Marco Mundial de la Diversidad Biológica. </w:t>
      </w:r>
    </w:p>
    <w:p w14:paraId="506214C9" w14:textId="77777777" w:rsidR="004257F4" w:rsidRPr="0051709F" w:rsidRDefault="004257F4" w:rsidP="007B667D">
      <w:pPr>
        <w:pStyle w:val="Default"/>
        <w:numPr>
          <w:ilvl w:val="0"/>
          <w:numId w:val="143"/>
        </w:numPr>
        <w:jc w:val="both"/>
        <w:rPr>
          <w:rFonts w:asciiTheme="minorHAnsi" w:hAnsiTheme="minorHAnsi" w:cstheme="minorHAnsi"/>
        </w:rPr>
      </w:pPr>
      <w:r w:rsidRPr="0051709F">
        <w:rPr>
          <w:rFonts w:asciiTheme="minorHAnsi" w:hAnsiTheme="minorHAnsi" w:cstheme="minorHAnsi"/>
        </w:rPr>
        <w:t xml:space="preserve">Promover la investigación, formación y comunicación del riesgo sobre los efectos adversos para la salud de los factores ambientales. </w:t>
      </w:r>
    </w:p>
    <w:p w14:paraId="5DC455A9" w14:textId="77777777" w:rsidR="004257F4" w:rsidRPr="0051709F" w:rsidRDefault="004257F4" w:rsidP="007B667D">
      <w:pPr>
        <w:pStyle w:val="Default"/>
        <w:numPr>
          <w:ilvl w:val="0"/>
          <w:numId w:val="143"/>
        </w:numPr>
        <w:jc w:val="both"/>
        <w:rPr>
          <w:rFonts w:asciiTheme="minorHAnsi" w:hAnsiTheme="minorHAnsi" w:cstheme="minorHAnsi"/>
        </w:rPr>
      </w:pPr>
      <w:r w:rsidRPr="0051709F">
        <w:rPr>
          <w:rFonts w:asciiTheme="minorHAnsi" w:hAnsiTheme="minorHAnsi" w:cstheme="minorHAnsi"/>
        </w:rPr>
        <w:t xml:space="preserve">Promover el enfoque de </w:t>
      </w:r>
      <w:r w:rsidRPr="007B667D">
        <w:rPr>
          <w:rFonts w:asciiTheme="minorHAnsi" w:hAnsiTheme="minorHAnsi" w:cstheme="minorHAnsi"/>
          <w:b/>
          <w:bCs/>
          <w:i/>
          <w:iCs/>
        </w:rPr>
        <w:t>“Salud en todas las políticas”</w:t>
      </w:r>
      <w:r w:rsidRPr="0051709F">
        <w:rPr>
          <w:rFonts w:asciiTheme="minorHAnsi" w:hAnsiTheme="minorHAnsi" w:cstheme="minorHAnsi"/>
        </w:rPr>
        <w:t xml:space="preserve"> en otros sectores clave que tienen un impacto sobre la salud: energía, vivienda, trabajo, agricultura, industria, cambio climático, alimentación, transporte y planificación urbana. </w:t>
      </w:r>
    </w:p>
    <w:p w14:paraId="50170AC9" w14:textId="55C91304" w:rsidR="004257F4" w:rsidRPr="0051709F" w:rsidRDefault="004257F4" w:rsidP="007B667D">
      <w:pPr>
        <w:pStyle w:val="Default"/>
        <w:numPr>
          <w:ilvl w:val="0"/>
          <w:numId w:val="143"/>
        </w:numPr>
        <w:jc w:val="both"/>
        <w:rPr>
          <w:rFonts w:asciiTheme="minorHAnsi" w:hAnsiTheme="minorHAnsi" w:cstheme="minorHAnsi"/>
        </w:rPr>
      </w:pPr>
      <w:r w:rsidRPr="0051709F">
        <w:rPr>
          <w:rFonts w:asciiTheme="minorHAnsi" w:hAnsiTheme="minorHAnsi" w:cstheme="minorHAnsi"/>
        </w:rPr>
        <w:t>Construir entornos más saludables, promotores de salud, y potenciar la identificación, promoción y refuerzo de los activos para la salud de carácter ambiental, como</w:t>
      </w:r>
      <w:r w:rsidR="002F174D">
        <w:rPr>
          <w:rFonts w:asciiTheme="minorHAnsi" w:hAnsiTheme="minorHAnsi" w:cstheme="minorHAnsi"/>
        </w:rPr>
        <w:t>,</w:t>
      </w:r>
      <w:r w:rsidRPr="0051709F">
        <w:rPr>
          <w:rFonts w:asciiTheme="minorHAnsi" w:hAnsiTheme="minorHAnsi" w:cstheme="minorHAnsi"/>
        </w:rPr>
        <w:t xml:space="preserve"> por ejemplo</w:t>
      </w:r>
      <w:r w:rsidR="002F174D">
        <w:rPr>
          <w:rFonts w:asciiTheme="minorHAnsi" w:hAnsiTheme="minorHAnsi" w:cstheme="minorHAnsi"/>
        </w:rPr>
        <w:t>,</w:t>
      </w:r>
      <w:r w:rsidRPr="0051709F">
        <w:rPr>
          <w:rFonts w:asciiTheme="minorHAnsi" w:hAnsiTheme="minorHAnsi" w:cstheme="minorHAnsi"/>
        </w:rPr>
        <w:t xml:space="preserve"> poner en valor el papel de la conservación y restauración de la biodiversidad </w:t>
      </w:r>
    </w:p>
    <w:p w14:paraId="1F05AB6C" w14:textId="77777777" w:rsidR="004257F4" w:rsidRPr="0051709F" w:rsidRDefault="004257F4" w:rsidP="00140A7B">
      <w:pPr>
        <w:jc w:val="both"/>
        <w:rPr>
          <w:rFonts w:cstheme="minorHAnsi"/>
        </w:rPr>
      </w:pPr>
    </w:p>
    <w:p w14:paraId="378DFF03" w14:textId="7C1AFD4E" w:rsidR="004257F4" w:rsidRPr="0051709F" w:rsidRDefault="004257F4" w:rsidP="00140A7B">
      <w:pPr>
        <w:jc w:val="both"/>
        <w:rPr>
          <w:rFonts w:cstheme="minorHAnsi"/>
        </w:rPr>
      </w:pPr>
      <w:r w:rsidRPr="0051709F">
        <w:rPr>
          <w:rFonts w:cstheme="minorHAnsi"/>
        </w:rPr>
        <w:t>Además de la elaboración del Plan Estratégico de Salud y Medio Ambiente, acaba de anunciar</w:t>
      </w:r>
      <w:r w:rsidR="002F174D">
        <w:rPr>
          <w:rFonts w:cstheme="minorHAnsi"/>
        </w:rPr>
        <w:t>s</w:t>
      </w:r>
      <w:r w:rsidRPr="0051709F">
        <w:rPr>
          <w:rFonts w:cstheme="minorHAnsi"/>
        </w:rPr>
        <w:t>e la creación del Observatorio de Salud y Cambio Climático.</w:t>
      </w:r>
    </w:p>
    <w:p w14:paraId="5D7CF971" w14:textId="77777777" w:rsidR="004257F4" w:rsidRPr="0051709F" w:rsidRDefault="004257F4" w:rsidP="00140A7B">
      <w:pPr>
        <w:jc w:val="both"/>
        <w:rPr>
          <w:rFonts w:cstheme="minorHAnsi"/>
        </w:rPr>
      </w:pPr>
    </w:p>
    <w:p w14:paraId="1E7A5EB6" w14:textId="77777777" w:rsidR="004257F4" w:rsidRPr="0051709F" w:rsidRDefault="004257F4" w:rsidP="00140A7B">
      <w:pPr>
        <w:pStyle w:val="NormalWeb"/>
        <w:overflowPunct w:val="0"/>
        <w:spacing w:before="0" w:beforeAutospacing="0" w:after="0" w:afterAutospacing="0"/>
        <w:jc w:val="both"/>
        <w:rPr>
          <w:rFonts w:asciiTheme="minorHAnsi" w:hAnsiTheme="minorHAnsi" w:cstheme="minorHAnsi"/>
          <w:i/>
          <w:iCs/>
          <w:color w:val="000000" w:themeColor="text1" w:themeShade="BF"/>
          <w:position w:val="1"/>
        </w:rPr>
      </w:pPr>
      <w:r w:rsidRPr="0051709F">
        <w:rPr>
          <w:rFonts w:asciiTheme="minorHAnsi" w:hAnsiTheme="minorHAnsi" w:cstheme="minorHAnsi"/>
          <w:i/>
          <w:iCs/>
          <w:color w:val="000000" w:themeColor="text1" w:themeShade="BF"/>
          <w:position w:val="1"/>
        </w:rPr>
        <w:t>“La Asamblea General de Naciones Unidas aprobó el jueves, 28 de julio de 2022 la resolución que avala que el derecho al medio ambiente sano sea reconocido a nivel mundial y se convierta en garante de un planeta sano, seguro y resiliente.</w:t>
      </w:r>
    </w:p>
    <w:p w14:paraId="5BA4456A" w14:textId="77777777" w:rsidR="006A1769" w:rsidRPr="0051709F" w:rsidRDefault="006A1769" w:rsidP="00140A7B">
      <w:pPr>
        <w:pStyle w:val="NormalWeb"/>
        <w:overflowPunct w:val="0"/>
        <w:spacing w:before="0" w:beforeAutospacing="0" w:after="0" w:afterAutospacing="0"/>
        <w:jc w:val="both"/>
        <w:rPr>
          <w:rFonts w:asciiTheme="minorHAnsi" w:hAnsiTheme="minorHAnsi" w:cstheme="minorHAnsi"/>
          <w:i/>
          <w:iCs/>
        </w:rPr>
      </w:pPr>
    </w:p>
    <w:p w14:paraId="57902CDB" w14:textId="77777777" w:rsidR="004257F4" w:rsidRPr="0051709F" w:rsidRDefault="004257F4" w:rsidP="00140A7B">
      <w:pPr>
        <w:pStyle w:val="NormalWeb"/>
        <w:overflowPunct w:val="0"/>
        <w:spacing w:before="0" w:beforeAutospacing="0" w:after="0" w:afterAutospacing="0"/>
        <w:jc w:val="both"/>
        <w:rPr>
          <w:rFonts w:asciiTheme="minorHAnsi" w:hAnsiTheme="minorHAnsi" w:cstheme="minorHAnsi"/>
          <w:i/>
          <w:iCs/>
          <w:color w:val="000000" w:themeColor="text1" w:themeShade="BF"/>
          <w:position w:val="1"/>
        </w:rPr>
      </w:pPr>
      <w:r w:rsidRPr="0051709F">
        <w:rPr>
          <w:rFonts w:asciiTheme="minorHAnsi" w:hAnsiTheme="minorHAnsi" w:cstheme="minorHAnsi"/>
          <w:i/>
          <w:iCs/>
          <w:color w:val="000000" w:themeColor="text1" w:themeShade="BF"/>
          <w:position w:val="1"/>
        </w:rPr>
        <w:t xml:space="preserve">De este modo, la resolución dota al derecho al medio ambiente sano el carácter de derecho humano universal. </w:t>
      </w:r>
    </w:p>
    <w:p w14:paraId="1D008C27" w14:textId="77777777" w:rsidR="006A1769" w:rsidRPr="0051709F" w:rsidRDefault="006A1769" w:rsidP="00140A7B">
      <w:pPr>
        <w:pStyle w:val="NormalWeb"/>
        <w:overflowPunct w:val="0"/>
        <w:spacing w:before="0" w:beforeAutospacing="0" w:after="0" w:afterAutospacing="0"/>
        <w:jc w:val="both"/>
        <w:rPr>
          <w:rFonts w:asciiTheme="minorHAnsi" w:hAnsiTheme="minorHAnsi" w:cstheme="minorHAnsi"/>
          <w:i/>
          <w:iCs/>
          <w:color w:val="000000" w:themeColor="text1" w:themeShade="BF"/>
          <w:position w:val="1"/>
        </w:rPr>
      </w:pPr>
    </w:p>
    <w:p w14:paraId="4667C9DD" w14:textId="4EA78895" w:rsidR="004257F4" w:rsidRPr="0051709F" w:rsidRDefault="004257F4" w:rsidP="003906F1">
      <w:pPr>
        <w:pStyle w:val="NormalWeb"/>
        <w:overflowPunct w:val="0"/>
        <w:spacing w:before="0" w:beforeAutospacing="0" w:after="0" w:afterAutospacing="0"/>
        <w:jc w:val="both"/>
        <w:rPr>
          <w:rFonts w:asciiTheme="minorHAnsi" w:hAnsiTheme="minorHAnsi" w:cstheme="minorHAnsi"/>
        </w:rPr>
      </w:pPr>
      <w:r w:rsidRPr="0051709F">
        <w:rPr>
          <w:rFonts w:asciiTheme="minorHAnsi" w:hAnsiTheme="minorHAnsi" w:cstheme="minorHAnsi"/>
          <w:i/>
          <w:iCs/>
          <w:color w:val="000000" w:themeColor="text1" w:themeShade="BF"/>
          <w:position w:val="1"/>
        </w:rPr>
        <w:t>La resolución reitera que todos los Estados tienen la obligación de respetar, proteger y promover los derechos humanos incluido este nuevo derecho, según informa SEO/BirdLife.”</w:t>
      </w:r>
    </w:p>
    <w:p w14:paraId="5225B86C" w14:textId="77777777" w:rsidR="006A1769" w:rsidRPr="0051709F" w:rsidRDefault="006A1769" w:rsidP="00140A7B">
      <w:pPr>
        <w:jc w:val="both"/>
        <w:rPr>
          <w:rFonts w:cstheme="minorHAnsi"/>
        </w:rPr>
      </w:pPr>
    </w:p>
    <w:p w14:paraId="16B80D76" w14:textId="68706C11" w:rsidR="004257F4" w:rsidRPr="0051709F" w:rsidRDefault="004257F4" w:rsidP="003906F1">
      <w:pPr>
        <w:pStyle w:val="Ttulo2"/>
        <w:numPr>
          <w:ilvl w:val="0"/>
          <w:numId w:val="0"/>
        </w:numPr>
        <w:ind w:left="576" w:hanging="576"/>
        <w:rPr>
          <w:rFonts w:asciiTheme="minorHAnsi" w:hAnsiTheme="minorHAnsi" w:cstheme="minorHAnsi"/>
          <w:sz w:val="24"/>
          <w:szCs w:val="24"/>
          <w:lang w:val="es-ES"/>
        </w:rPr>
      </w:pPr>
      <w:r w:rsidRPr="0051709F">
        <w:rPr>
          <w:rFonts w:asciiTheme="minorHAnsi" w:hAnsiTheme="minorHAnsi" w:cstheme="minorHAnsi"/>
          <w:sz w:val="24"/>
          <w:szCs w:val="24"/>
          <w:lang w:val="es-ES"/>
        </w:rPr>
        <w:t>Integración progresiva de la sostenibilidad en el sistema deportivo</w:t>
      </w:r>
    </w:p>
    <w:p w14:paraId="624528EF" w14:textId="77777777" w:rsidR="006A1769" w:rsidRPr="0051709F" w:rsidRDefault="006A1769" w:rsidP="00140A7B">
      <w:pPr>
        <w:jc w:val="both"/>
        <w:rPr>
          <w:rFonts w:cstheme="minorHAnsi"/>
          <w:b/>
          <w:bCs/>
          <w:color w:val="000000" w:themeColor="text1"/>
        </w:rPr>
      </w:pPr>
    </w:p>
    <w:p w14:paraId="2DE92A1B" w14:textId="77777777" w:rsidR="004257F4" w:rsidRPr="0051709F" w:rsidRDefault="004257F4" w:rsidP="00140A7B">
      <w:pPr>
        <w:jc w:val="both"/>
        <w:rPr>
          <w:rFonts w:cstheme="minorHAnsi"/>
          <w:color w:val="000000" w:themeColor="text1"/>
        </w:rPr>
      </w:pPr>
      <w:r w:rsidRPr="0051709F">
        <w:rPr>
          <w:rFonts w:cstheme="minorHAnsi"/>
          <w:color w:val="000000" w:themeColor="text1"/>
        </w:rPr>
        <w:t>Ser sostenibles ya no es una opción y las consecuencias de la crisis climática nos llevan a plantearnos diferentes cuestiones:</w:t>
      </w:r>
    </w:p>
    <w:p w14:paraId="22F84E64" w14:textId="77777777" w:rsidR="00DF18C3" w:rsidRPr="0051709F" w:rsidRDefault="00DF18C3" w:rsidP="00140A7B">
      <w:pPr>
        <w:jc w:val="both"/>
        <w:rPr>
          <w:rFonts w:cstheme="minorHAnsi"/>
          <w:color w:val="000000" w:themeColor="text1"/>
        </w:rPr>
      </w:pPr>
    </w:p>
    <w:p w14:paraId="65011729" w14:textId="32748503"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¿Cómo será la adaptación de los deportistas al aumentar las temperaturas?</w:t>
      </w:r>
    </w:p>
    <w:p w14:paraId="75E2796D" w14:textId="77777777"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¿Cómo será la adaptación de los deportes de invierno a la escasez de nieve y agua?</w:t>
      </w:r>
    </w:p>
    <w:p w14:paraId="0C593C44" w14:textId="43123223"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¿Cómo incorporaremos los nuevos criterios medioambientales y regulación cada día más exigente con relación a la construcción de espacios deportiv</w:t>
      </w:r>
      <w:r w:rsidR="002F174D">
        <w:rPr>
          <w:rFonts w:asciiTheme="minorHAnsi" w:eastAsiaTheme="minorEastAsia" w:hAnsiTheme="minorHAnsi" w:cstheme="minorHAnsi"/>
          <w:color w:val="000000" w:themeColor="text1"/>
          <w:position w:val="1"/>
          <w:sz w:val="24"/>
          <w:szCs w:val="24"/>
          <w:lang w:val="es-ES" w:eastAsia="es-ES"/>
        </w:rPr>
        <w:t>o</w:t>
      </w:r>
      <w:r w:rsidRPr="0051709F">
        <w:rPr>
          <w:rFonts w:asciiTheme="minorHAnsi" w:eastAsiaTheme="minorEastAsia" w:hAnsiTheme="minorHAnsi" w:cstheme="minorHAnsi"/>
          <w:color w:val="000000" w:themeColor="text1"/>
          <w:position w:val="1"/>
          <w:sz w:val="24"/>
          <w:szCs w:val="24"/>
          <w:lang w:val="es-ES" w:eastAsia="es-ES"/>
        </w:rPr>
        <w:t>s? ¿Será necesario modificar los criterios en los planes de equipamiento?</w:t>
      </w:r>
    </w:p>
    <w:p w14:paraId="5669C54F" w14:textId="77777777"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¿Cómo va a ser el proceso de adaptación de las empresas que trabajan en actividades en la naturaleza ante las normativas de protección de los espacios naturales unido a la escasez de agua?</w:t>
      </w:r>
    </w:p>
    <w:p w14:paraId="32C341EA" w14:textId="77777777"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El mundo federativo y las competiciones deportivas ¿repensarán su actividad?</w:t>
      </w:r>
    </w:p>
    <w:p w14:paraId="07C47C29" w14:textId="089A3AB1"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¿El aumento de la digitalización de toda la actividad deportiva</w:t>
      </w:r>
      <w:proofErr w:type="gramStart"/>
      <w:r w:rsidR="002F174D">
        <w:rPr>
          <w:rFonts w:asciiTheme="minorHAnsi" w:eastAsiaTheme="minorEastAsia" w:hAnsiTheme="minorHAnsi" w:cstheme="minorHAnsi"/>
          <w:color w:val="000000" w:themeColor="text1"/>
          <w:position w:val="1"/>
          <w:sz w:val="24"/>
          <w:szCs w:val="24"/>
          <w:lang w:val="es-ES" w:eastAsia="es-ES"/>
        </w:rPr>
        <w:t>, ,</w:t>
      </w:r>
      <w:proofErr w:type="gramEnd"/>
      <w:r w:rsidRPr="0051709F">
        <w:rPr>
          <w:rFonts w:asciiTheme="minorHAnsi" w:eastAsiaTheme="minorEastAsia" w:hAnsiTheme="minorHAnsi" w:cstheme="minorHAnsi"/>
          <w:color w:val="000000" w:themeColor="text1"/>
          <w:position w:val="1"/>
          <w:sz w:val="24"/>
          <w:szCs w:val="24"/>
          <w:lang w:val="es-ES" w:eastAsia="es-ES"/>
        </w:rPr>
        <w:t xml:space="preserve"> deberá medir sus impactos ambientales y tener en cuenta las limitaciones de recursos? </w:t>
      </w:r>
    </w:p>
    <w:p w14:paraId="17DBF5AE" w14:textId="77777777" w:rsidR="004257F4" w:rsidRPr="0051709F" w:rsidRDefault="004257F4" w:rsidP="00E6399B">
      <w:pPr>
        <w:pStyle w:val="Prrafodelista"/>
        <w:numPr>
          <w:ilvl w:val="0"/>
          <w:numId w:val="76"/>
        </w:numPr>
        <w:jc w:val="both"/>
        <w:rPr>
          <w:rFonts w:asciiTheme="minorHAnsi" w:hAnsiTheme="minorHAnsi" w:cstheme="minorHAnsi"/>
          <w:color w:val="000000" w:themeColor="text1"/>
          <w:sz w:val="24"/>
          <w:szCs w:val="24"/>
          <w:lang w:val="es-ES"/>
        </w:rPr>
      </w:pPr>
      <w:r w:rsidRPr="0051709F">
        <w:rPr>
          <w:rFonts w:asciiTheme="minorHAnsi" w:eastAsiaTheme="minorEastAsia" w:hAnsiTheme="minorHAnsi" w:cstheme="minorHAnsi"/>
          <w:color w:val="000000" w:themeColor="text1"/>
          <w:position w:val="1"/>
          <w:sz w:val="24"/>
          <w:szCs w:val="24"/>
          <w:lang w:val="es-ES" w:eastAsia="es-ES"/>
        </w:rPr>
        <w:t xml:space="preserve">¿Cambiará la manera de producir el material deportivo? </w:t>
      </w:r>
    </w:p>
    <w:p w14:paraId="287F8B35" w14:textId="77777777" w:rsidR="004257F4" w:rsidRPr="0051709F" w:rsidRDefault="004257F4" w:rsidP="00140A7B">
      <w:pPr>
        <w:jc w:val="both"/>
        <w:rPr>
          <w:rFonts w:cstheme="minorHAnsi"/>
          <w:color w:val="000000" w:themeColor="text1"/>
        </w:rPr>
      </w:pPr>
    </w:p>
    <w:p w14:paraId="2CEA1A6B" w14:textId="1A22EB0D" w:rsidR="00D13003" w:rsidRPr="0051709F" w:rsidRDefault="004257F4" w:rsidP="00140A7B">
      <w:pPr>
        <w:jc w:val="both"/>
        <w:rPr>
          <w:rFonts w:cstheme="minorHAnsi"/>
        </w:rPr>
      </w:pPr>
      <w:r w:rsidRPr="0051709F">
        <w:rPr>
          <w:rFonts w:cstheme="minorHAnsi"/>
          <w:color w:val="000000" w:themeColor="text1"/>
        </w:rPr>
        <w:t>En 1969 ya se utiliza el término desarrollo sostenible en un documento firmado por treinta y tres países africanos, pero no es hasta 1987, con la publicación del Informe</w:t>
      </w:r>
      <w:r w:rsidRPr="0051709F">
        <w:rPr>
          <w:rFonts w:cstheme="minorHAnsi"/>
          <w:color w:val="000000" w:themeColor="text1"/>
          <w:shd w:val="clear" w:color="auto" w:fill="FFFFFF"/>
        </w:rPr>
        <w:t xml:space="preserve"> </w:t>
      </w:r>
      <w:r w:rsidRPr="0051709F">
        <w:rPr>
          <w:rFonts w:cstheme="minorHAnsi"/>
          <w:color w:val="000000" w:themeColor="text1"/>
          <w:shd w:val="clear" w:color="auto" w:fill="FFFFFF"/>
        </w:rPr>
        <w:lastRenderedPageBreak/>
        <w:t>Brundtland que aparece la palabra Sostenibilidad. Es a partir de 1992 en la conferencia de Naciones Unidas para el Desarrollo y la Sostenibilidad que el término se incorpora en todos los ámbitos</w:t>
      </w:r>
      <w:r w:rsidR="00DF18C3" w:rsidRPr="0051709F">
        <w:rPr>
          <w:rFonts w:cstheme="minorHAnsi"/>
          <w:color w:val="000000" w:themeColor="text1"/>
          <w:shd w:val="clear" w:color="auto" w:fill="FFFFFF"/>
        </w:rPr>
        <w:t>.</w:t>
      </w:r>
    </w:p>
    <w:p w14:paraId="39026C07" w14:textId="77777777" w:rsidR="00D13003" w:rsidRPr="0051709F" w:rsidRDefault="00D13003" w:rsidP="00140A7B">
      <w:pPr>
        <w:jc w:val="both"/>
        <w:rPr>
          <w:rFonts w:cstheme="minorHAnsi"/>
        </w:rPr>
      </w:pPr>
    </w:p>
    <w:p w14:paraId="323E4F7F" w14:textId="00F582B2" w:rsidR="004257F4" w:rsidRPr="0051709F" w:rsidRDefault="004257F4" w:rsidP="00140A7B">
      <w:pPr>
        <w:jc w:val="both"/>
        <w:rPr>
          <w:rFonts w:cstheme="minorHAnsi"/>
        </w:rPr>
      </w:pPr>
      <w:r w:rsidRPr="0051709F">
        <w:rPr>
          <w:rFonts w:cstheme="minorHAnsi"/>
        </w:rPr>
        <w:t>La incorporación de la sostenibilidad en la actividad deportiva es reciente y de manera desigual</w:t>
      </w:r>
      <w:r w:rsidR="002F174D">
        <w:rPr>
          <w:rFonts w:cstheme="minorHAnsi"/>
        </w:rPr>
        <w:t>,</w:t>
      </w:r>
      <w:r w:rsidRPr="0051709F">
        <w:rPr>
          <w:rFonts w:cstheme="minorHAnsi"/>
        </w:rPr>
        <w:t xml:space="preserve"> ya que la estructura del sector es amplia</w:t>
      </w:r>
      <w:r w:rsidR="002F174D">
        <w:rPr>
          <w:rFonts w:cstheme="minorHAnsi"/>
        </w:rPr>
        <w:t>,</w:t>
      </w:r>
      <w:r w:rsidRPr="0051709F">
        <w:rPr>
          <w:rFonts w:cstheme="minorHAnsi"/>
        </w:rPr>
        <w:t xml:space="preserve"> con competencias muy diversas</w:t>
      </w:r>
      <w:r w:rsidR="002F174D">
        <w:rPr>
          <w:rFonts w:cstheme="minorHAnsi"/>
        </w:rPr>
        <w:t>. No obstante,</w:t>
      </w:r>
      <w:r w:rsidRPr="0051709F">
        <w:rPr>
          <w:rFonts w:cstheme="minorHAnsi"/>
        </w:rPr>
        <w:t xml:space="preserve"> ya en la Ley 10 /1990, de 15 de octubre, del deporte, se habla de </w:t>
      </w:r>
      <w:r w:rsidRPr="007B667D">
        <w:rPr>
          <w:rFonts w:cstheme="minorHAnsi"/>
          <w:i/>
          <w:iCs/>
        </w:rPr>
        <w:t>“colaborar en materia de medio ambiente y defensa de la naturaleza con otros organismos públicos con competencias en ello y con las Federaciones especialmente relacionadas con aquéllos”</w:t>
      </w:r>
      <w:r w:rsidRPr="0051709F">
        <w:rPr>
          <w:rFonts w:cstheme="minorHAnsi"/>
        </w:rPr>
        <w:t>. La nueva Ley 39/2022, de 30 de diciembre, del Deporte amplía algunas referencias:</w:t>
      </w:r>
    </w:p>
    <w:p w14:paraId="79801044" w14:textId="77777777" w:rsidR="00DF18C3" w:rsidRPr="0051709F" w:rsidRDefault="00DF18C3" w:rsidP="00140A7B">
      <w:pPr>
        <w:jc w:val="both"/>
        <w:rPr>
          <w:rFonts w:cstheme="minorHAnsi"/>
        </w:rPr>
      </w:pPr>
    </w:p>
    <w:p w14:paraId="1B7C8458" w14:textId="77777777" w:rsidR="004257F4" w:rsidRPr="0051709F" w:rsidRDefault="004257F4" w:rsidP="00140A7B">
      <w:pPr>
        <w:ind w:firstLine="708"/>
        <w:jc w:val="both"/>
        <w:rPr>
          <w:rFonts w:cstheme="minorHAnsi"/>
          <w:i/>
          <w:iCs/>
        </w:rPr>
      </w:pPr>
      <w:r w:rsidRPr="0051709F">
        <w:rPr>
          <w:rFonts w:cstheme="minorHAnsi"/>
          <w:i/>
          <w:iCs/>
        </w:rPr>
        <w:t xml:space="preserve"> TITULO II. CAPITULO 1 Artículo 3. Fines</w:t>
      </w:r>
    </w:p>
    <w:p w14:paraId="145EC2C7" w14:textId="77777777" w:rsidR="00DF18C3" w:rsidRPr="0051709F" w:rsidRDefault="00DF18C3" w:rsidP="00140A7B">
      <w:pPr>
        <w:ind w:firstLine="708"/>
        <w:jc w:val="both"/>
        <w:rPr>
          <w:rFonts w:cstheme="minorHAnsi"/>
          <w:i/>
          <w:iCs/>
        </w:rPr>
      </w:pPr>
    </w:p>
    <w:p w14:paraId="12EDE935" w14:textId="77777777" w:rsidR="004257F4" w:rsidRPr="0051709F" w:rsidRDefault="004257F4" w:rsidP="00140A7B">
      <w:pPr>
        <w:ind w:left="708"/>
        <w:jc w:val="both"/>
        <w:rPr>
          <w:rFonts w:cstheme="minorHAnsi"/>
          <w:i/>
          <w:iCs/>
        </w:rPr>
      </w:pPr>
      <w:r w:rsidRPr="0051709F">
        <w:rPr>
          <w:rFonts w:cstheme="minorHAnsi"/>
          <w:i/>
          <w:iCs/>
        </w:rPr>
        <w:t>i) El Desarrollo de la actividad física y el deporte en condiciones compatibles y respetuosas con el medioambiente, la protección del medio natural y el entorno urbano, así como la seguridad de las personas.</w:t>
      </w:r>
    </w:p>
    <w:p w14:paraId="665EDDD9" w14:textId="77777777" w:rsidR="00DF18C3" w:rsidRPr="0051709F" w:rsidRDefault="00DF18C3" w:rsidP="00140A7B">
      <w:pPr>
        <w:ind w:firstLine="708"/>
        <w:jc w:val="both"/>
        <w:rPr>
          <w:rFonts w:cstheme="minorHAnsi"/>
          <w:i/>
          <w:iCs/>
        </w:rPr>
      </w:pPr>
    </w:p>
    <w:p w14:paraId="4C18436F" w14:textId="5FF8C9B4" w:rsidR="004257F4" w:rsidRPr="0051709F" w:rsidRDefault="004257F4" w:rsidP="00140A7B">
      <w:pPr>
        <w:ind w:firstLine="708"/>
        <w:jc w:val="both"/>
        <w:rPr>
          <w:rFonts w:cstheme="minorHAnsi"/>
          <w:i/>
          <w:iCs/>
        </w:rPr>
      </w:pPr>
      <w:r w:rsidRPr="0051709F">
        <w:rPr>
          <w:rFonts w:cstheme="minorHAnsi"/>
          <w:i/>
          <w:iCs/>
        </w:rPr>
        <w:t>TITULO IX. Art.124 Instalaciones deportivas</w:t>
      </w:r>
    </w:p>
    <w:p w14:paraId="0595E800" w14:textId="77777777" w:rsidR="00DF18C3" w:rsidRPr="0051709F" w:rsidRDefault="00DF18C3" w:rsidP="00140A7B">
      <w:pPr>
        <w:ind w:firstLine="708"/>
        <w:jc w:val="both"/>
        <w:rPr>
          <w:rFonts w:cstheme="minorHAnsi"/>
          <w:i/>
          <w:iCs/>
        </w:rPr>
      </w:pPr>
    </w:p>
    <w:p w14:paraId="59DFE778" w14:textId="6071B768" w:rsidR="004257F4" w:rsidRPr="0051709F" w:rsidRDefault="004257F4" w:rsidP="00363444">
      <w:pPr>
        <w:ind w:left="708"/>
        <w:jc w:val="both"/>
        <w:rPr>
          <w:rFonts w:cstheme="minorHAnsi"/>
          <w:i/>
          <w:iCs/>
        </w:rPr>
      </w:pPr>
      <w:r w:rsidRPr="0051709F">
        <w:rPr>
          <w:rFonts w:cstheme="minorHAnsi"/>
          <w:i/>
          <w:iCs/>
        </w:rPr>
        <w:t>Disposición adicional segunda. Principio de causar daño significativo al medio ambiente</w:t>
      </w:r>
    </w:p>
    <w:p w14:paraId="7DBFC0E1" w14:textId="77777777"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color w:val="000000"/>
          <w:shd w:val="clear" w:color="auto" w:fill="FFFFFF"/>
        </w:rPr>
      </w:pPr>
    </w:p>
    <w:p w14:paraId="75EC125E" w14:textId="5B247C6B"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color w:val="000000"/>
          <w:shd w:val="clear" w:color="auto" w:fill="FFFFFF"/>
        </w:rPr>
        <w:t>El 1992 el Comité Olímpico Internacional (COI) ya participó en la Cumbre de la Tierra, y en este marco, y a raíz de la publicación de la Agenda 2020 del Comité Olímpico Internacional, el COE ha definido una estrategia de sostenibilidad alineada con los Objetivos de Desarrollo y la Agenda 2030 de las Naciones Unidas</w:t>
      </w:r>
      <w:r w:rsidR="00DF18C3" w:rsidRPr="0051709F">
        <w:rPr>
          <w:rFonts w:asciiTheme="minorHAnsi" w:hAnsiTheme="minorHAnsi" w:cstheme="minorHAnsi"/>
          <w:color w:val="000000"/>
          <w:shd w:val="clear" w:color="auto" w:fill="FFFFFF"/>
        </w:rPr>
        <w:t>.</w:t>
      </w:r>
      <w:r w:rsidR="002F174D">
        <w:rPr>
          <w:rFonts w:asciiTheme="minorHAnsi" w:hAnsiTheme="minorHAnsi" w:cstheme="minorHAnsi"/>
          <w:color w:val="000000"/>
          <w:shd w:val="clear" w:color="auto" w:fill="FFFFFF"/>
        </w:rPr>
        <w:t xml:space="preserve"> </w:t>
      </w:r>
      <w:r w:rsidR="002F174D">
        <w:rPr>
          <w:rFonts w:asciiTheme="minorHAnsi" w:hAnsiTheme="minorHAnsi" w:cstheme="minorHAnsi"/>
        </w:rPr>
        <w:t>Así, d</w:t>
      </w:r>
      <w:r w:rsidRPr="0051709F">
        <w:rPr>
          <w:rFonts w:asciiTheme="minorHAnsi" w:hAnsiTheme="minorHAnsi" w:cstheme="minorHAnsi"/>
        </w:rPr>
        <w:t xml:space="preserve">esde hace años, la Comisión de Sostenibilidad y Cooperación del COE ha realizado numerosas acciones para adecuar el deporte español a los estándares de sostenibilidad. </w:t>
      </w:r>
    </w:p>
    <w:p w14:paraId="128CA86D" w14:textId="77777777" w:rsidR="00DF18C3" w:rsidRPr="0051709F" w:rsidRDefault="00DF18C3" w:rsidP="00140A7B">
      <w:pPr>
        <w:pStyle w:val="NormalWeb"/>
        <w:shd w:val="clear" w:color="auto" w:fill="FFFFFF"/>
        <w:spacing w:before="0" w:beforeAutospacing="0" w:after="0" w:afterAutospacing="0"/>
        <w:jc w:val="both"/>
        <w:rPr>
          <w:rFonts w:asciiTheme="minorHAnsi" w:hAnsiTheme="minorHAnsi" w:cstheme="minorHAnsi"/>
        </w:rPr>
      </w:pPr>
    </w:p>
    <w:p w14:paraId="45721EAF" w14:textId="1D6FDB88"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color w:val="212529"/>
          <w:shd w:val="clear" w:color="auto" w:fill="FFFFFF"/>
        </w:rPr>
      </w:pPr>
      <w:r w:rsidRPr="0051709F">
        <w:rPr>
          <w:rFonts w:asciiTheme="minorHAnsi" w:hAnsiTheme="minorHAnsi" w:cstheme="minorHAnsi"/>
        </w:rPr>
        <w:t xml:space="preserve">El COE está certificado </w:t>
      </w:r>
      <w:r w:rsidR="002F174D">
        <w:rPr>
          <w:rFonts w:asciiTheme="minorHAnsi" w:hAnsiTheme="minorHAnsi" w:cstheme="minorHAnsi"/>
        </w:rPr>
        <w:t xml:space="preserve">por </w:t>
      </w:r>
      <w:r w:rsidRPr="0051709F">
        <w:rPr>
          <w:rFonts w:asciiTheme="minorHAnsi" w:hAnsiTheme="minorHAnsi" w:cstheme="minorHAnsi"/>
        </w:rPr>
        <w:t>el Sistema de Gestión de la Responsabilidad Social Corporativa</w:t>
      </w:r>
      <w:r w:rsidR="002F174D">
        <w:rPr>
          <w:rFonts w:asciiTheme="minorHAnsi" w:hAnsiTheme="minorHAnsi" w:cstheme="minorHAnsi"/>
        </w:rPr>
        <w:t xml:space="preserve"> y</w:t>
      </w:r>
      <w:r w:rsidRPr="0051709F">
        <w:rPr>
          <w:rFonts w:asciiTheme="minorHAnsi" w:hAnsiTheme="minorHAnsi" w:cstheme="minorHAnsi"/>
        </w:rPr>
        <w:t xml:space="preserve"> alineado con los Objetivos de Desarrollo Sostenible de la ONU (SG-RSC-ODS) basado en la norma propieda</w:t>
      </w:r>
      <w:r w:rsidR="002F174D">
        <w:rPr>
          <w:rFonts w:asciiTheme="minorHAnsi" w:hAnsiTheme="minorHAnsi" w:cstheme="minorHAnsi"/>
        </w:rPr>
        <w:t>d</w:t>
      </w:r>
      <w:r w:rsidRPr="0051709F">
        <w:rPr>
          <w:rFonts w:asciiTheme="minorHAnsi" w:hAnsiTheme="minorHAnsi" w:cstheme="minorHAnsi"/>
        </w:rPr>
        <w:t xml:space="preserve"> de Bureau Veritas.</w:t>
      </w:r>
      <w:r w:rsidR="002F174D">
        <w:rPr>
          <w:rFonts w:asciiTheme="minorHAnsi" w:hAnsiTheme="minorHAnsi" w:cstheme="minorHAnsi"/>
        </w:rPr>
        <w:t xml:space="preserve"> </w:t>
      </w:r>
      <w:r w:rsidRPr="0051709F">
        <w:rPr>
          <w:rFonts w:asciiTheme="minorHAnsi" w:hAnsiTheme="minorHAnsi" w:cstheme="minorHAnsi"/>
        </w:rPr>
        <w:t xml:space="preserve">Además, ha trabajado con Bureau Veritas y con </w:t>
      </w:r>
      <w:proofErr w:type="spellStart"/>
      <w:r w:rsidRPr="007B667D">
        <w:rPr>
          <w:rFonts w:asciiTheme="minorHAnsi" w:hAnsiTheme="minorHAnsi" w:cstheme="minorHAnsi"/>
          <w:i/>
          <w:iCs/>
        </w:rPr>
        <w:t>Planet</w:t>
      </w:r>
      <w:proofErr w:type="spellEnd"/>
      <w:r w:rsidRPr="007B667D">
        <w:rPr>
          <w:rFonts w:asciiTheme="minorHAnsi" w:hAnsiTheme="minorHAnsi" w:cstheme="minorHAnsi"/>
          <w:i/>
          <w:iCs/>
        </w:rPr>
        <w:t xml:space="preserve"> </w:t>
      </w:r>
      <w:proofErr w:type="spellStart"/>
      <w:proofErr w:type="gramStart"/>
      <w:r w:rsidRPr="007B667D">
        <w:rPr>
          <w:rFonts w:asciiTheme="minorHAnsi" w:hAnsiTheme="minorHAnsi" w:cstheme="minorHAnsi"/>
          <w:i/>
          <w:iCs/>
        </w:rPr>
        <w:t>Fair</w:t>
      </w:r>
      <w:proofErr w:type="spellEnd"/>
      <w:r w:rsidRPr="007B667D">
        <w:rPr>
          <w:rFonts w:asciiTheme="minorHAnsi" w:hAnsiTheme="minorHAnsi" w:cstheme="minorHAnsi"/>
          <w:i/>
          <w:iCs/>
        </w:rPr>
        <w:t xml:space="preserve"> Play</w:t>
      </w:r>
      <w:proofErr w:type="gramEnd"/>
      <w:r w:rsidRPr="0051709F">
        <w:rPr>
          <w:rFonts w:asciiTheme="minorHAnsi" w:hAnsiTheme="minorHAnsi" w:cstheme="minorHAnsi"/>
        </w:rPr>
        <w:t xml:space="preserve"> para desarrollar un SELLO DEL COE DE ENTIDAD DEPORTIVA SOSTENIBLE. </w:t>
      </w:r>
      <w:r w:rsidRPr="0051709F">
        <w:rPr>
          <w:rFonts w:asciiTheme="minorHAnsi" w:hAnsiTheme="minorHAnsi" w:cstheme="minorHAnsi"/>
          <w:shd w:val="clear" w:color="auto" w:fill="FFFFFF"/>
        </w:rPr>
        <w:t>El Sello de Entidad Deportiva Sostenible creado por el Comité Olímpico Español es una certificación destinada a acreditar y dar visibilidad a todas aquellas organizaciones deportivas que estén realizando acciones por la alineación con los ODS aplicados a sus operaciones internas y externas. También ha desarrollado el SELLO DE EVENTO DEPORTIVO SOSTENIBLE.</w:t>
      </w:r>
      <w:r w:rsidRPr="0051709F">
        <w:rPr>
          <w:rFonts w:asciiTheme="minorHAnsi" w:hAnsiTheme="minorHAnsi" w:cstheme="minorHAnsi"/>
          <w:color w:val="212529"/>
          <w:shd w:val="clear" w:color="auto" w:fill="FFFFFF"/>
        </w:rPr>
        <w:t xml:space="preserve"> Este Sello es una certificación destinada a acreditar y dar visibilidad a todos los eventos deportivos que estén realizando un esfuerzo activo por la consecución de los ODS.</w:t>
      </w:r>
    </w:p>
    <w:p w14:paraId="083E2B04" w14:textId="77777777" w:rsidR="00DF18C3" w:rsidRPr="0051709F" w:rsidRDefault="00DF18C3" w:rsidP="00140A7B">
      <w:pPr>
        <w:pStyle w:val="NormalWeb"/>
        <w:shd w:val="clear" w:color="auto" w:fill="FFFFFF"/>
        <w:spacing w:before="0" w:beforeAutospacing="0" w:after="0" w:afterAutospacing="0"/>
        <w:jc w:val="both"/>
        <w:rPr>
          <w:rFonts w:asciiTheme="minorHAnsi" w:hAnsiTheme="minorHAnsi" w:cstheme="minorHAnsi"/>
        </w:rPr>
      </w:pPr>
    </w:p>
    <w:p w14:paraId="460FF105" w14:textId="79645BF7" w:rsidR="004257F4" w:rsidRPr="0051709F" w:rsidRDefault="002F174D" w:rsidP="00140A7B">
      <w:pPr>
        <w:pStyle w:val="NormalWeb"/>
        <w:shd w:val="clear" w:color="auto" w:fill="FFFFFF"/>
        <w:spacing w:before="0" w:beforeAutospacing="0" w:after="0" w:afterAutospacing="0"/>
        <w:jc w:val="both"/>
        <w:rPr>
          <w:rFonts w:asciiTheme="minorHAnsi" w:hAnsiTheme="minorHAnsi" w:cstheme="minorHAnsi"/>
          <w:color w:val="000000"/>
          <w:shd w:val="clear" w:color="auto" w:fill="FFFFFF"/>
        </w:rPr>
      </w:pPr>
      <w:r>
        <w:rPr>
          <w:rFonts w:asciiTheme="minorHAnsi" w:hAnsiTheme="minorHAnsi" w:cstheme="minorHAnsi"/>
        </w:rPr>
        <w:t>Por su parte, l</w:t>
      </w:r>
      <w:r w:rsidR="004257F4" w:rsidRPr="0051709F">
        <w:rPr>
          <w:rFonts w:asciiTheme="minorHAnsi" w:hAnsiTheme="minorHAnsi" w:cstheme="minorHAnsi"/>
        </w:rPr>
        <w:t xml:space="preserve">a Asociación del Deporte Español ha creado el </w:t>
      </w:r>
      <w:r w:rsidR="004257F4" w:rsidRPr="0051709F">
        <w:rPr>
          <w:rFonts w:asciiTheme="minorHAnsi" w:hAnsiTheme="minorHAnsi" w:cstheme="minorHAnsi"/>
          <w:i/>
          <w:iCs/>
          <w:shd w:val="clear" w:color="auto" w:fill="FFFFFF"/>
        </w:rPr>
        <w:t xml:space="preserve">Green Sport </w:t>
      </w:r>
      <w:proofErr w:type="spellStart"/>
      <w:r w:rsidR="004257F4" w:rsidRPr="0051709F">
        <w:rPr>
          <w:rFonts w:asciiTheme="minorHAnsi" w:hAnsiTheme="minorHAnsi" w:cstheme="minorHAnsi"/>
          <w:i/>
          <w:iCs/>
          <w:shd w:val="clear" w:color="auto" w:fill="FFFFFF"/>
        </w:rPr>
        <w:t>Flag</w:t>
      </w:r>
      <w:proofErr w:type="spellEnd"/>
      <w:r w:rsidR="004257F4" w:rsidRPr="0051709F">
        <w:rPr>
          <w:rFonts w:asciiTheme="minorHAnsi" w:hAnsiTheme="minorHAnsi" w:cstheme="minorHAnsi"/>
          <w:shd w:val="clear" w:color="auto" w:fill="FFFFFF"/>
        </w:rPr>
        <w:t>, que es el plan de acción de ADESP para favorecer la sostenibilidad del medio ambiente</w:t>
      </w:r>
      <w:r>
        <w:rPr>
          <w:rFonts w:asciiTheme="minorHAnsi" w:hAnsiTheme="minorHAnsi" w:cstheme="minorHAnsi"/>
          <w:shd w:val="clear" w:color="auto" w:fill="FFFFFF"/>
        </w:rPr>
        <w:t xml:space="preserve">, </w:t>
      </w:r>
      <w:r w:rsidR="004257F4" w:rsidRPr="0051709F">
        <w:rPr>
          <w:rFonts w:asciiTheme="minorHAnsi" w:hAnsiTheme="minorHAnsi" w:cstheme="minorHAnsi"/>
          <w:shd w:val="clear" w:color="auto" w:fill="FFFFFF"/>
        </w:rPr>
        <w:t>concienciando y sensibilizando a la sociedad a través del deporte. Es un</w:t>
      </w:r>
      <w:r w:rsidR="004257F4" w:rsidRPr="0051709F">
        <w:rPr>
          <w:rFonts w:asciiTheme="minorHAnsi" w:hAnsiTheme="minorHAnsi" w:cstheme="minorHAnsi"/>
          <w:color w:val="000000"/>
          <w:shd w:val="clear" w:color="auto" w:fill="FFFFFF"/>
        </w:rPr>
        <w:t xml:space="preserve"> plan de acción desde el deporte para el medio ambiente a través de eventos ecosostenibles, eco embajadores, voluntarios y formación.</w:t>
      </w:r>
    </w:p>
    <w:p w14:paraId="37CEABAD" w14:textId="77777777" w:rsidR="006A1769" w:rsidRPr="0051709F" w:rsidRDefault="006A1769" w:rsidP="00140A7B">
      <w:pPr>
        <w:pStyle w:val="NormalWeb"/>
        <w:shd w:val="clear" w:color="auto" w:fill="FFFFFF"/>
        <w:spacing w:before="0" w:beforeAutospacing="0" w:after="0" w:afterAutospacing="0"/>
        <w:jc w:val="both"/>
        <w:rPr>
          <w:rFonts w:asciiTheme="minorHAnsi" w:hAnsiTheme="minorHAnsi" w:cstheme="minorHAnsi"/>
          <w:color w:val="000000"/>
          <w:shd w:val="clear" w:color="auto" w:fill="FFFFFF"/>
        </w:rPr>
      </w:pPr>
    </w:p>
    <w:p w14:paraId="0CCA4F59" w14:textId="37061C71" w:rsidR="004257F4" w:rsidRPr="0051709F" w:rsidRDefault="002F174D" w:rsidP="00140A7B">
      <w:pPr>
        <w:pStyle w:val="NormalWeb"/>
        <w:shd w:val="clear" w:color="auto" w:fill="FFFFFF"/>
        <w:spacing w:before="0" w:beforeAutospacing="0" w:after="0" w:afterAutospacing="0"/>
        <w:jc w:val="both"/>
        <w:textAlignment w:val="baseline"/>
        <w:rPr>
          <w:rFonts w:asciiTheme="minorHAnsi" w:hAnsiTheme="minorHAnsi" w:cstheme="minorHAnsi"/>
          <w:color w:val="000000"/>
        </w:rPr>
      </w:pPr>
      <w:r>
        <w:rPr>
          <w:rFonts w:asciiTheme="minorHAnsi" w:hAnsiTheme="minorHAnsi" w:cstheme="minorHAnsi"/>
          <w:color w:val="000000"/>
        </w:rPr>
        <w:t xml:space="preserve">Del mismo modo, </w:t>
      </w:r>
      <w:r w:rsidR="004257F4" w:rsidRPr="0051709F">
        <w:rPr>
          <w:rFonts w:asciiTheme="minorHAnsi" w:hAnsiTheme="minorHAnsi" w:cstheme="minorHAnsi"/>
          <w:color w:val="000000"/>
        </w:rPr>
        <w:t>La Liga y el Consejo General de Economistas, en el año 2020 alcanza</w:t>
      </w:r>
      <w:r>
        <w:rPr>
          <w:rFonts w:asciiTheme="minorHAnsi" w:hAnsiTheme="minorHAnsi" w:cstheme="minorHAnsi"/>
          <w:color w:val="000000"/>
        </w:rPr>
        <w:t>ron</w:t>
      </w:r>
      <w:r w:rsidR="004257F4" w:rsidRPr="0051709F">
        <w:rPr>
          <w:rFonts w:asciiTheme="minorHAnsi" w:hAnsiTheme="minorHAnsi" w:cstheme="minorHAnsi"/>
          <w:color w:val="000000"/>
        </w:rPr>
        <w:t xml:space="preserve"> un acuerdo para colaborar en una </w:t>
      </w:r>
      <w:r w:rsidR="004257F4" w:rsidRPr="0051709F">
        <w:rPr>
          <w:rStyle w:val="nfasis"/>
          <w:rFonts w:asciiTheme="minorHAnsi" w:hAnsiTheme="minorHAnsi" w:cstheme="minorHAnsi"/>
          <w:color w:val="000000"/>
          <w:bdr w:val="none" w:sz="0" w:space="0" w:color="auto" w:frame="1"/>
        </w:rPr>
        <w:t>‘Guía para la elaboración de Memorias de Sostenibilidad en el fútbol profesional’</w:t>
      </w:r>
      <w:r w:rsidR="004257F4" w:rsidRPr="0051709F">
        <w:rPr>
          <w:rFonts w:asciiTheme="minorHAnsi" w:hAnsiTheme="minorHAnsi" w:cstheme="minorHAnsi"/>
          <w:color w:val="000000"/>
        </w:rPr>
        <w:t> </w:t>
      </w:r>
      <w:r>
        <w:rPr>
          <w:rFonts w:asciiTheme="minorHAnsi" w:hAnsiTheme="minorHAnsi" w:cstheme="minorHAnsi"/>
          <w:color w:val="000000"/>
        </w:rPr>
        <w:t>y con ello</w:t>
      </w:r>
      <w:r w:rsidRPr="0051709F">
        <w:rPr>
          <w:rFonts w:asciiTheme="minorHAnsi" w:hAnsiTheme="minorHAnsi" w:cstheme="minorHAnsi"/>
          <w:color w:val="000000"/>
        </w:rPr>
        <w:t xml:space="preserve"> </w:t>
      </w:r>
      <w:r w:rsidR="004257F4" w:rsidRPr="0051709F">
        <w:rPr>
          <w:rFonts w:asciiTheme="minorHAnsi" w:hAnsiTheme="minorHAnsi" w:cstheme="minorHAnsi"/>
          <w:color w:val="000000"/>
        </w:rPr>
        <w:t>orientar y ayudar a los clubes y sociedades anónimas deportivas de La Liga a la hora de comunicar sobre su información no financiera.</w:t>
      </w:r>
      <w:r>
        <w:rPr>
          <w:rFonts w:asciiTheme="minorHAnsi" w:hAnsiTheme="minorHAnsi" w:cstheme="minorHAnsi"/>
          <w:color w:val="000000"/>
        </w:rPr>
        <w:t xml:space="preserve"> </w:t>
      </w:r>
      <w:r w:rsidR="004257F4" w:rsidRPr="0051709F">
        <w:rPr>
          <w:rFonts w:asciiTheme="minorHAnsi" w:hAnsiTheme="minorHAnsi" w:cstheme="minorHAnsi"/>
          <w:color w:val="000000"/>
        </w:rPr>
        <w:t>Esta Guía es y será muy importante, ya que, a partir de 2021, la </w:t>
      </w:r>
      <w:r w:rsidR="004257F4" w:rsidRPr="0051709F">
        <w:rPr>
          <w:rStyle w:val="nfasis"/>
          <w:rFonts w:asciiTheme="minorHAnsi" w:hAnsiTheme="minorHAnsi" w:cstheme="minorHAnsi"/>
          <w:color w:val="000000"/>
          <w:bdr w:val="none" w:sz="0" w:space="0" w:color="auto" w:frame="1"/>
        </w:rPr>
        <w:t>Ley 11/2018 en materia de información no financiera y diversidad</w:t>
      </w:r>
      <w:r w:rsidR="004257F4" w:rsidRPr="0051709F">
        <w:rPr>
          <w:rFonts w:asciiTheme="minorHAnsi" w:hAnsiTheme="minorHAnsi" w:cstheme="minorHAnsi"/>
          <w:color w:val="000000"/>
        </w:rPr>
        <w:t> obliga a todas las empresas con más de 250 empleados a informar sobre cuestiones medioambientales, sociales, de género, derechos humanos y compromiso con el desarrollo sostenible, entre otras cuestiones.  </w:t>
      </w:r>
    </w:p>
    <w:p w14:paraId="4852D409" w14:textId="77777777" w:rsidR="004257F4" w:rsidRPr="0051709F" w:rsidRDefault="004257F4" w:rsidP="00140A7B">
      <w:pPr>
        <w:pStyle w:val="NormalWeb"/>
        <w:shd w:val="clear" w:color="auto" w:fill="FFFFFF"/>
        <w:spacing w:before="0" w:beforeAutospacing="0" w:after="0" w:afterAutospacing="0"/>
        <w:jc w:val="both"/>
        <w:textAlignment w:val="baseline"/>
        <w:rPr>
          <w:rFonts w:asciiTheme="minorHAnsi" w:hAnsiTheme="minorHAnsi" w:cstheme="minorHAnsi"/>
          <w:color w:val="000000"/>
        </w:rPr>
      </w:pPr>
    </w:p>
    <w:p w14:paraId="26E4D882" w14:textId="60A0DC21"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En el año 2018, las principales organizaciones deportivas a nivel mundial firmaron el nuevo</w:t>
      </w:r>
      <w:r w:rsidR="006A1769" w:rsidRPr="0051709F">
        <w:rPr>
          <w:rFonts w:asciiTheme="minorHAnsi" w:hAnsiTheme="minorHAnsi" w:cstheme="minorHAnsi"/>
        </w:rPr>
        <w:t xml:space="preserve"> </w:t>
      </w:r>
      <w:r w:rsidR="00256F83">
        <w:rPr>
          <w:rFonts w:asciiTheme="minorHAnsi" w:hAnsiTheme="minorHAnsi" w:cstheme="minorHAnsi"/>
        </w:rPr>
        <w:t xml:space="preserve">objetivo </w:t>
      </w:r>
      <w:r w:rsidRPr="0051709F">
        <w:rPr>
          <w:rFonts w:asciiTheme="minorHAnsi" w:hAnsiTheme="minorHAnsi" w:cstheme="minorHAnsi"/>
        </w:rPr>
        <w:t xml:space="preserve">común: </w:t>
      </w:r>
      <w:r w:rsidRPr="007B667D">
        <w:rPr>
          <w:rFonts w:asciiTheme="minorHAnsi" w:hAnsiTheme="minorHAnsi" w:cstheme="minorHAnsi"/>
          <w:u w:val="single"/>
        </w:rPr>
        <w:t>derrotar al cambio climático aumentando la conciencia y las acciones en favor del bienestar del planeta</w:t>
      </w:r>
      <w:r w:rsidRPr="00D20A88">
        <w:rPr>
          <w:rFonts w:asciiTheme="minorHAnsi" w:hAnsiTheme="minorHAnsi" w:cstheme="minorHAnsi"/>
        </w:rPr>
        <w:t>.</w:t>
      </w:r>
      <w:r w:rsidR="00256F83">
        <w:rPr>
          <w:rFonts w:asciiTheme="minorHAnsi" w:hAnsiTheme="minorHAnsi" w:cstheme="minorHAnsi"/>
        </w:rPr>
        <w:t xml:space="preserve"> </w:t>
      </w:r>
      <w:r w:rsidRPr="0051709F">
        <w:rPr>
          <w:rFonts w:asciiTheme="minorHAnsi" w:hAnsiTheme="minorHAnsi" w:cstheme="minorHAnsi"/>
        </w:rPr>
        <w:t>Entre las</w:t>
      </w:r>
      <w:r w:rsidR="006A1769" w:rsidRPr="0051709F">
        <w:rPr>
          <w:rFonts w:asciiTheme="minorHAnsi" w:hAnsiTheme="minorHAnsi" w:cstheme="minorHAnsi"/>
        </w:rPr>
        <w:t xml:space="preserve"> </w:t>
      </w:r>
      <w:r w:rsidRPr="0051709F">
        <w:rPr>
          <w:rFonts w:asciiTheme="minorHAnsi" w:hAnsiTheme="minorHAnsi" w:cstheme="minorHAnsi"/>
        </w:rPr>
        <w:t>que firmaron e</w:t>
      </w:r>
      <w:r w:rsidR="00256F83">
        <w:rPr>
          <w:rFonts w:asciiTheme="minorHAnsi" w:hAnsiTheme="minorHAnsi" w:cstheme="minorHAnsi"/>
        </w:rPr>
        <w:t>ste</w:t>
      </w:r>
      <w:r w:rsidRPr="0051709F">
        <w:rPr>
          <w:rFonts w:asciiTheme="minorHAnsi" w:hAnsiTheme="minorHAnsi" w:cstheme="minorHAnsi"/>
        </w:rPr>
        <w:t xml:space="preserve"> instrumento encontramos a verdaderos </w:t>
      </w:r>
      <w:r w:rsidR="00256F83">
        <w:rPr>
          <w:rFonts w:asciiTheme="minorHAnsi" w:hAnsiTheme="minorHAnsi" w:cstheme="minorHAnsi"/>
        </w:rPr>
        <w:t>a</w:t>
      </w:r>
      <w:r w:rsidRPr="0051709F">
        <w:rPr>
          <w:rFonts w:asciiTheme="minorHAnsi" w:hAnsiTheme="minorHAnsi" w:cstheme="minorHAnsi"/>
        </w:rPr>
        <w:t>l Comité Olímpico Internacional (COI), la Federación Internacional de Asociaciones de Fútbol (FIFA) y la Unión de Asociaciones Europeas de Fútbol (UEFA), la Federación Internacional de Vela, los de París 2024, junto a la Copa del Mundo de Rugby, y la Liga Mundial de Surf. Actualmente hay más de 250 organizaciones de todo el mundo que forman parte de Deporte para el Clima</w:t>
      </w:r>
      <w:r w:rsidR="00A61C4B" w:rsidRPr="0051709F">
        <w:rPr>
          <w:rFonts w:asciiTheme="minorHAnsi" w:hAnsiTheme="minorHAnsi" w:cstheme="minorHAnsi"/>
        </w:rPr>
        <w:t>.</w:t>
      </w:r>
    </w:p>
    <w:p w14:paraId="36EB4AF3" w14:textId="77777777" w:rsidR="00A61C4B" w:rsidRPr="0051709F" w:rsidRDefault="00A61C4B" w:rsidP="00140A7B">
      <w:pPr>
        <w:pStyle w:val="NormalWeb"/>
        <w:shd w:val="clear" w:color="auto" w:fill="FFFFFF"/>
        <w:spacing w:before="0" w:beforeAutospacing="0" w:after="0" w:afterAutospacing="0"/>
        <w:jc w:val="both"/>
        <w:rPr>
          <w:rFonts w:asciiTheme="minorHAnsi" w:hAnsiTheme="minorHAnsi" w:cstheme="minorHAnsi"/>
        </w:rPr>
      </w:pPr>
    </w:p>
    <w:p w14:paraId="3452C280" w14:textId="77777777"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Los signatarios se comprometen a:</w:t>
      </w:r>
    </w:p>
    <w:p w14:paraId="52970ACD" w14:textId="77777777" w:rsidR="00A61C4B" w:rsidRPr="0051709F" w:rsidRDefault="00A61C4B" w:rsidP="00140A7B">
      <w:pPr>
        <w:pStyle w:val="NormalWeb"/>
        <w:shd w:val="clear" w:color="auto" w:fill="FFFFFF"/>
        <w:spacing w:before="0" w:beforeAutospacing="0" w:after="0" w:afterAutospacing="0"/>
        <w:jc w:val="both"/>
        <w:rPr>
          <w:rFonts w:asciiTheme="minorHAnsi" w:hAnsiTheme="minorHAnsi" w:cstheme="minorHAnsi"/>
        </w:rPr>
      </w:pPr>
    </w:p>
    <w:p w14:paraId="65FC8915" w14:textId="0D73F0C9" w:rsidR="004257F4" w:rsidRPr="0051709F" w:rsidRDefault="004257F4" w:rsidP="00D14ACA">
      <w:pPr>
        <w:pStyle w:val="NormalWeb"/>
        <w:numPr>
          <w:ilvl w:val="0"/>
          <w:numId w:val="41"/>
        </w:numPr>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Ser cero emiso</w:t>
      </w:r>
      <w:r w:rsidR="00256F83">
        <w:rPr>
          <w:rFonts w:asciiTheme="minorHAnsi" w:hAnsiTheme="minorHAnsi" w:cstheme="minorHAnsi"/>
        </w:rPr>
        <w:t>r</w:t>
      </w:r>
      <w:r w:rsidRPr="0051709F">
        <w:rPr>
          <w:rFonts w:asciiTheme="minorHAnsi" w:hAnsiTheme="minorHAnsi" w:cstheme="minorHAnsi"/>
        </w:rPr>
        <w:t>es para 2040</w:t>
      </w:r>
      <w:r w:rsidR="00256F83">
        <w:rPr>
          <w:rFonts w:asciiTheme="minorHAnsi" w:hAnsiTheme="minorHAnsi" w:cstheme="minorHAnsi"/>
        </w:rPr>
        <w:t>,</w:t>
      </w:r>
    </w:p>
    <w:p w14:paraId="2423C9A4" w14:textId="33E910BC" w:rsidR="004257F4" w:rsidRPr="0051709F" w:rsidRDefault="004257F4" w:rsidP="00D14ACA">
      <w:pPr>
        <w:pStyle w:val="NormalWeb"/>
        <w:numPr>
          <w:ilvl w:val="0"/>
          <w:numId w:val="41"/>
        </w:numPr>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En los</w:t>
      </w:r>
      <w:r w:rsidR="00256F83">
        <w:rPr>
          <w:rFonts w:asciiTheme="minorHAnsi" w:hAnsiTheme="minorHAnsi" w:cstheme="minorHAnsi"/>
        </w:rPr>
        <w:t xml:space="preserve"> </w:t>
      </w:r>
      <w:r w:rsidRPr="0051709F">
        <w:rPr>
          <w:rFonts w:asciiTheme="minorHAnsi" w:hAnsiTheme="minorHAnsi" w:cstheme="minorHAnsi"/>
        </w:rPr>
        <w:t>12 primeros meses de la adhesión han de presentar sus planes de acción para lograr sus compromisos climáticos, especialmente a corto plazo a ONU Cambio climático</w:t>
      </w:r>
      <w:r w:rsidR="00256F83">
        <w:rPr>
          <w:rFonts w:asciiTheme="minorHAnsi" w:hAnsiTheme="minorHAnsi" w:cstheme="minorHAnsi"/>
        </w:rPr>
        <w:t>,</w:t>
      </w:r>
    </w:p>
    <w:p w14:paraId="0BFB5858" w14:textId="035756ED" w:rsidR="004257F4" w:rsidRPr="0051709F" w:rsidRDefault="004257F4" w:rsidP="00D14ACA">
      <w:pPr>
        <w:pStyle w:val="NormalWeb"/>
        <w:numPr>
          <w:ilvl w:val="0"/>
          <w:numId w:val="41"/>
        </w:numPr>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Se solicita a todos los signatarios que tomen medidas inmediatas hacia sus objetivos climáticos, y una urgente reducción de emisiones</w:t>
      </w:r>
      <w:r w:rsidR="00256F83">
        <w:rPr>
          <w:rFonts w:asciiTheme="minorHAnsi" w:hAnsiTheme="minorHAnsi" w:cstheme="minorHAnsi"/>
        </w:rPr>
        <w:t>,</w:t>
      </w:r>
    </w:p>
    <w:p w14:paraId="4478F18C" w14:textId="495B51EA" w:rsidR="004257F4" w:rsidRPr="0051709F" w:rsidRDefault="004257F4" w:rsidP="00D14ACA">
      <w:pPr>
        <w:pStyle w:val="NormalWeb"/>
        <w:numPr>
          <w:ilvl w:val="0"/>
          <w:numId w:val="41"/>
        </w:numPr>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Todos los signatarios deben presentar informes públicos anuales a partir de 2021</w:t>
      </w:r>
      <w:r w:rsidR="00256F83">
        <w:rPr>
          <w:rFonts w:asciiTheme="minorHAnsi" w:hAnsiTheme="minorHAnsi" w:cstheme="minorHAnsi"/>
        </w:rPr>
        <w:t>.</w:t>
      </w:r>
    </w:p>
    <w:p w14:paraId="6ED76FEF" w14:textId="77777777" w:rsidR="004257F4" w:rsidRPr="0051709F" w:rsidRDefault="004257F4" w:rsidP="00140A7B">
      <w:pPr>
        <w:pStyle w:val="NormalWeb"/>
        <w:shd w:val="clear" w:color="auto" w:fill="FFFFFF"/>
        <w:spacing w:before="0" w:beforeAutospacing="0" w:after="0" w:afterAutospacing="0"/>
        <w:jc w:val="both"/>
        <w:textAlignment w:val="baseline"/>
        <w:rPr>
          <w:rFonts w:asciiTheme="minorHAnsi" w:hAnsiTheme="minorHAnsi" w:cstheme="minorHAnsi"/>
          <w:color w:val="000000"/>
        </w:rPr>
      </w:pPr>
    </w:p>
    <w:p w14:paraId="1BE100A5" w14:textId="47CAAD1A"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color w:val="000000" w:themeColor="text1"/>
        </w:rPr>
      </w:pPr>
      <w:r w:rsidRPr="0051709F">
        <w:rPr>
          <w:rFonts w:asciiTheme="minorHAnsi" w:hAnsiTheme="minorHAnsi" w:cstheme="minorHAnsi"/>
          <w:color w:val="000000" w:themeColor="text1"/>
        </w:rPr>
        <w:t>En otro ámbito, la Agenda Urbana Española (AUE) es un </w:t>
      </w:r>
      <w:r w:rsidRPr="0051709F">
        <w:rPr>
          <w:rStyle w:val="Textoennegrita"/>
          <w:rFonts w:asciiTheme="minorHAnsi" w:hAnsiTheme="minorHAnsi" w:cstheme="minorHAnsi"/>
          <w:b w:val="0"/>
          <w:bCs w:val="0"/>
          <w:color w:val="000000" w:themeColor="text1"/>
        </w:rPr>
        <w:t>documento estratégico</w:t>
      </w:r>
      <w:r w:rsidRPr="0051709F">
        <w:rPr>
          <w:rFonts w:asciiTheme="minorHAnsi" w:hAnsiTheme="minorHAnsi" w:cstheme="minorHAnsi"/>
          <w:b/>
          <w:bCs/>
          <w:color w:val="000000" w:themeColor="text1"/>
        </w:rPr>
        <w:t>, </w:t>
      </w:r>
      <w:r w:rsidRPr="0051709F">
        <w:rPr>
          <w:rStyle w:val="Textoennegrita"/>
          <w:rFonts w:asciiTheme="minorHAnsi" w:hAnsiTheme="minorHAnsi" w:cstheme="minorHAnsi"/>
          <w:b w:val="0"/>
          <w:bCs w:val="0"/>
          <w:color w:val="000000" w:themeColor="text1"/>
        </w:rPr>
        <w:t>sin</w:t>
      </w:r>
      <w:r w:rsidRPr="0051709F">
        <w:rPr>
          <w:rStyle w:val="Textoennegrita"/>
          <w:rFonts w:asciiTheme="minorHAnsi" w:hAnsiTheme="minorHAnsi" w:cstheme="minorHAnsi"/>
          <w:color w:val="000000" w:themeColor="text1"/>
        </w:rPr>
        <w:t xml:space="preserve"> </w:t>
      </w:r>
      <w:r w:rsidRPr="0051709F">
        <w:rPr>
          <w:rStyle w:val="Textoennegrita"/>
          <w:rFonts w:asciiTheme="minorHAnsi" w:hAnsiTheme="minorHAnsi" w:cstheme="minorHAnsi"/>
          <w:b w:val="0"/>
          <w:bCs w:val="0"/>
          <w:color w:val="000000" w:themeColor="text1"/>
        </w:rPr>
        <w:t>carácter normativo,</w:t>
      </w:r>
      <w:r w:rsidRPr="0051709F">
        <w:rPr>
          <w:rFonts w:asciiTheme="minorHAnsi" w:hAnsiTheme="minorHAnsi" w:cstheme="minorHAnsi"/>
          <w:color w:val="000000" w:themeColor="text1"/>
        </w:rPr>
        <w:t> y por tanto de adhesión voluntaria, que, de conformidad con los criterios establecidos por la Agenda 2030, la nueva Agenda Urbana de las Naciones Unidas y la Agenda Urbana para la Unión Europea</w:t>
      </w:r>
      <w:r w:rsidR="00256F83">
        <w:rPr>
          <w:rFonts w:asciiTheme="minorHAnsi" w:hAnsiTheme="minorHAnsi" w:cstheme="minorHAnsi"/>
          <w:color w:val="000000" w:themeColor="text1"/>
        </w:rPr>
        <w:t>,</w:t>
      </w:r>
      <w:r w:rsidRPr="0051709F">
        <w:rPr>
          <w:rFonts w:asciiTheme="minorHAnsi" w:hAnsiTheme="minorHAnsi" w:cstheme="minorHAnsi"/>
          <w:color w:val="000000" w:themeColor="text1"/>
        </w:rPr>
        <w:t xml:space="preserve"> persigue el logro de la sostenibilidad en las políticas de desarrollo urbano. Constituye, además, </w:t>
      </w:r>
      <w:r w:rsidRPr="0051709F">
        <w:rPr>
          <w:rStyle w:val="Textoennegrita"/>
          <w:rFonts w:asciiTheme="minorHAnsi" w:hAnsiTheme="minorHAnsi" w:cstheme="minorHAnsi"/>
          <w:b w:val="0"/>
          <w:bCs w:val="0"/>
          <w:color w:val="000000" w:themeColor="text1"/>
        </w:rPr>
        <w:t>un método de trabajo y un</w:t>
      </w:r>
      <w:r w:rsidRPr="0051709F">
        <w:rPr>
          <w:rStyle w:val="Textoennegrita"/>
          <w:rFonts w:asciiTheme="minorHAnsi" w:hAnsiTheme="minorHAnsi" w:cstheme="minorHAnsi"/>
          <w:color w:val="000000" w:themeColor="text1"/>
        </w:rPr>
        <w:t xml:space="preserve"> </w:t>
      </w:r>
      <w:r w:rsidRPr="0051709F">
        <w:rPr>
          <w:rStyle w:val="Textoennegrita"/>
          <w:rFonts w:asciiTheme="minorHAnsi" w:hAnsiTheme="minorHAnsi" w:cstheme="minorHAnsi"/>
          <w:b w:val="0"/>
          <w:bCs w:val="0"/>
          <w:color w:val="000000" w:themeColor="text1"/>
        </w:rPr>
        <w:t>proceso</w:t>
      </w:r>
      <w:r w:rsidRPr="0051709F">
        <w:rPr>
          <w:rFonts w:asciiTheme="minorHAnsi" w:hAnsiTheme="minorHAnsi" w:cstheme="minorHAnsi"/>
          <w:color w:val="000000" w:themeColor="text1"/>
        </w:rPr>
        <w:t xml:space="preserve"> para todos los actores, públicos y privados, que intervienen en las ciudades y que buscan un desarrollo equitativo, justo y sostenible desde sus distintos campos de actuación. </w:t>
      </w:r>
      <w:r w:rsidR="00256F83">
        <w:rPr>
          <w:rFonts w:asciiTheme="minorHAnsi" w:hAnsiTheme="minorHAnsi" w:cstheme="minorHAnsi"/>
          <w:color w:val="000000" w:themeColor="text1"/>
        </w:rPr>
        <w:t>Conviene destacar que l</w:t>
      </w:r>
      <w:r w:rsidRPr="0051709F">
        <w:rPr>
          <w:rFonts w:asciiTheme="minorHAnsi" w:hAnsiTheme="minorHAnsi" w:cstheme="minorHAnsi"/>
          <w:color w:val="000000" w:themeColor="text1"/>
        </w:rPr>
        <w:t>a actividad física y el deporte forman parte de las políticas de desarrollo urbano y de las ciudades activas.</w:t>
      </w:r>
      <w:r w:rsidR="00256F83">
        <w:rPr>
          <w:rFonts w:asciiTheme="minorHAnsi" w:hAnsiTheme="minorHAnsi" w:cstheme="minorHAnsi"/>
          <w:color w:val="000000" w:themeColor="text1"/>
        </w:rPr>
        <w:t xml:space="preserve"> </w:t>
      </w:r>
      <w:r w:rsidRPr="0051709F">
        <w:rPr>
          <w:rFonts w:asciiTheme="minorHAnsi" w:hAnsiTheme="minorHAnsi" w:cstheme="minorHAnsi"/>
          <w:color w:val="000000" w:themeColor="text1"/>
        </w:rPr>
        <w:t xml:space="preserve">En su decálogo de objetivos estratégicos hace claras referencias a la protección del medioambiente, </w:t>
      </w:r>
      <w:r w:rsidR="00256F83">
        <w:rPr>
          <w:rFonts w:asciiTheme="minorHAnsi" w:hAnsiTheme="minorHAnsi" w:cstheme="minorHAnsi"/>
          <w:color w:val="000000" w:themeColor="text1"/>
        </w:rPr>
        <w:t>a la reducción de</w:t>
      </w:r>
      <w:r w:rsidRPr="0051709F">
        <w:rPr>
          <w:rFonts w:asciiTheme="minorHAnsi" w:hAnsiTheme="minorHAnsi" w:cstheme="minorHAnsi"/>
          <w:color w:val="000000" w:themeColor="text1"/>
        </w:rPr>
        <w:t xml:space="preserve"> la contaminación, </w:t>
      </w:r>
      <w:r w:rsidR="00256F83">
        <w:rPr>
          <w:rFonts w:asciiTheme="minorHAnsi" w:hAnsiTheme="minorHAnsi" w:cstheme="minorHAnsi"/>
          <w:color w:val="000000" w:themeColor="text1"/>
        </w:rPr>
        <w:t>a</w:t>
      </w:r>
      <w:r w:rsidR="00143228">
        <w:rPr>
          <w:rFonts w:asciiTheme="minorHAnsi" w:hAnsiTheme="minorHAnsi" w:cstheme="minorHAnsi"/>
          <w:color w:val="000000" w:themeColor="text1"/>
        </w:rPr>
        <w:t xml:space="preserve"> la </w:t>
      </w:r>
      <w:r w:rsidRPr="0051709F">
        <w:rPr>
          <w:rFonts w:asciiTheme="minorHAnsi" w:hAnsiTheme="minorHAnsi" w:cstheme="minorHAnsi"/>
          <w:color w:val="000000" w:themeColor="text1"/>
        </w:rPr>
        <w:t>mejora</w:t>
      </w:r>
      <w:r w:rsidR="00143228">
        <w:rPr>
          <w:rFonts w:asciiTheme="minorHAnsi" w:hAnsiTheme="minorHAnsi" w:cstheme="minorHAnsi"/>
          <w:color w:val="000000" w:themeColor="text1"/>
        </w:rPr>
        <w:t xml:space="preserve"> de</w:t>
      </w:r>
      <w:r w:rsidRPr="0051709F">
        <w:rPr>
          <w:rFonts w:asciiTheme="minorHAnsi" w:hAnsiTheme="minorHAnsi" w:cstheme="minorHAnsi"/>
          <w:color w:val="000000" w:themeColor="text1"/>
        </w:rPr>
        <w:t xml:space="preserve"> la sostenibilidad de los edificios, </w:t>
      </w:r>
      <w:r w:rsidR="00256F83">
        <w:rPr>
          <w:rFonts w:asciiTheme="minorHAnsi" w:hAnsiTheme="minorHAnsi" w:cstheme="minorHAnsi"/>
          <w:color w:val="000000" w:themeColor="text1"/>
        </w:rPr>
        <w:t xml:space="preserve">a la </w:t>
      </w:r>
      <w:r w:rsidRPr="0051709F">
        <w:rPr>
          <w:rFonts w:asciiTheme="minorHAnsi" w:hAnsiTheme="minorHAnsi" w:cstheme="minorHAnsi"/>
          <w:color w:val="000000" w:themeColor="text1"/>
        </w:rPr>
        <w:t xml:space="preserve">adaptación al cambio climático, reducir las emisiones de CO2 y fomentar la movilidad sostenible. </w:t>
      </w:r>
    </w:p>
    <w:p w14:paraId="21E282A0" w14:textId="77777777" w:rsidR="004257F4" w:rsidRPr="0051709F" w:rsidRDefault="004257F4" w:rsidP="00140A7B">
      <w:pPr>
        <w:jc w:val="both"/>
        <w:rPr>
          <w:rFonts w:cstheme="minorHAnsi"/>
        </w:rPr>
      </w:pPr>
    </w:p>
    <w:p w14:paraId="532AAF1E" w14:textId="77777777" w:rsidR="00EF3136" w:rsidRDefault="00EF3136" w:rsidP="003906F1">
      <w:pPr>
        <w:pStyle w:val="Ttulo2"/>
        <w:numPr>
          <w:ilvl w:val="0"/>
          <w:numId w:val="0"/>
        </w:numPr>
        <w:rPr>
          <w:rFonts w:asciiTheme="minorHAnsi" w:hAnsiTheme="minorHAnsi" w:cstheme="minorHAnsi"/>
          <w:sz w:val="24"/>
          <w:szCs w:val="24"/>
          <w:lang w:val="es-ES"/>
        </w:rPr>
      </w:pPr>
    </w:p>
    <w:p w14:paraId="672C4789" w14:textId="77777777" w:rsidR="00332D86" w:rsidRPr="00332D86" w:rsidRDefault="00332D86" w:rsidP="00332D86"/>
    <w:p w14:paraId="09B9EEF3" w14:textId="5CCD8315" w:rsidR="004257F4" w:rsidRPr="0051709F" w:rsidRDefault="004257F4" w:rsidP="003906F1">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lastRenderedPageBreak/>
        <w:t xml:space="preserve">Bases referenciales para el planteamiento de las propuestas  </w:t>
      </w:r>
    </w:p>
    <w:p w14:paraId="5B2CB8AF" w14:textId="77777777" w:rsidR="00A61C4B" w:rsidRPr="0051709F" w:rsidRDefault="00A61C4B" w:rsidP="00140A7B">
      <w:pPr>
        <w:jc w:val="both"/>
        <w:rPr>
          <w:rFonts w:cstheme="minorHAnsi"/>
          <w:color w:val="000000" w:themeColor="text1"/>
        </w:rPr>
      </w:pPr>
    </w:p>
    <w:p w14:paraId="3D1083F2" w14:textId="01CA0BE3" w:rsidR="004257F4" w:rsidRPr="0051709F" w:rsidRDefault="004257F4" w:rsidP="00140A7B">
      <w:pPr>
        <w:jc w:val="both"/>
        <w:rPr>
          <w:rFonts w:cstheme="minorHAnsi"/>
        </w:rPr>
      </w:pPr>
      <w:r w:rsidRPr="0051709F">
        <w:rPr>
          <w:rFonts w:cstheme="minorHAnsi"/>
        </w:rPr>
        <w:t xml:space="preserve">Para plantear las propuestas de la Estrategia </w:t>
      </w:r>
      <w:r w:rsidR="00256F83">
        <w:rPr>
          <w:rFonts w:cstheme="minorHAnsi"/>
        </w:rPr>
        <w:t xml:space="preserve">Nacional </w:t>
      </w:r>
      <w:r w:rsidRPr="0051709F">
        <w:rPr>
          <w:rFonts w:cstheme="minorHAnsi"/>
        </w:rPr>
        <w:t xml:space="preserve">contra el Sedentarismo y la Inactividad Física desde la perspectiva de la sostenibilidad, </w:t>
      </w:r>
      <w:r w:rsidR="00256F83">
        <w:rPr>
          <w:rFonts w:cstheme="minorHAnsi"/>
        </w:rPr>
        <w:t>se ha</w:t>
      </w:r>
      <w:r w:rsidR="00256F83" w:rsidRPr="0051709F">
        <w:rPr>
          <w:rFonts w:cstheme="minorHAnsi"/>
        </w:rPr>
        <w:t xml:space="preserve"> </w:t>
      </w:r>
      <w:r w:rsidRPr="0051709F">
        <w:rPr>
          <w:rFonts w:cstheme="minorHAnsi"/>
        </w:rPr>
        <w:t>considerado la normativa y planes existentes</w:t>
      </w:r>
      <w:r w:rsidR="00256F83">
        <w:rPr>
          <w:rFonts w:cstheme="minorHAnsi"/>
        </w:rPr>
        <w:t>,</w:t>
      </w:r>
      <w:r w:rsidRPr="0051709F">
        <w:rPr>
          <w:rFonts w:cstheme="minorHAnsi"/>
        </w:rPr>
        <w:t xml:space="preserve"> que relacionan sostenibilidad, salud y actividad física. Hay que tener en cuenta que el concepto y la aplicación en programas concretos es reciente.  </w:t>
      </w:r>
    </w:p>
    <w:p w14:paraId="7AA7795C" w14:textId="77777777" w:rsidR="00A61C4B" w:rsidRPr="0051709F" w:rsidRDefault="00A61C4B" w:rsidP="00140A7B">
      <w:pPr>
        <w:jc w:val="both"/>
        <w:rPr>
          <w:rFonts w:cstheme="minorHAnsi"/>
        </w:rPr>
      </w:pPr>
    </w:p>
    <w:p w14:paraId="3DA2A013" w14:textId="07B128FB" w:rsidR="004257F4" w:rsidRPr="0051709F" w:rsidRDefault="00256F83" w:rsidP="00990DDE">
      <w:pPr>
        <w:jc w:val="both"/>
        <w:rPr>
          <w:rFonts w:cstheme="minorHAnsi"/>
          <w:b/>
          <w:bCs/>
          <w:iCs/>
        </w:rPr>
      </w:pPr>
      <w:r>
        <w:rPr>
          <w:rFonts w:cstheme="minorHAnsi"/>
          <w:b/>
          <w:bCs/>
        </w:rPr>
        <w:t xml:space="preserve">A. </w:t>
      </w:r>
      <w:r w:rsidR="004257F4" w:rsidRPr="0051709F">
        <w:rPr>
          <w:rFonts w:cstheme="minorHAnsi"/>
          <w:b/>
          <w:bCs/>
        </w:rPr>
        <w:t xml:space="preserve">Las áreas establecidas por la UE </w:t>
      </w:r>
      <w:r>
        <w:rPr>
          <w:rFonts w:cstheme="minorHAnsi"/>
          <w:b/>
          <w:bCs/>
        </w:rPr>
        <w:t xml:space="preserve">en </w:t>
      </w:r>
      <w:r w:rsidR="004257F4" w:rsidRPr="0051709F">
        <w:rPr>
          <w:rFonts w:cstheme="minorHAnsi"/>
          <w:b/>
          <w:bCs/>
        </w:rPr>
        <w:t>el</w:t>
      </w:r>
      <w:r w:rsidR="004257F4" w:rsidRPr="0051709F">
        <w:rPr>
          <w:rFonts w:cstheme="minorHAnsi"/>
          <w:b/>
          <w:bCs/>
          <w:i/>
        </w:rPr>
        <w:t xml:space="preserve"> EU </w:t>
      </w:r>
      <w:proofErr w:type="spellStart"/>
      <w:r w:rsidR="004257F4" w:rsidRPr="0051709F">
        <w:rPr>
          <w:rFonts w:cstheme="minorHAnsi"/>
          <w:b/>
          <w:bCs/>
          <w:i/>
        </w:rPr>
        <w:t>Physical</w:t>
      </w:r>
      <w:proofErr w:type="spellEnd"/>
      <w:r w:rsidR="004257F4" w:rsidRPr="0051709F">
        <w:rPr>
          <w:rFonts w:cstheme="minorHAnsi"/>
          <w:b/>
          <w:bCs/>
          <w:i/>
        </w:rPr>
        <w:t xml:space="preserve"> </w:t>
      </w:r>
      <w:proofErr w:type="spellStart"/>
      <w:r w:rsidR="004257F4" w:rsidRPr="0051709F">
        <w:rPr>
          <w:rFonts w:cstheme="minorHAnsi"/>
          <w:b/>
          <w:bCs/>
          <w:i/>
        </w:rPr>
        <w:t>Activity</w:t>
      </w:r>
      <w:proofErr w:type="spellEnd"/>
      <w:r w:rsidR="004257F4" w:rsidRPr="0051709F">
        <w:rPr>
          <w:rFonts w:cstheme="minorHAnsi"/>
          <w:b/>
          <w:bCs/>
          <w:i/>
        </w:rPr>
        <w:t xml:space="preserve"> Focal </w:t>
      </w:r>
      <w:proofErr w:type="spellStart"/>
      <w:r w:rsidR="004257F4" w:rsidRPr="0051709F">
        <w:rPr>
          <w:rFonts w:cstheme="minorHAnsi"/>
          <w:b/>
          <w:bCs/>
          <w:i/>
        </w:rPr>
        <w:t>Points</w:t>
      </w:r>
      <w:proofErr w:type="spellEnd"/>
      <w:r w:rsidR="004257F4" w:rsidRPr="0051709F">
        <w:rPr>
          <w:rFonts w:cstheme="minorHAnsi"/>
          <w:b/>
          <w:bCs/>
          <w:i/>
        </w:rPr>
        <w:t xml:space="preserve"> Network,</w:t>
      </w:r>
      <w:r>
        <w:rPr>
          <w:rFonts w:cstheme="minorHAnsi"/>
          <w:b/>
          <w:bCs/>
          <w:i/>
        </w:rPr>
        <w:t xml:space="preserve"> en</w:t>
      </w:r>
      <w:r w:rsidR="004257F4" w:rsidRPr="0051709F">
        <w:rPr>
          <w:rFonts w:cstheme="minorHAnsi"/>
          <w:b/>
          <w:bCs/>
          <w:i/>
        </w:rPr>
        <w:t xml:space="preserve"> </w:t>
      </w:r>
      <w:r w:rsidR="004257F4" w:rsidRPr="0051709F">
        <w:rPr>
          <w:rFonts w:cstheme="minorHAnsi"/>
          <w:b/>
          <w:bCs/>
          <w:iCs/>
        </w:rPr>
        <w:t>el área temática “Medioambiente, urbanismo y seguridad ciudadana” y sus dos indicadores</w:t>
      </w:r>
      <w:r>
        <w:rPr>
          <w:rFonts w:cstheme="minorHAnsi"/>
          <w:b/>
          <w:bCs/>
          <w:iCs/>
        </w:rPr>
        <w:t xml:space="preserve"> son:</w:t>
      </w:r>
      <w:r w:rsidR="004257F4" w:rsidRPr="0051709F">
        <w:rPr>
          <w:rFonts w:cstheme="minorHAnsi"/>
          <w:b/>
          <w:bCs/>
          <w:iCs/>
        </w:rPr>
        <w:t xml:space="preserve"> </w:t>
      </w:r>
    </w:p>
    <w:p w14:paraId="3B705DFB" w14:textId="77777777" w:rsidR="00990DDE" w:rsidRPr="0051709F" w:rsidRDefault="00990DDE" w:rsidP="00990DDE">
      <w:pPr>
        <w:jc w:val="both"/>
        <w:rPr>
          <w:rFonts w:cstheme="minorHAnsi"/>
          <w:b/>
          <w:bCs/>
          <w:iCs/>
        </w:rPr>
      </w:pPr>
    </w:p>
    <w:p w14:paraId="22E3C57B" w14:textId="254E6F9B" w:rsidR="004257F4" w:rsidRPr="00DA6852" w:rsidRDefault="004257F4" w:rsidP="00D14ACA">
      <w:pPr>
        <w:pStyle w:val="Prrafodelista"/>
        <w:numPr>
          <w:ilvl w:val="0"/>
          <w:numId w:val="47"/>
        </w:numPr>
        <w:jc w:val="both"/>
        <w:rPr>
          <w:rFonts w:asciiTheme="minorHAnsi" w:hAnsiTheme="minorHAnsi" w:cstheme="minorHAnsi"/>
          <w:iCs/>
          <w:sz w:val="24"/>
          <w:szCs w:val="24"/>
          <w:lang w:val="es-ES"/>
        </w:rPr>
      </w:pPr>
      <w:r w:rsidRPr="00DA6852">
        <w:rPr>
          <w:rFonts w:asciiTheme="minorHAnsi" w:hAnsiTheme="minorHAnsi" w:cstheme="minorHAnsi"/>
          <w:iCs/>
          <w:sz w:val="24"/>
          <w:szCs w:val="24"/>
          <w:lang w:val="es-ES"/>
        </w:rPr>
        <w:t>17: Nivel de ciclismo y peatones</w:t>
      </w:r>
      <w:r w:rsidR="00256F83" w:rsidRPr="00DA6852">
        <w:rPr>
          <w:rFonts w:asciiTheme="minorHAnsi" w:hAnsiTheme="minorHAnsi" w:cstheme="minorHAnsi"/>
          <w:iCs/>
          <w:sz w:val="24"/>
          <w:szCs w:val="24"/>
          <w:lang w:val="es-ES"/>
        </w:rPr>
        <w:t>,</w:t>
      </w:r>
    </w:p>
    <w:p w14:paraId="22336FF9" w14:textId="7D5A049E" w:rsidR="00990DDE" w:rsidRPr="00963270" w:rsidRDefault="004257F4" w:rsidP="00963270">
      <w:pPr>
        <w:pStyle w:val="Prrafodelista"/>
        <w:numPr>
          <w:ilvl w:val="0"/>
          <w:numId w:val="47"/>
        </w:numPr>
        <w:jc w:val="both"/>
        <w:rPr>
          <w:rFonts w:asciiTheme="minorHAnsi" w:hAnsiTheme="minorHAnsi" w:cstheme="minorHAnsi"/>
          <w:iCs/>
          <w:sz w:val="24"/>
          <w:szCs w:val="24"/>
          <w:lang w:val="es-ES"/>
        </w:rPr>
      </w:pPr>
      <w:r w:rsidRPr="0051709F">
        <w:rPr>
          <w:rFonts w:asciiTheme="minorHAnsi" w:hAnsiTheme="minorHAnsi" w:cstheme="minorHAnsi"/>
          <w:iCs/>
          <w:sz w:val="24"/>
          <w:szCs w:val="24"/>
          <w:lang w:val="es-ES"/>
        </w:rPr>
        <w:t>18: Directrices europeas para la mejora de las infraestructuras para la actividad física en el tiempo libre.</w:t>
      </w:r>
    </w:p>
    <w:p w14:paraId="205E1369" w14:textId="77777777" w:rsidR="004257F4" w:rsidRPr="0051709F" w:rsidRDefault="004257F4" w:rsidP="00140A7B">
      <w:pPr>
        <w:jc w:val="both"/>
        <w:rPr>
          <w:rFonts w:cstheme="minorHAnsi"/>
          <w:iCs/>
        </w:rPr>
      </w:pPr>
    </w:p>
    <w:p w14:paraId="541B556C" w14:textId="2BCB8EB2" w:rsidR="004257F4" w:rsidRPr="0051709F" w:rsidRDefault="00990DDE" w:rsidP="00990DDE">
      <w:pPr>
        <w:jc w:val="both"/>
        <w:rPr>
          <w:rFonts w:cstheme="minorHAnsi"/>
          <w:b/>
          <w:bCs/>
        </w:rPr>
      </w:pPr>
      <w:r w:rsidRPr="0051709F">
        <w:rPr>
          <w:rFonts w:cstheme="minorHAnsi"/>
          <w:b/>
          <w:bCs/>
        </w:rPr>
        <w:t xml:space="preserve">B. </w:t>
      </w:r>
      <w:r w:rsidR="004257F4" w:rsidRPr="0051709F">
        <w:rPr>
          <w:rFonts w:cstheme="minorHAnsi"/>
          <w:b/>
          <w:bCs/>
        </w:rPr>
        <w:t xml:space="preserve">Plan </w:t>
      </w:r>
      <w:r w:rsidRPr="0051709F">
        <w:rPr>
          <w:rFonts w:cstheme="minorHAnsi"/>
          <w:b/>
          <w:bCs/>
        </w:rPr>
        <w:t>N</w:t>
      </w:r>
      <w:r w:rsidR="004257F4" w:rsidRPr="0051709F">
        <w:rPr>
          <w:rFonts w:cstheme="minorHAnsi"/>
          <w:b/>
          <w:bCs/>
        </w:rPr>
        <w:t>acional de Adaptación al cambio climático</w:t>
      </w:r>
    </w:p>
    <w:p w14:paraId="7C74CB46" w14:textId="77777777" w:rsidR="00990DDE" w:rsidRPr="0051709F" w:rsidRDefault="00990DDE" w:rsidP="00990DDE">
      <w:pPr>
        <w:pStyle w:val="Pa8"/>
        <w:spacing w:line="240" w:lineRule="auto"/>
        <w:jc w:val="both"/>
        <w:rPr>
          <w:rFonts w:asciiTheme="minorHAnsi" w:hAnsiTheme="minorHAnsi" w:cstheme="minorHAnsi"/>
          <w:color w:val="000000"/>
        </w:rPr>
      </w:pPr>
    </w:p>
    <w:p w14:paraId="37A8E581" w14:textId="7FBFCEFD" w:rsidR="004257F4" w:rsidRPr="007B667D" w:rsidRDefault="004257F4" w:rsidP="00990DDE">
      <w:pPr>
        <w:pStyle w:val="Pa8"/>
        <w:spacing w:line="240" w:lineRule="auto"/>
        <w:jc w:val="both"/>
        <w:rPr>
          <w:rFonts w:asciiTheme="minorHAnsi" w:hAnsiTheme="minorHAnsi" w:cstheme="minorHAnsi"/>
          <w:i/>
          <w:iCs/>
          <w:color w:val="000000"/>
        </w:rPr>
      </w:pPr>
      <w:r w:rsidRPr="007B667D">
        <w:rPr>
          <w:rFonts w:asciiTheme="minorHAnsi" w:hAnsiTheme="minorHAnsi" w:cstheme="minorHAnsi"/>
          <w:i/>
          <w:iCs/>
          <w:color w:val="000000"/>
        </w:rPr>
        <w:t xml:space="preserve">7.2. SALUD HUMANA </w:t>
      </w:r>
    </w:p>
    <w:p w14:paraId="65795476" w14:textId="77777777" w:rsidR="004257F4" w:rsidRPr="0051709F" w:rsidRDefault="004257F4" w:rsidP="00D14ACA">
      <w:pPr>
        <w:pStyle w:val="Pa10"/>
        <w:numPr>
          <w:ilvl w:val="0"/>
          <w:numId w:val="42"/>
        </w:numPr>
        <w:spacing w:line="240" w:lineRule="auto"/>
        <w:jc w:val="both"/>
        <w:rPr>
          <w:rFonts w:asciiTheme="minorHAnsi" w:hAnsiTheme="minorHAnsi" w:cstheme="minorHAnsi"/>
          <w:color w:val="000000"/>
        </w:rPr>
      </w:pPr>
      <w:r w:rsidRPr="0051709F">
        <w:rPr>
          <w:rFonts w:asciiTheme="minorHAnsi" w:hAnsiTheme="minorHAnsi" w:cstheme="minorHAnsi"/>
          <w:color w:val="000000"/>
        </w:rPr>
        <w:t>Identificar los riesgos del cambio climá</w:t>
      </w:r>
      <w:r w:rsidRPr="0051709F">
        <w:rPr>
          <w:rFonts w:asciiTheme="minorHAnsi" w:hAnsiTheme="minorHAnsi" w:cstheme="minorHAnsi"/>
          <w:color w:val="000000"/>
        </w:rPr>
        <w:softHyphen/>
        <w:t>tico sobre la salud humana y desarrollar las medidas más efectivas de adaptación mediante la integración del cambio cli</w:t>
      </w:r>
      <w:r w:rsidRPr="0051709F">
        <w:rPr>
          <w:rFonts w:asciiTheme="minorHAnsi" w:hAnsiTheme="minorHAnsi" w:cstheme="minorHAnsi"/>
          <w:color w:val="000000"/>
        </w:rPr>
        <w:softHyphen/>
        <w:t xml:space="preserve">mático en los planes nacionales de Salud y Medio Ambiente. </w:t>
      </w:r>
    </w:p>
    <w:p w14:paraId="7AAA2175" w14:textId="77777777" w:rsidR="004257F4" w:rsidRPr="0051709F" w:rsidRDefault="004257F4" w:rsidP="00D14ACA">
      <w:pPr>
        <w:pStyle w:val="Pa10"/>
        <w:numPr>
          <w:ilvl w:val="0"/>
          <w:numId w:val="42"/>
        </w:numPr>
        <w:spacing w:line="240" w:lineRule="auto"/>
        <w:jc w:val="both"/>
        <w:rPr>
          <w:rFonts w:asciiTheme="minorHAnsi" w:hAnsiTheme="minorHAnsi" w:cstheme="minorHAnsi"/>
          <w:color w:val="000000"/>
        </w:rPr>
      </w:pPr>
      <w:r w:rsidRPr="0051709F">
        <w:rPr>
          <w:rFonts w:asciiTheme="minorHAnsi" w:hAnsiTheme="minorHAnsi" w:cstheme="minorHAnsi"/>
          <w:color w:val="000000"/>
        </w:rPr>
        <w:t xml:space="preserve">Fomentar las actuaciones preventivas ante los riesgos derivados del exceso de temperaturas sobre la salud. </w:t>
      </w:r>
    </w:p>
    <w:p w14:paraId="6BD2899A" w14:textId="77777777" w:rsidR="004257F4" w:rsidRPr="0051709F" w:rsidRDefault="004257F4" w:rsidP="00D14ACA">
      <w:pPr>
        <w:pStyle w:val="Pa10"/>
        <w:numPr>
          <w:ilvl w:val="0"/>
          <w:numId w:val="42"/>
        </w:numPr>
        <w:spacing w:line="240" w:lineRule="auto"/>
        <w:jc w:val="both"/>
        <w:rPr>
          <w:rFonts w:asciiTheme="minorHAnsi" w:hAnsiTheme="minorHAnsi" w:cstheme="minorHAnsi"/>
          <w:color w:val="000000"/>
        </w:rPr>
      </w:pPr>
      <w:r w:rsidRPr="0051709F">
        <w:rPr>
          <w:rFonts w:asciiTheme="minorHAnsi" w:hAnsiTheme="minorHAnsi" w:cstheme="minorHAnsi"/>
          <w:color w:val="000000"/>
        </w:rPr>
        <w:t>Prevenir los riesgos para la salud deri</w:t>
      </w:r>
      <w:r w:rsidRPr="0051709F">
        <w:rPr>
          <w:rFonts w:asciiTheme="minorHAnsi" w:hAnsiTheme="minorHAnsi" w:cstheme="minorHAnsi"/>
          <w:color w:val="000000"/>
        </w:rPr>
        <w:softHyphen/>
        <w:t xml:space="preserve">vados de las enfermedades infecciosas y parasitarias, vectoriales y no vectoriales, favorecidas por el cambio del clima. </w:t>
      </w:r>
    </w:p>
    <w:p w14:paraId="06F5BBC8" w14:textId="77777777" w:rsidR="004257F4" w:rsidRPr="0051709F" w:rsidRDefault="004257F4" w:rsidP="00D14ACA">
      <w:pPr>
        <w:pStyle w:val="Pa10"/>
        <w:numPr>
          <w:ilvl w:val="0"/>
          <w:numId w:val="42"/>
        </w:numPr>
        <w:spacing w:line="240" w:lineRule="auto"/>
        <w:jc w:val="both"/>
        <w:rPr>
          <w:rFonts w:asciiTheme="minorHAnsi" w:hAnsiTheme="minorHAnsi" w:cstheme="minorHAnsi"/>
          <w:color w:val="000000"/>
        </w:rPr>
      </w:pPr>
      <w:r w:rsidRPr="0051709F">
        <w:rPr>
          <w:rFonts w:asciiTheme="minorHAnsi" w:hAnsiTheme="minorHAnsi" w:cstheme="minorHAnsi"/>
          <w:color w:val="000000"/>
        </w:rPr>
        <w:t>Identificar la incidencia del cambio cli</w:t>
      </w:r>
      <w:r w:rsidRPr="0051709F">
        <w:rPr>
          <w:rFonts w:asciiTheme="minorHAnsi" w:hAnsiTheme="minorHAnsi" w:cstheme="minorHAnsi"/>
          <w:color w:val="000000"/>
        </w:rPr>
        <w:softHyphen/>
        <w:t xml:space="preserve">mático en la calidad del aire e identificar sinergias entre medidas de adaptación y mitigación del cambio climático en este campo. </w:t>
      </w:r>
    </w:p>
    <w:p w14:paraId="4F2E07CF" w14:textId="577E3C88" w:rsidR="00990DDE" w:rsidRPr="0051709F" w:rsidRDefault="004257F4" w:rsidP="00D14ACA">
      <w:pPr>
        <w:pStyle w:val="Prrafodelista"/>
        <w:numPr>
          <w:ilvl w:val="0"/>
          <w:numId w:val="42"/>
        </w:numPr>
        <w:jc w:val="both"/>
        <w:rPr>
          <w:rFonts w:asciiTheme="minorHAnsi" w:hAnsiTheme="minorHAnsi" w:cstheme="minorHAnsi"/>
          <w:b/>
          <w:bCs/>
          <w:sz w:val="24"/>
          <w:szCs w:val="24"/>
          <w:lang w:val="es-ES"/>
        </w:rPr>
      </w:pPr>
      <w:r w:rsidRPr="0051709F">
        <w:rPr>
          <w:rFonts w:asciiTheme="minorHAnsi" w:hAnsiTheme="minorHAnsi" w:cstheme="minorHAnsi"/>
          <w:color w:val="000000"/>
          <w:sz w:val="24"/>
          <w:szCs w:val="24"/>
          <w:lang w:val="es-ES"/>
        </w:rPr>
        <w:t>Prevenir los riesgos del cambio climático</w:t>
      </w:r>
      <w:r w:rsidR="00256F83">
        <w:rPr>
          <w:rFonts w:asciiTheme="minorHAnsi" w:hAnsiTheme="minorHAnsi" w:cstheme="minorHAnsi"/>
          <w:color w:val="000000"/>
          <w:sz w:val="24"/>
          <w:szCs w:val="24"/>
          <w:lang w:val="es-ES"/>
        </w:rPr>
        <w:t>.</w:t>
      </w:r>
    </w:p>
    <w:p w14:paraId="1A81B97E" w14:textId="77777777" w:rsidR="00990DDE" w:rsidRPr="0051709F" w:rsidRDefault="00990DDE" w:rsidP="00990DDE">
      <w:pPr>
        <w:jc w:val="both"/>
        <w:rPr>
          <w:rFonts w:cstheme="minorHAnsi"/>
          <w:color w:val="000000"/>
        </w:rPr>
      </w:pPr>
    </w:p>
    <w:p w14:paraId="33B7D471" w14:textId="3F36B704" w:rsidR="004257F4" w:rsidRPr="0051709F" w:rsidRDefault="004257F4" w:rsidP="00990DDE">
      <w:pPr>
        <w:jc w:val="both"/>
        <w:rPr>
          <w:rFonts w:cstheme="minorHAnsi"/>
          <w:b/>
          <w:bCs/>
        </w:rPr>
      </w:pPr>
      <w:r w:rsidRPr="007B667D">
        <w:rPr>
          <w:rFonts w:cstheme="minorHAnsi"/>
          <w:i/>
          <w:iCs/>
          <w:color w:val="000000"/>
        </w:rPr>
        <w:t>7.8. CIUDAD, URBANISMO Y EDIFICACIÓN</w:t>
      </w:r>
      <w:r w:rsidRPr="0051709F">
        <w:rPr>
          <w:rFonts w:cstheme="minorHAnsi"/>
          <w:color w:val="000000"/>
        </w:rPr>
        <w:t xml:space="preserve"> </w:t>
      </w:r>
    </w:p>
    <w:p w14:paraId="2E5DC3C0" w14:textId="77777777" w:rsidR="004257F4" w:rsidRPr="0051709F" w:rsidRDefault="004257F4" w:rsidP="00D14ACA">
      <w:pPr>
        <w:pStyle w:val="Pa8"/>
        <w:numPr>
          <w:ilvl w:val="0"/>
          <w:numId w:val="43"/>
        </w:numPr>
        <w:spacing w:line="240" w:lineRule="auto"/>
        <w:jc w:val="both"/>
        <w:rPr>
          <w:rFonts w:asciiTheme="minorHAnsi" w:hAnsiTheme="minorHAnsi" w:cstheme="minorHAnsi"/>
          <w:color w:val="000000"/>
        </w:rPr>
      </w:pPr>
      <w:r w:rsidRPr="0051709F">
        <w:rPr>
          <w:rFonts w:asciiTheme="minorHAnsi" w:hAnsiTheme="minorHAnsi" w:cstheme="minorHAnsi"/>
          <w:color w:val="000000"/>
        </w:rPr>
        <w:t>Reforzar la vinculación entre la Agen</w:t>
      </w:r>
      <w:r w:rsidRPr="0051709F">
        <w:rPr>
          <w:rFonts w:asciiTheme="minorHAnsi" w:hAnsiTheme="minorHAnsi" w:cstheme="minorHAnsi"/>
          <w:color w:val="000000"/>
        </w:rPr>
        <w:softHyphen/>
        <w:t xml:space="preserve">da Urbana Española y el nuevo PNACC, como marcos de gobernanza. </w:t>
      </w:r>
    </w:p>
    <w:p w14:paraId="5E2B6847" w14:textId="77777777" w:rsidR="004257F4" w:rsidRPr="0051709F" w:rsidRDefault="004257F4" w:rsidP="00D14ACA">
      <w:pPr>
        <w:pStyle w:val="Pa8"/>
        <w:numPr>
          <w:ilvl w:val="0"/>
          <w:numId w:val="43"/>
        </w:numPr>
        <w:spacing w:line="240" w:lineRule="auto"/>
        <w:jc w:val="both"/>
        <w:rPr>
          <w:rFonts w:asciiTheme="minorHAnsi" w:hAnsiTheme="minorHAnsi" w:cstheme="minorHAnsi"/>
          <w:color w:val="000000"/>
        </w:rPr>
      </w:pPr>
      <w:r w:rsidRPr="0051709F">
        <w:rPr>
          <w:rFonts w:asciiTheme="minorHAnsi" w:hAnsiTheme="minorHAnsi" w:cstheme="minorHAnsi"/>
          <w:color w:val="000000"/>
        </w:rPr>
        <w:t>Integrar la adaptación al cambio climá</w:t>
      </w:r>
      <w:r w:rsidRPr="0051709F">
        <w:rPr>
          <w:rFonts w:asciiTheme="minorHAnsi" w:hAnsiTheme="minorHAnsi" w:cstheme="minorHAnsi"/>
          <w:color w:val="000000"/>
        </w:rPr>
        <w:softHyphen/>
        <w:t>tico en la planificación territorial y urba</w:t>
      </w:r>
      <w:r w:rsidRPr="0051709F">
        <w:rPr>
          <w:rFonts w:asciiTheme="minorHAnsi" w:hAnsiTheme="minorHAnsi" w:cstheme="minorHAnsi"/>
          <w:color w:val="000000"/>
        </w:rPr>
        <w:softHyphen/>
        <w:t>na, desarrollando una gobernanza para la gestión del riesgo democrática, con im</w:t>
      </w:r>
      <w:r w:rsidRPr="0051709F">
        <w:rPr>
          <w:rFonts w:asciiTheme="minorHAnsi" w:hAnsiTheme="minorHAnsi" w:cstheme="minorHAnsi"/>
          <w:color w:val="000000"/>
        </w:rPr>
        <w:softHyphen/>
        <w:t xml:space="preserve">plicación de todas las partes interesadas en la planificación y la gestión. </w:t>
      </w:r>
    </w:p>
    <w:p w14:paraId="424C493B" w14:textId="77777777" w:rsidR="004257F4" w:rsidRPr="0051709F" w:rsidRDefault="004257F4" w:rsidP="00D14ACA">
      <w:pPr>
        <w:pStyle w:val="Pa8"/>
        <w:numPr>
          <w:ilvl w:val="0"/>
          <w:numId w:val="43"/>
        </w:numPr>
        <w:spacing w:line="240" w:lineRule="auto"/>
        <w:jc w:val="both"/>
        <w:rPr>
          <w:rFonts w:asciiTheme="minorHAnsi" w:hAnsiTheme="minorHAnsi" w:cstheme="minorHAnsi"/>
          <w:color w:val="000000"/>
        </w:rPr>
      </w:pPr>
      <w:r w:rsidRPr="0051709F">
        <w:rPr>
          <w:rFonts w:asciiTheme="minorHAnsi" w:hAnsiTheme="minorHAnsi" w:cstheme="minorHAnsi"/>
          <w:color w:val="000000"/>
        </w:rPr>
        <w:t>Integrar la adaptación al cambio climáti</w:t>
      </w:r>
      <w:r w:rsidRPr="0051709F">
        <w:rPr>
          <w:rFonts w:asciiTheme="minorHAnsi" w:hAnsiTheme="minorHAnsi" w:cstheme="minorHAnsi"/>
          <w:color w:val="000000"/>
        </w:rPr>
        <w:softHyphen/>
        <w:t>co en el sector de la edificación, avanzan</w:t>
      </w:r>
      <w:r w:rsidRPr="0051709F">
        <w:rPr>
          <w:rFonts w:asciiTheme="minorHAnsi" w:hAnsiTheme="minorHAnsi" w:cstheme="minorHAnsi"/>
          <w:color w:val="000000"/>
        </w:rPr>
        <w:softHyphen/>
        <w:t>do en la reglamentación para mejorar el comportamiento energético y el compor</w:t>
      </w:r>
      <w:r w:rsidRPr="0051709F">
        <w:rPr>
          <w:rFonts w:asciiTheme="minorHAnsi" w:hAnsiTheme="minorHAnsi" w:cstheme="minorHAnsi"/>
          <w:color w:val="000000"/>
        </w:rPr>
        <w:softHyphen/>
        <w:t>tamiento hídrico de los edificios, en línea con los escenarios climáticos proyecta</w:t>
      </w:r>
      <w:r w:rsidRPr="0051709F">
        <w:rPr>
          <w:rFonts w:asciiTheme="minorHAnsi" w:hAnsiTheme="minorHAnsi" w:cstheme="minorHAnsi"/>
          <w:color w:val="000000"/>
        </w:rPr>
        <w:softHyphen/>
        <w:t xml:space="preserve">dos para el futuro. </w:t>
      </w:r>
    </w:p>
    <w:p w14:paraId="03A22352" w14:textId="77777777" w:rsidR="004257F4" w:rsidRPr="0051709F" w:rsidRDefault="004257F4" w:rsidP="00D14ACA">
      <w:pPr>
        <w:pStyle w:val="Prrafodelista"/>
        <w:numPr>
          <w:ilvl w:val="0"/>
          <w:numId w:val="43"/>
        </w:numPr>
        <w:jc w:val="both"/>
        <w:rPr>
          <w:rFonts w:asciiTheme="minorHAnsi" w:hAnsiTheme="minorHAnsi" w:cstheme="minorHAnsi"/>
          <w:b/>
          <w:bCs/>
          <w:sz w:val="24"/>
          <w:szCs w:val="24"/>
          <w:lang w:val="es-ES"/>
        </w:rPr>
      </w:pPr>
      <w:r w:rsidRPr="0051709F">
        <w:rPr>
          <w:rFonts w:asciiTheme="minorHAnsi" w:hAnsiTheme="minorHAnsi" w:cstheme="minorHAnsi"/>
          <w:color w:val="000000"/>
          <w:sz w:val="24"/>
          <w:szCs w:val="24"/>
          <w:lang w:val="es-ES"/>
        </w:rPr>
        <w:t>Considerar escenarios y proyecciones de cambio climático futuro en las siguientes revisiones de la Estrategia a largo plazo para la rehabilitación energética en el sector de la edificación en España.</w:t>
      </w:r>
    </w:p>
    <w:p w14:paraId="2F4B1F17" w14:textId="77777777" w:rsidR="00990DDE" w:rsidRDefault="00990DDE" w:rsidP="00990DDE">
      <w:pPr>
        <w:pStyle w:val="Pa8"/>
        <w:spacing w:line="240" w:lineRule="auto"/>
        <w:jc w:val="both"/>
        <w:rPr>
          <w:rFonts w:asciiTheme="minorHAnsi" w:hAnsiTheme="minorHAnsi" w:cstheme="minorHAnsi"/>
          <w:b/>
          <w:bCs/>
          <w:color w:val="000000"/>
        </w:rPr>
      </w:pPr>
    </w:p>
    <w:p w14:paraId="1B9EABDF" w14:textId="77777777" w:rsidR="00332D86" w:rsidRDefault="00332D86" w:rsidP="00332D86"/>
    <w:p w14:paraId="409A02DF" w14:textId="77777777" w:rsidR="00332D86" w:rsidRPr="00332D86" w:rsidRDefault="00332D86" w:rsidP="00332D86"/>
    <w:p w14:paraId="7A624DCC" w14:textId="77777777" w:rsidR="00C065DD" w:rsidRPr="00C065DD" w:rsidRDefault="00C065DD" w:rsidP="00C065DD"/>
    <w:p w14:paraId="7E31ADD1" w14:textId="4F70A3DC" w:rsidR="004257F4" w:rsidRPr="007B667D" w:rsidRDefault="004257F4" w:rsidP="00990DDE">
      <w:pPr>
        <w:pStyle w:val="Pa8"/>
        <w:spacing w:line="240" w:lineRule="auto"/>
        <w:jc w:val="both"/>
        <w:rPr>
          <w:rFonts w:asciiTheme="minorHAnsi" w:hAnsiTheme="minorHAnsi" w:cstheme="minorHAnsi"/>
          <w:i/>
          <w:iCs/>
          <w:color w:val="000000"/>
        </w:rPr>
      </w:pPr>
      <w:r w:rsidRPr="007B667D">
        <w:rPr>
          <w:rFonts w:asciiTheme="minorHAnsi" w:hAnsiTheme="minorHAnsi" w:cstheme="minorHAnsi"/>
          <w:i/>
          <w:iCs/>
          <w:color w:val="000000"/>
        </w:rPr>
        <w:lastRenderedPageBreak/>
        <w:t xml:space="preserve">7.11. MOVILIDAD Y TRANSPORTE </w:t>
      </w:r>
    </w:p>
    <w:p w14:paraId="52E6317F" w14:textId="5FF5D944" w:rsidR="004257F4" w:rsidRPr="0051709F" w:rsidRDefault="004257F4" w:rsidP="00D14ACA">
      <w:pPr>
        <w:pStyle w:val="Pa8"/>
        <w:numPr>
          <w:ilvl w:val="0"/>
          <w:numId w:val="44"/>
        </w:numPr>
        <w:spacing w:line="240" w:lineRule="auto"/>
        <w:jc w:val="both"/>
        <w:rPr>
          <w:rFonts w:asciiTheme="minorHAnsi" w:hAnsiTheme="minorHAnsi" w:cstheme="minorHAnsi"/>
          <w:b/>
          <w:bCs/>
          <w:color w:val="000000"/>
        </w:rPr>
      </w:pPr>
      <w:r w:rsidRPr="0051709F">
        <w:rPr>
          <w:rFonts w:asciiTheme="minorHAnsi" w:hAnsiTheme="minorHAnsi" w:cstheme="minorHAnsi"/>
          <w:color w:val="000000"/>
        </w:rPr>
        <w:t>Revisar los sistemas de observación, transmisión, almacenamiento, análisis, modelización y predicción de la opera</w:t>
      </w:r>
      <w:r w:rsidRPr="0051709F">
        <w:rPr>
          <w:rFonts w:asciiTheme="minorHAnsi" w:hAnsiTheme="minorHAnsi" w:cstheme="minorHAnsi"/>
          <w:color w:val="000000"/>
        </w:rPr>
        <w:softHyphen/>
        <w:t>tividad de las infraestructuras, conside</w:t>
      </w:r>
      <w:r w:rsidRPr="0051709F">
        <w:rPr>
          <w:rFonts w:asciiTheme="minorHAnsi" w:hAnsiTheme="minorHAnsi" w:cstheme="minorHAnsi"/>
          <w:color w:val="000000"/>
        </w:rPr>
        <w:softHyphen/>
        <w:t xml:space="preserve">rando el cambio climático. </w:t>
      </w:r>
    </w:p>
    <w:p w14:paraId="6405B7AA" w14:textId="77777777" w:rsidR="004257F4" w:rsidRPr="0051709F" w:rsidRDefault="004257F4" w:rsidP="00D14ACA">
      <w:pPr>
        <w:pStyle w:val="Prrafodelista"/>
        <w:numPr>
          <w:ilvl w:val="0"/>
          <w:numId w:val="44"/>
        </w:numPr>
        <w:jc w:val="both"/>
        <w:rPr>
          <w:rFonts w:asciiTheme="minorHAnsi" w:hAnsiTheme="minorHAnsi" w:cstheme="minorHAnsi"/>
          <w:color w:val="000000"/>
          <w:sz w:val="24"/>
          <w:szCs w:val="24"/>
          <w:lang w:val="es-ES"/>
        </w:rPr>
      </w:pPr>
      <w:r w:rsidRPr="0051709F">
        <w:rPr>
          <w:rFonts w:asciiTheme="minorHAnsi" w:hAnsiTheme="minorHAnsi" w:cstheme="minorHAnsi"/>
          <w:color w:val="000000"/>
          <w:sz w:val="24"/>
          <w:szCs w:val="24"/>
          <w:lang w:val="es-ES"/>
        </w:rPr>
        <w:t>Incorporar criterios de adaptación al cambio climático a la planificación estra</w:t>
      </w:r>
      <w:r w:rsidRPr="0051709F">
        <w:rPr>
          <w:rFonts w:asciiTheme="minorHAnsi" w:hAnsiTheme="minorHAnsi" w:cstheme="minorHAnsi"/>
          <w:color w:val="000000"/>
          <w:sz w:val="24"/>
          <w:szCs w:val="24"/>
          <w:lang w:val="es-ES"/>
        </w:rPr>
        <w:softHyphen/>
        <w:t>tégica del sector transporte, incluyendo el apoyo y refuerzo de las capacidades de adaptación al cambio climático en las ad</w:t>
      </w:r>
      <w:r w:rsidRPr="0051709F">
        <w:rPr>
          <w:rFonts w:asciiTheme="minorHAnsi" w:hAnsiTheme="minorHAnsi" w:cstheme="minorHAnsi"/>
          <w:color w:val="000000"/>
          <w:sz w:val="24"/>
          <w:szCs w:val="24"/>
          <w:lang w:val="es-ES"/>
        </w:rPr>
        <w:softHyphen/>
        <w:t xml:space="preserve">ministraciones públicas y otros sectores y agentes clave. </w:t>
      </w:r>
    </w:p>
    <w:p w14:paraId="4A63EF7D" w14:textId="77777777" w:rsidR="004257F4" w:rsidRPr="0051709F" w:rsidRDefault="004257F4" w:rsidP="00D14ACA">
      <w:pPr>
        <w:pStyle w:val="Prrafodelista"/>
        <w:numPr>
          <w:ilvl w:val="0"/>
          <w:numId w:val="44"/>
        </w:numPr>
        <w:jc w:val="both"/>
        <w:rPr>
          <w:rFonts w:asciiTheme="minorHAnsi" w:hAnsiTheme="minorHAnsi" w:cstheme="minorHAnsi"/>
          <w:color w:val="000000"/>
          <w:sz w:val="24"/>
          <w:szCs w:val="24"/>
          <w:lang w:val="es-ES"/>
        </w:rPr>
      </w:pPr>
      <w:r w:rsidRPr="0051709F">
        <w:rPr>
          <w:rFonts w:asciiTheme="minorHAnsi" w:hAnsiTheme="minorHAnsi" w:cstheme="minorHAnsi"/>
          <w:color w:val="000000"/>
          <w:sz w:val="24"/>
          <w:szCs w:val="24"/>
          <w:lang w:val="es-ES"/>
        </w:rPr>
        <w:t>Incorporar criterios de adaptación al cambio climático en la construcción de nuevas infraestructuras de transporte y ampliación de las existentes (carreteras, ferrocarriles, puertos y aeropuertos), así como en las fases de explotación y con</w:t>
      </w:r>
      <w:r w:rsidRPr="0051709F">
        <w:rPr>
          <w:rFonts w:asciiTheme="minorHAnsi" w:hAnsiTheme="minorHAnsi" w:cstheme="minorHAnsi"/>
          <w:color w:val="000000"/>
          <w:sz w:val="24"/>
          <w:szCs w:val="24"/>
          <w:lang w:val="es-ES"/>
        </w:rPr>
        <w:softHyphen/>
        <w:t xml:space="preserve">servación. </w:t>
      </w:r>
    </w:p>
    <w:p w14:paraId="76E77C7A" w14:textId="77777777" w:rsidR="004257F4" w:rsidRPr="0051709F" w:rsidRDefault="004257F4" w:rsidP="00D14ACA">
      <w:pPr>
        <w:pStyle w:val="Prrafodelista"/>
        <w:numPr>
          <w:ilvl w:val="0"/>
          <w:numId w:val="44"/>
        </w:numPr>
        <w:jc w:val="both"/>
        <w:rPr>
          <w:rFonts w:asciiTheme="minorHAnsi" w:hAnsiTheme="minorHAnsi" w:cstheme="minorHAnsi"/>
          <w:color w:val="000000"/>
          <w:sz w:val="24"/>
          <w:szCs w:val="24"/>
          <w:lang w:val="es-ES"/>
        </w:rPr>
      </w:pPr>
      <w:r w:rsidRPr="0051709F">
        <w:rPr>
          <w:rFonts w:asciiTheme="minorHAnsi" w:hAnsiTheme="minorHAnsi" w:cstheme="minorHAnsi"/>
          <w:color w:val="000000"/>
          <w:sz w:val="24"/>
          <w:szCs w:val="24"/>
          <w:lang w:val="es-ES"/>
        </w:rPr>
        <w:t>Revisar los protocolos de prevención, mantenimiento y vigilancia de las in</w:t>
      </w:r>
      <w:r w:rsidRPr="0051709F">
        <w:rPr>
          <w:rFonts w:asciiTheme="minorHAnsi" w:hAnsiTheme="minorHAnsi" w:cstheme="minorHAnsi"/>
          <w:color w:val="000000"/>
          <w:sz w:val="24"/>
          <w:szCs w:val="24"/>
          <w:lang w:val="es-ES"/>
        </w:rPr>
        <w:softHyphen/>
        <w:t>fraestructuras de transporte consideran</w:t>
      </w:r>
      <w:r w:rsidRPr="0051709F">
        <w:rPr>
          <w:rFonts w:asciiTheme="minorHAnsi" w:hAnsiTheme="minorHAnsi" w:cstheme="minorHAnsi"/>
          <w:color w:val="000000"/>
          <w:sz w:val="24"/>
          <w:szCs w:val="24"/>
          <w:lang w:val="es-ES"/>
        </w:rPr>
        <w:softHyphen/>
        <w:t>do los riesgos derivados del cambio cli</w:t>
      </w:r>
      <w:r w:rsidRPr="0051709F">
        <w:rPr>
          <w:rFonts w:asciiTheme="minorHAnsi" w:hAnsiTheme="minorHAnsi" w:cstheme="minorHAnsi"/>
          <w:color w:val="000000"/>
          <w:sz w:val="24"/>
          <w:szCs w:val="24"/>
          <w:lang w:val="es-ES"/>
        </w:rPr>
        <w:softHyphen/>
        <w:t xml:space="preserve">mático. </w:t>
      </w:r>
    </w:p>
    <w:p w14:paraId="299F4E01" w14:textId="77777777" w:rsidR="004257F4" w:rsidRPr="0051709F" w:rsidRDefault="004257F4" w:rsidP="00D14ACA">
      <w:pPr>
        <w:pStyle w:val="Prrafodelista"/>
        <w:numPr>
          <w:ilvl w:val="0"/>
          <w:numId w:val="44"/>
        </w:numPr>
        <w:jc w:val="both"/>
        <w:rPr>
          <w:rFonts w:asciiTheme="minorHAnsi" w:hAnsiTheme="minorHAnsi" w:cstheme="minorHAnsi"/>
          <w:sz w:val="24"/>
          <w:szCs w:val="24"/>
          <w:lang w:val="es-ES"/>
        </w:rPr>
      </w:pPr>
      <w:r w:rsidRPr="0051709F">
        <w:rPr>
          <w:rFonts w:asciiTheme="minorHAnsi" w:hAnsiTheme="minorHAnsi" w:cstheme="minorHAnsi"/>
          <w:color w:val="000000"/>
          <w:sz w:val="24"/>
          <w:szCs w:val="24"/>
          <w:lang w:val="es-ES"/>
        </w:rPr>
        <w:t>Completar el desarrollo y la integración de los sistemas de alerta por riesgos me</w:t>
      </w:r>
      <w:r w:rsidRPr="0051709F">
        <w:rPr>
          <w:rFonts w:asciiTheme="minorHAnsi" w:hAnsiTheme="minorHAnsi" w:cstheme="minorHAnsi"/>
          <w:color w:val="000000"/>
          <w:sz w:val="24"/>
          <w:szCs w:val="24"/>
          <w:lang w:val="es-ES"/>
        </w:rPr>
        <w:softHyphen/>
        <w:t>teorológicos en los medios de transporte.</w:t>
      </w:r>
    </w:p>
    <w:p w14:paraId="5F80559A" w14:textId="77777777" w:rsidR="004257F4" w:rsidRPr="0051709F" w:rsidRDefault="004257F4" w:rsidP="00140A7B">
      <w:pPr>
        <w:jc w:val="both"/>
        <w:rPr>
          <w:rFonts w:cstheme="minorHAnsi"/>
        </w:rPr>
      </w:pPr>
    </w:p>
    <w:p w14:paraId="6D51FFD7" w14:textId="77777777" w:rsidR="00990DDE" w:rsidRPr="0051709F" w:rsidRDefault="00990DDE" w:rsidP="00990DDE">
      <w:pPr>
        <w:jc w:val="both"/>
        <w:rPr>
          <w:rFonts w:cstheme="minorHAnsi"/>
          <w:b/>
          <w:bCs/>
        </w:rPr>
      </w:pPr>
    </w:p>
    <w:p w14:paraId="5960DB99" w14:textId="511BA8CD" w:rsidR="004257F4" w:rsidRPr="0051709F" w:rsidRDefault="00990DDE" w:rsidP="00990DDE">
      <w:pPr>
        <w:jc w:val="both"/>
        <w:rPr>
          <w:rFonts w:cstheme="minorHAnsi"/>
          <w:b/>
          <w:bCs/>
        </w:rPr>
      </w:pPr>
      <w:r w:rsidRPr="0051709F">
        <w:rPr>
          <w:rFonts w:cstheme="minorHAnsi"/>
          <w:b/>
          <w:bCs/>
        </w:rPr>
        <w:t xml:space="preserve">C. </w:t>
      </w:r>
      <w:r w:rsidR="004257F4" w:rsidRPr="0051709F">
        <w:rPr>
          <w:rFonts w:cstheme="minorHAnsi"/>
          <w:b/>
          <w:bCs/>
        </w:rPr>
        <w:t>Plan de Acción Mundial sobre Actividad Física 2018-2030</w:t>
      </w:r>
    </w:p>
    <w:p w14:paraId="2200F237" w14:textId="77777777" w:rsidR="00990DDE" w:rsidRPr="0051709F" w:rsidRDefault="00990DDE" w:rsidP="00990DDE">
      <w:pPr>
        <w:jc w:val="both"/>
        <w:rPr>
          <w:rFonts w:cstheme="minorHAnsi"/>
          <w:b/>
          <w:bCs/>
        </w:rPr>
      </w:pPr>
    </w:p>
    <w:p w14:paraId="73D55093" w14:textId="77777777" w:rsidR="004257F4" w:rsidRPr="0051709F" w:rsidRDefault="004257F4" w:rsidP="00D14ACA">
      <w:pPr>
        <w:pStyle w:val="Prrafodelista"/>
        <w:numPr>
          <w:ilvl w:val="0"/>
          <w:numId w:val="4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Apéndice 1: La actividad física y los Objetivos de Desarrollo Sostenible</w:t>
      </w:r>
    </w:p>
    <w:p w14:paraId="598108FE" w14:textId="77777777" w:rsidR="004257F4" w:rsidRPr="0051709F" w:rsidRDefault="004257F4" w:rsidP="00D14ACA">
      <w:pPr>
        <w:pStyle w:val="Prrafodelista"/>
        <w:numPr>
          <w:ilvl w:val="0"/>
          <w:numId w:val="45"/>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t>Apéndice</w:t>
      </w:r>
      <w:proofErr w:type="spellEnd"/>
      <w:r w:rsidRPr="0051709F">
        <w:rPr>
          <w:rFonts w:asciiTheme="minorHAnsi" w:hAnsiTheme="minorHAnsi" w:cstheme="minorHAnsi"/>
          <w:sz w:val="24"/>
          <w:szCs w:val="24"/>
        </w:rPr>
        <w:t xml:space="preserve"> 2: </w:t>
      </w:r>
    </w:p>
    <w:p w14:paraId="4642E033" w14:textId="6F09936A" w:rsidR="004257F4" w:rsidRPr="0051709F" w:rsidRDefault="004257F4" w:rsidP="00D14ACA">
      <w:pPr>
        <w:pStyle w:val="Prrafodelista"/>
        <w:numPr>
          <w:ilvl w:val="2"/>
          <w:numId w:val="46"/>
        </w:numPr>
        <w:jc w:val="both"/>
        <w:rPr>
          <w:rFonts w:asciiTheme="minorHAnsi" w:hAnsiTheme="minorHAnsi" w:cstheme="minorHAnsi"/>
          <w:sz w:val="24"/>
          <w:szCs w:val="24"/>
        </w:rPr>
      </w:pPr>
      <w:r w:rsidRPr="0051709F">
        <w:rPr>
          <w:rFonts w:asciiTheme="minorHAnsi" w:hAnsiTheme="minorHAnsi" w:cstheme="minorHAnsi"/>
          <w:sz w:val="24"/>
          <w:szCs w:val="24"/>
        </w:rPr>
        <w:t xml:space="preserve">Crear ambientes </w:t>
      </w:r>
      <w:proofErr w:type="spellStart"/>
      <w:r w:rsidRPr="0051709F">
        <w:rPr>
          <w:rFonts w:asciiTheme="minorHAnsi" w:hAnsiTheme="minorHAnsi" w:cstheme="minorHAnsi"/>
          <w:sz w:val="24"/>
          <w:szCs w:val="24"/>
        </w:rPr>
        <w:t>activos</w:t>
      </w:r>
      <w:proofErr w:type="spellEnd"/>
      <w:r w:rsidR="00256F83">
        <w:rPr>
          <w:rFonts w:asciiTheme="minorHAnsi" w:hAnsiTheme="minorHAnsi" w:cstheme="minorHAnsi"/>
          <w:sz w:val="24"/>
          <w:szCs w:val="24"/>
        </w:rPr>
        <w:t>,</w:t>
      </w:r>
    </w:p>
    <w:p w14:paraId="0E9FDBE6" w14:textId="2934DB77" w:rsidR="004257F4" w:rsidRPr="0051709F" w:rsidRDefault="004257F4" w:rsidP="00D14ACA">
      <w:pPr>
        <w:pStyle w:val="Prrafodelista"/>
        <w:numPr>
          <w:ilvl w:val="2"/>
          <w:numId w:val="46"/>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t>Mejorar</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los</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entornos</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activos</w:t>
      </w:r>
      <w:proofErr w:type="spellEnd"/>
      <w:r w:rsidR="00256F83">
        <w:rPr>
          <w:rFonts w:asciiTheme="minorHAnsi" w:hAnsiTheme="minorHAnsi" w:cstheme="minorHAnsi"/>
          <w:sz w:val="24"/>
          <w:szCs w:val="24"/>
        </w:rPr>
        <w:t>,</w:t>
      </w:r>
    </w:p>
    <w:p w14:paraId="25C3B217" w14:textId="6DA461DE" w:rsidR="004257F4" w:rsidRPr="0051709F" w:rsidRDefault="004257F4" w:rsidP="00D14ACA">
      <w:pPr>
        <w:pStyle w:val="Prrafodelista"/>
        <w:numPr>
          <w:ilvl w:val="2"/>
          <w:numId w:val="46"/>
        </w:numPr>
        <w:jc w:val="both"/>
        <w:rPr>
          <w:rFonts w:asciiTheme="minorHAnsi" w:hAnsiTheme="minorHAnsi" w:cstheme="minorHAnsi"/>
          <w:sz w:val="24"/>
          <w:szCs w:val="24"/>
        </w:rPr>
      </w:pPr>
      <w:r w:rsidRPr="0051709F">
        <w:rPr>
          <w:rFonts w:asciiTheme="minorHAnsi" w:hAnsiTheme="minorHAnsi" w:cstheme="minorHAnsi"/>
          <w:sz w:val="24"/>
          <w:szCs w:val="24"/>
        </w:rPr>
        <w:t xml:space="preserve">Crear </w:t>
      </w:r>
      <w:proofErr w:type="spellStart"/>
      <w:r w:rsidRPr="0051709F">
        <w:rPr>
          <w:rFonts w:asciiTheme="minorHAnsi" w:hAnsiTheme="minorHAnsi" w:cstheme="minorHAnsi"/>
          <w:sz w:val="24"/>
          <w:szCs w:val="24"/>
        </w:rPr>
        <w:t>entornos</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activos</w:t>
      </w:r>
      <w:proofErr w:type="spellEnd"/>
      <w:r w:rsidR="00256F83">
        <w:rPr>
          <w:rFonts w:asciiTheme="minorHAnsi" w:hAnsiTheme="minorHAnsi" w:cstheme="minorHAnsi"/>
          <w:sz w:val="24"/>
          <w:szCs w:val="24"/>
        </w:rPr>
        <w:t>.</w:t>
      </w:r>
      <w:r w:rsidRPr="0051709F">
        <w:rPr>
          <w:rFonts w:asciiTheme="minorHAnsi" w:hAnsiTheme="minorHAnsi" w:cstheme="minorHAnsi"/>
          <w:sz w:val="24"/>
          <w:szCs w:val="24"/>
        </w:rPr>
        <w:tab/>
      </w:r>
    </w:p>
    <w:p w14:paraId="5F93E449" w14:textId="77777777" w:rsidR="004257F4" w:rsidRPr="0051709F" w:rsidRDefault="004257F4" w:rsidP="00140A7B">
      <w:pPr>
        <w:jc w:val="both"/>
        <w:rPr>
          <w:rFonts w:cstheme="minorHAnsi"/>
          <w:b/>
          <w:bCs/>
          <w:color w:val="8496B0" w:themeColor="text2" w:themeTint="99"/>
        </w:rPr>
      </w:pPr>
    </w:p>
    <w:p w14:paraId="03D067AF" w14:textId="77777777" w:rsidR="00990DDE" w:rsidRDefault="00990DDE" w:rsidP="00140A7B">
      <w:pPr>
        <w:jc w:val="both"/>
        <w:rPr>
          <w:rFonts w:cstheme="minorHAnsi"/>
          <w:b/>
          <w:bCs/>
          <w:color w:val="000000" w:themeColor="text1"/>
        </w:rPr>
      </w:pPr>
    </w:p>
    <w:p w14:paraId="0A0BBA1B" w14:textId="77777777" w:rsidR="009F7624" w:rsidRPr="0051709F" w:rsidRDefault="009F7624" w:rsidP="00140A7B">
      <w:pPr>
        <w:jc w:val="both"/>
        <w:rPr>
          <w:rFonts w:cstheme="minorHAnsi"/>
          <w:b/>
          <w:bCs/>
          <w:color w:val="000000" w:themeColor="text1"/>
        </w:rPr>
      </w:pPr>
    </w:p>
    <w:p w14:paraId="47A9ACBF" w14:textId="33E1F62F" w:rsidR="004257F4" w:rsidRPr="0051709F" w:rsidRDefault="004257F4" w:rsidP="003906F1">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Ámbitos de actuación y retos</w:t>
      </w:r>
    </w:p>
    <w:p w14:paraId="74011166" w14:textId="77777777" w:rsidR="00990DDE" w:rsidRPr="0051709F" w:rsidRDefault="00990DDE" w:rsidP="00140A7B">
      <w:pPr>
        <w:jc w:val="both"/>
        <w:rPr>
          <w:rFonts w:cstheme="minorHAnsi"/>
          <w:b/>
          <w:bCs/>
          <w:color w:val="8496B0" w:themeColor="text2" w:themeTint="99"/>
        </w:rPr>
      </w:pPr>
    </w:p>
    <w:p w14:paraId="5354E843" w14:textId="714A5E1B" w:rsidR="004257F4" w:rsidRPr="0051709F" w:rsidRDefault="00256F83" w:rsidP="00140A7B">
      <w:pPr>
        <w:jc w:val="both"/>
        <w:rPr>
          <w:rFonts w:cstheme="minorHAnsi"/>
          <w:color w:val="000000" w:themeColor="text1"/>
        </w:rPr>
      </w:pPr>
      <w:r>
        <w:rPr>
          <w:rFonts w:cstheme="minorHAnsi"/>
          <w:color w:val="000000" w:themeColor="text1"/>
        </w:rPr>
        <w:t>Se han</w:t>
      </w:r>
      <w:r w:rsidR="004257F4" w:rsidRPr="0051709F">
        <w:rPr>
          <w:rFonts w:cstheme="minorHAnsi"/>
          <w:color w:val="000000" w:themeColor="text1"/>
        </w:rPr>
        <w:t xml:space="preserve"> </w:t>
      </w:r>
      <w:r w:rsidR="00653E2F">
        <w:rPr>
          <w:rFonts w:cstheme="minorHAnsi"/>
          <w:color w:val="000000" w:themeColor="text1"/>
        </w:rPr>
        <w:t xml:space="preserve">estructurado </w:t>
      </w:r>
      <w:r w:rsidR="004257F4" w:rsidRPr="0051709F">
        <w:rPr>
          <w:rFonts w:cstheme="minorHAnsi"/>
          <w:color w:val="000000" w:themeColor="text1"/>
        </w:rPr>
        <w:t xml:space="preserve">los retos </w:t>
      </w:r>
      <w:r>
        <w:rPr>
          <w:rFonts w:cstheme="minorHAnsi"/>
          <w:color w:val="000000" w:themeColor="text1"/>
        </w:rPr>
        <w:t>en este ámbito</w:t>
      </w:r>
      <w:r w:rsidR="00653E2F">
        <w:rPr>
          <w:rFonts w:cstheme="minorHAnsi"/>
          <w:color w:val="000000" w:themeColor="text1"/>
        </w:rPr>
        <w:t xml:space="preserve"> </w:t>
      </w:r>
      <w:r w:rsidR="004257F4" w:rsidRPr="0051709F">
        <w:rPr>
          <w:rFonts w:cstheme="minorHAnsi"/>
          <w:color w:val="000000" w:themeColor="text1"/>
        </w:rPr>
        <w:t>en tres ejes fundamentales:</w:t>
      </w:r>
    </w:p>
    <w:p w14:paraId="79FCEE35" w14:textId="77777777" w:rsidR="00990DDE" w:rsidRPr="0051709F" w:rsidRDefault="00990DDE" w:rsidP="00140A7B">
      <w:pPr>
        <w:jc w:val="both"/>
        <w:rPr>
          <w:rFonts w:cstheme="minorHAnsi"/>
          <w:color w:val="000000" w:themeColor="text1"/>
        </w:rPr>
      </w:pPr>
    </w:p>
    <w:p w14:paraId="7B5F3A1D" w14:textId="77777777" w:rsidR="004257F4" w:rsidRPr="0051709F" w:rsidRDefault="004257F4" w:rsidP="00140A7B">
      <w:pPr>
        <w:jc w:val="both"/>
        <w:rPr>
          <w:rFonts w:cstheme="minorHAnsi"/>
          <w:b/>
          <w:bCs/>
        </w:rPr>
      </w:pPr>
      <w:r w:rsidRPr="0051709F">
        <w:rPr>
          <w:rFonts w:cstheme="minorHAnsi"/>
          <w:b/>
          <w:bCs/>
        </w:rPr>
        <w:t xml:space="preserve">1.- MOVILIDAD </w:t>
      </w:r>
    </w:p>
    <w:p w14:paraId="23903C75" w14:textId="77777777" w:rsidR="00990DDE" w:rsidRPr="0051709F" w:rsidRDefault="00990DDE" w:rsidP="00140A7B">
      <w:pPr>
        <w:jc w:val="both"/>
        <w:rPr>
          <w:rFonts w:cstheme="minorHAnsi"/>
          <w:b/>
          <w:bCs/>
        </w:rPr>
      </w:pPr>
    </w:p>
    <w:p w14:paraId="0F455A55" w14:textId="5714BF59" w:rsidR="004257F4" w:rsidRPr="0051709F" w:rsidRDefault="004257F4" w:rsidP="00140A7B">
      <w:pPr>
        <w:jc w:val="both"/>
        <w:rPr>
          <w:rFonts w:cstheme="minorHAnsi"/>
        </w:rPr>
      </w:pPr>
      <w:r w:rsidRPr="0051709F">
        <w:rPr>
          <w:rFonts w:cstheme="minorHAnsi"/>
        </w:rPr>
        <w:t xml:space="preserve">La movilidad es esencial para la vida cotidiana de las personas y afecta de una manera importante a </w:t>
      </w:r>
      <w:r w:rsidR="00256F83">
        <w:rPr>
          <w:rFonts w:cstheme="minorHAnsi"/>
        </w:rPr>
        <w:t>su</w:t>
      </w:r>
      <w:r w:rsidRPr="0051709F">
        <w:rPr>
          <w:rFonts w:cstheme="minorHAnsi"/>
        </w:rPr>
        <w:t xml:space="preserve"> calidad vida y salud, </w:t>
      </w:r>
      <w:r w:rsidR="00256F83">
        <w:rPr>
          <w:rFonts w:cstheme="minorHAnsi"/>
        </w:rPr>
        <w:t>es fundamental, igualmente, para</w:t>
      </w:r>
      <w:r w:rsidRPr="0051709F">
        <w:rPr>
          <w:rFonts w:cstheme="minorHAnsi"/>
        </w:rPr>
        <w:t xml:space="preserve"> afrontar el reto climático de manera real, reduciendo las emisiones de </w:t>
      </w:r>
      <w:r w:rsidRPr="00D20A88">
        <w:rPr>
          <w:rFonts w:cstheme="minorHAnsi"/>
        </w:rPr>
        <w:t>CO2.</w:t>
      </w:r>
    </w:p>
    <w:p w14:paraId="23774070" w14:textId="77777777" w:rsidR="00990DDE" w:rsidRPr="0051709F" w:rsidRDefault="00990DDE" w:rsidP="00140A7B">
      <w:pPr>
        <w:jc w:val="both"/>
        <w:rPr>
          <w:rFonts w:cstheme="minorHAnsi"/>
        </w:rPr>
      </w:pPr>
    </w:p>
    <w:p w14:paraId="10E94E37" w14:textId="742513CA" w:rsidR="004257F4" w:rsidRPr="0051709F" w:rsidRDefault="00431A2F" w:rsidP="00140A7B">
      <w:pPr>
        <w:jc w:val="both"/>
        <w:rPr>
          <w:rFonts w:cstheme="minorHAnsi"/>
          <w:shd w:val="clear" w:color="auto" w:fill="FFFFFF"/>
        </w:rPr>
      </w:pPr>
      <w:r>
        <w:rPr>
          <w:rFonts w:cstheme="minorHAnsi"/>
          <w:shd w:val="clear" w:color="auto" w:fill="FFFFFF"/>
        </w:rPr>
        <w:t>del concepto</w:t>
      </w:r>
      <w:r w:rsidR="004257F4" w:rsidRPr="0051709F">
        <w:rPr>
          <w:rFonts w:cstheme="minorHAnsi"/>
          <w:shd w:val="clear" w:color="auto" w:fill="FFFFFF"/>
        </w:rPr>
        <w:t xml:space="preserve"> movilidad y ciudadanos activos </w:t>
      </w:r>
      <w:r>
        <w:rPr>
          <w:rFonts w:cstheme="minorHAnsi"/>
          <w:shd w:val="clear" w:color="auto" w:fill="FFFFFF"/>
        </w:rPr>
        <w:t>hace referencia</w:t>
      </w:r>
      <w:r w:rsidR="004257F4" w:rsidRPr="0051709F">
        <w:rPr>
          <w:rFonts w:cstheme="minorHAnsi"/>
          <w:shd w:val="clear" w:color="auto" w:fill="FFFFFF"/>
        </w:rPr>
        <w:t xml:space="preserve"> al uso de la bicicleta y a caminar</w:t>
      </w:r>
      <w:r>
        <w:rPr>
          <w:rFonts w:cstheme="minorHAnsi"/>
          <w:shd w:val="clear" w:color="auto" w:fill="FFFFFF"/>
        </w:rPr>
        <w:t xml:space="preserve"> en los desplazamientos</w:t>
      </w:r>
      <w:r w:rsidR="004257F4" w:rsidRPr="0051709F">
        <w:rPr>
          <w:rFonts w:cstheme="minorHAnsi"/>
          <w:shd w:val="clear" w:color="auto" w:fill="FFFFFF"/>
        </w:rPr>
        <w:t>.</w:t>
      </w:r>
    </w:p>
    <w:p w14:paraId="19CA5752" w14:textId="77777777" w:rsidR="00990DDE" w:rsidRPr="0051709F" w:rsidRDefault="00990DDE" w:rsidP="00140A7B">
      <w:pPr>
        <w:jc w:val="both"/>
        <w:rPr>
          <w:rFonts w:cstheme="minorHAnsi"/>
          <w:shd w:val="clear" w:color="auto" w:fill="FFFFFF"/>
        </w:rPr>
      </w:pPr>
    </w:p>
    <w:p w14:paraId="616A5D09" w14:textId="77777777" w:rsidR="004257F4" w:rsidRPr="0051709F" w:rsidRDefault="004257F4" w:rsidP="00140A7B">
      <w:pPr>
        <w:jc w:val="both"/>
        <w:rPr>
          <w:rFonts w:cstheme="minorHAnsi"/>
          <w:shd w:val="clear" w:color="auto" w:fill="FFFFFF"/>
        </w:rPr>
      </w:pPr>
      <w:r w:rsidRPr="0051709F">
        <w:rPr>
          <w:rFonts w:cstheme="minorHAnsi"/>
          <w:shd w:val="clear" w:color="auto" w:fill="FFFFFF"/>
        </w:rPr>
        <w:t>1.1. El uso de la bicicleta se presenta como el medio de transporte en los espacios urbanos que más transformación puede generar:</w:t>
      </w:r>
    </w:p>
    <w:p w14:paraId="3309036E" w14:textId="77777777" w:rsidR="00990DDE" w:rsidRPr="0051709F" w:rsidRDefault="00990DDE" w:rsidP="00140A7B">
      <w:pPr>
        <w:jc w:val="both"/>
        <w:rPr>
          <w:rFonts w:cstheme="minorHAnsi"/>
          <w:shd w:val="clear" w:color="auto" w:fill="FFFFFF"/>
        </w:rPr>
      </w:pPr>
    </w:p>
    <w:p w14:paraId="487FFFEE" w14:textId="5C9427AD" w:rsidR="004257F4" w:rsidRPr="0051709F" w:rsidRDefault="004257F4" w:rsidP="00D14ACA">
      <w:pPr>
        <w:pStyle w:val="Prrafodelista"/>
        <w:numPr>
          <w:ilvl w:val="0"/>
          <w:numId w:val="4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Aumento de la actividad física y como consecuencia</w:t>
      </w:r>
      <w:r w:rsidR="00431A2F">
        <w:rPr>
          <w:rFonts w:asciiTheme="minorHAnsi" w:hAnsiTheme="minorHAnsi" w:cstheme="minorHAnsi"/>
          <w:sz w:val="24"/>
          <w:szCs w:val="24"/>
          <w:shd w:val="clear" w:color="auto" w:fill="FFFFFF"/>
          <w:lang w:val="es-ES"/>
        </w:rPr>
        <w:t>,</w:t>
      </w:r>
      <w:r w:rsidRPr="0051709F">
        <w:rPr>
          <w:rFonts w:asciiTheme="minorHAnsi" w:hAnsiTheme="minorHAnsi" w:cstheme="minorHAnsi"/>
          <w:sz w:val="24"/>
          <w:szCs w:val="24"/>
          <w:shd w:val="clear" w:color="auto" w:fill="FFFFFF"/>
          <w:lang w:val="es-ES"/>
        </w:rPr>
        <w:t xml:space="preserve"> una mejora en la salud y los hábitos de las personas de manera directa.  Hay evidencias de los beneficios en </w:t>
      </w:r>
      <w:r w:rsidRPr="0051709F">
        <w:rPr>
          <w:rFonts w:asciiTheme="minorHAnsi" w:hAnsiTheme="minorHAnsi" w:cstheme="minorHAnsi"/>
          <w:sz w:val="24"/>
          <w:szCs w:val="24"/>
          <w:shd w:val="clear" w:color="auto" w:fill="FFFFFF"/>
          <w:lang w:val="es-ES"/>
        </w:rPr>
        <w:lastRenderedPageBreak/>
        <w:t xml:space="preserve">la salud física y mental del uso cotidiano de la bicicleta (Hilman M. </w:t>
      </w:r>
      <w:proofErr w:type="spellStart"/>
      <w:r w:rsidRPr="00C065DD">
        <w:rPr>
          <w:rFonts w:asciiTheme="minorHAnsi" w:hAnsiTheme="minorHAnsi" w:cstheme="minorHAnsi"/>
          <w:i/>
          <w:iCs/>
          <w:sz w:val="24"/>
          <w:szCs w:val="24"/>
          <w:shd w:val="clear" w:color="auto" w:fill="FFFFFF"/>
          <w:lang w:val="es-ES"/>
        </w:rPr>
        <w:t>Cycling</w:t>
      </w:r>
      <w:proofErr w:type="spellEnd"/>
      <w:r w:rsidRPr="00C065DD">
        <w:rPr>
          <w:rFonts w:asciiTheme="minorHAnsi" w:hAnsiTheme="minorHAnsi" w:cstheme="minorHAnsi"/>
          <w:i/>
          <w:iCs/>
          <w:sz w:val="24"/>
          <w:szCs w:val="24"/>
          <w:shd w:val="clear" w:color="auto" w:fill="FFFFFF"/>
          <w:lang w:val="es-ES"/>
        </w:rPr>
        <w:t xml:space="preserve"> and </w:t>
      </w:r>
      <w:proofErr w:type="spellStart"/>
      <w:r w:rsidRPr="00C065DD">
        <w:rPr>
          <w:rFonts w:asciiTheme="minorHAnsi" w:hAnsiTheme="minorHAnsi" w:cstheme="minorHAnsi"/>
          <w:i/>
          <w:iCs/>
          <w:sz w:val="24"/>
          <w:szCs w:val="24"/>
          <w:shd w:val="clear" w:color="auto" w:fill="FFFFFF"/>
          <w:lang w:val="es-ES"/>
        </w:rPr>
        <w:t>the</w:t>
      </w:r>
      <w:proofErr w:type="spellEnd"/>
      <w:r w:rsidRPr="00C065DD">
        <w:rPr>
          <w:rFonts w:asciiTheme="minorHAnsi" w:hAnsiTheme="minorHAnsi" w:cstheme="minorHAnsi"/>
          <w:i/>
          <w:iCs/>
          <w:sz w:val="24"/>
          <w:szCs w:val="24"/>
          <w:shd w:val="clear" w:color="auto" w:fill="FFFFFF"/>
          <w:lang w:val="es-ES"/>
        </w:rPr>
        <w:t xml:space="preserve"> </w:t>
      </w:r>
      <w:proofErr w:type="spellStart"/>
      <w:r w:rsidRPr="00C065DD">
        <w:rPr>
          <w:rFonts w:asciiTheme="minorHAnsi" w:hAnsiTheme="minorHAnsi" w:cstheme="minorHAnsi"/>
          <w:i/>
          <w:iCs/>
          <w:sz w:val="24"/>
          <w:szCs w:val="24"/>
          <w:shd w:val="clear" w:color="auto" w:fill="FFFFFF"/>
          <w:lang w:val="es-ES"/>
        </w:rPr>
        <w:t>promotion</w:t>
      </w:r>
      <w:proofErr w:type="spellEnd"/>
      <w:r w:rsidRPr="00C065DD">
        <w:rPr>
          <w:rFonts w:asciiTheme="minorHAnsi" w:hAnsiTheme="minorHAnsi" w:cstheme="minorHAnsi"/>
          <w:i/>
          <w:iCs/>
          <w:sz w:val="24"/>
          <w:szCs w:val="24"/>
          <w:shd w:val="clear" w:color="auto" w:fill="FFFFFF"/>
          <w:lang w:val="es-ES"/>
        </w:rPr>
        <w:t xml:space="preserve"> </w:t>
      </w:r>
      <w:proofErr w:type="spellStart"/>
      <w:r w:rsidRPr="00C065DD">
        <w:rPr>
          <w:rFonts w:asciiTheme="minorHAnsi" w:hAnsiTheme="minorHAnsi" w:cstheme="minorHAnsi"/>
          <w:i/>
          <w:iCs/>
          <w:sz w:val="24"/>
          <w:szCs w:val="24"/>
          <w:shd w:val="clear" w:color="auto" w:fill="FFFFFF"/>
          <w:lang w:val="es-ES"/>
        </w:rPr>
        <w:t>of</w:t>
      </w:r>
      <w:proofErr w:type="spellEnd"/>
      <w:r w:rsidRPr="00C065DD">
        <w:rPr>
          <w:rFonts w:asciiTheme="minorHAnsi" w:hAnsiTheme="minorHAnsi" w:cstheme="minorHAnsi"/>
          <w:i/>
          <w:iCs/>
          <w:sz w:val="24"/>
          <w:szCs w:val="24"/>
          <w:shd w:val="clear" w:color="auto" w:fill="FFFFFF"/>
          <w:lang w:val="es-ES"/>
        </w:rPr>
        <w:t xml:space="preserve"> </w:t>
      </w:r>
      <w:proofErr w:type="spellStart"/>
      <w:r w:rsidRPr="00C065DD">
        <w:rPr>
          <w:rFonts w:asciiTheme="minorHAnsi" w:hAnsiTheme="minorHAnsi" w:cstheme="minorHAnsi"/>
          <w:i/>
          <w:iCs/>
          <w:sz w:val="24"/>
          <w:szCs w:val="24"/>
          <w:shd w:val="clear" w:color="auto" w:fill="FFFFFF"/>
          <w:lang w:val="es-ES"/>
        </w:rPr>
        <w:t>Health</w:t>
      </w:r>
      <w:proofErr w:type="spellEnd"/>
      <w:r w:rsidRPr="00C065DD">
        <w:rPr>
          <w:rFonts w:asciiTheme="minorHAnsi" w:hAnsiTheme="minorHAnsi" w:cstheme="minorHAnsi"/>
          <w:i/>
          <w:iCs/>
          <w:sz w:val="24"/>
          <w:szCs w:val="24"/>
          <w:shd w:val="clear" w:color="auto" w:fill="FFFFFF"/>
          <w:lang w:val="es-ES"/>
        </w:rPr>
        <w:t xml:space="preserve">. </w:t>
      </w:r>
      <w:r w:rsidRPr="00C065DD">
        <w:rPr>
          <w:rFonts w:asciiTheme="minorHAnsi" w:hAnsiTheme="minorHAnsi" w:cstheme="minorHAnsi"/>
          <w:i/>
          <w:iCs/>
          <w:sz w:val="24"/>
          <w:szCs w:val="24"/>
          <w:shd w:val="clear" w:color="auto" w:fill="FFFFFF"/>
        </w:rPr>
        <w:t>Policy Studies</w:t>
      </w:r>
      <w:r w:rsidRPr="0051709F">
        <w:rPr>
          <w:rFonts w:asciiTheme="minorHAnsi" w:hAnsiTheme="minorHAnsi" w:cstheme="minorHAnsi"/>
          <w:sz w:val="24"/>
          <w:szCs w:val="24"/>
          <w:shd w:val="clear" w:color="auto" w:fill="FFFFFF"/>
        </w:rPr>
        <w:t>.1993;14(2):49-58)</w:t>
      </w:r>
      <w:r w:rsidR="00B1078A">
        <w:rPr>
          <w:rFonts w:asciiTheme="minorHAnsi" w:hAnsiTheme="minorHAnsi" w:cstheme="minorHAnsi"/>
          <w:sz w:val="24"/>
          <w:szCs w:val="24"/>
          <w:shd w:val="clear" w:color="auto" w:fill="FFFFFF"/>
        </w:rPr>
        <w:t>.</w:t>
      </w:r>
    </w:p>
    <w:p w14:paraId="66824743" w14:textId="4D751DE6" w:rsidR="00B1078A" w:rsidRPr="0051709F" w:rsidRDefault="004257F4" w:rsidP="007B667D">
      <w:pPr>
        <w:pStyle w:val="Prrafodelista"/>
        <w:jc w:val="both"/>
        <w:rPr>
          <w:rFonts w:asciiTheme="minorHAnsi" w:hAnsiTheme="minorHAnsi" w:cstheme="minorHAnsi"/>
          <w:sz w:val="24"/>
          <w:szCs w:val="24"/>
          <w:shd w:val="clear" w:color="auto" w:fill="FFFFFF"/>
          <w:lang w:val="es-ES"/>
        </w:rPr>
      </w:pPr>
      <w:r w:rsidRPr="0051709F">
        <w:rPr>
          <w:rFonts w:asciiTheme="minorHAnsi" w:hAnsiTheme="minorHAnsi" w:cstheme="minorHAnsi"/>
          <w:sz w:val="24"/>
          <w:szCs w:val="24"/>
          <w:shd w:val="clear" w:color="auto" w:fill="FFFFFF"/>
          <w:lang w:val="es-ES"/>
        </w:rPr>
        <w:t>También mejora la salud por causas indirectas, como la reducción de la contaminación ambiental y la reducción de la contaminación acústica.</w:t>
      </w:r>
    </w:p>
    <w:p w14:paraId="72D96564" w14:textId="77777777" w:rsidR="00653E2F" w:rsidRDefault="00653E2F" w:rsidP="00140A7B">
      <w:pPr>
        <w:jc w:val="both"/>
        <w:rPr>
          <w:rFonts w:cstheme="minorHAnsi"/>
          <w:shd w:val="clear" w:color="auto" w:fill="FFFFFF"/>
        </w:rPr>
      </w:pPr>
    </w:p>
    <w:p w14:paraId="00EB027E" w14:textId="4D0924E6" w:rsidR="004257F4" w:rsidRPr="0051709F" w:rsidRDefault="004257F4" w:rsidP="00140A7B">
      <w:pPr>
        <w:jc w:val="both"/>
        <w:rPr>
          <w:rFonts w:cstheme="minorHAnsi"/>
          <w:shd w:val="clear" w:color="auto" w:fill="FFFFFF"/>
        </w:rPr>
      </w:pPr>
      <w:r w:rsidRPr="00B1078A">
        <w:rPr>
          <w:rFonts w:cstheme="minorHAnsi"/>
          <w:shd w:val="clear" w:color="auto" w:fill="FFFFFF"/>
        </w:rPr>
        <w:t xml:space="preserve">El impacto ambiental en las emisiones de CO2 </w:t>
      </w:r>
      <w:r w:rsidR="00B1078A">
        <w:rPr>
          <w:rFonts w:cstheme="minorHAnsi"/>
          <w:shd w:val="clear" w:color="auto" w:fill="FFFFFF"/>
        </w:rPr>
        <w:t xml:space="preserve">por </w:t>
      </w:r>
      <w:r w:rsidRPr="00B1078A">
        <w:rPr>
          <w:rFonts w:cstheme="minorHAnsi"/>
          <w:shd w:val="clear" w:color="auto" w:fill="FFFFFF"/>
        </w:rPr>
        <w:t>el uso de la bicicleta toma unas dimensiones</w:t>
      </w:r>
      <w:r w:rsidR="00B1078A">
        <w:rPr>
          <w:rFonts w:cstheme="minorHAnsi"/>
          <w:shd w:val="clear" w:color="auto" w:fill="FFFFFF"/>
        </w:rPr>
        <w:t xml:space="preserve"> muy relevante</w:t>
      </w:r>
      <w:r w:rsidR="00D20A88">
        <w:rPr>
          <w:rFonts w:cstheme="minorHAnsi"/>
          <w:shd w:val="clear" w:color="auto" w:fill="FFFFFF"/>
        </w:rPr>
        <w:t>s</w:t>
      </w:r>
      <w:r w:rsidRPr="00B1078A">
        <w:rPr>
          <w:rFonts w:cstheme="minorHAnsi"/>
          <w:shd w:val="clear" w:color="auto" w:fill="FFFFFF"/>
        </w:rPr>
        <w:t>:</w:t>
      </w:r>
      <w:r w:rsidR="00B1078A">
        <w:rPr>
          <w:rFonts w:cstheme="minorHAnsi"/>
          <w:shd w:val="clear" w:color="auto" w:fill="FFFFFF"/>
        </w:rPr>
        <w:t xml:space="preserve"> s</w:t>
      </w:r>
      <w:r w:rsidRPr="0051709F">
        <w:rPr>
          <w:rFonts w:cstheme="minorHAnsi"/>
          <w:shd w:val="clear" w:color="auto" w:fill="FFFFFF"/>
        </w:rPr>
        <w:t>egún datos de la investigación dirigida por Christian Brand, docente de movilidad de la Universidad de Oxford:</w:t>
      </w:r>
    </w:p>
    <w:p w14:paraId="52CB4D60" w14:textId="77777777" w:rsidR="004257F4" w:rsidRPr="0051709F" w:rsidRDefault="004257F4" w:rsidP="00D14ACA">
      <w:pPr>
        <w:pStyle w:val="Prrafodelista"/>
        <w:numPr>
          <w:ilvl w:val="0"/>
          <w:numId w:val="51"/>
        </w:numPr>
        <w:jc w:val="both"/>
        <w:rPr>
          <w:rFonts w:asciiTheme="minorHAnsi" w:hAnsiTheme="minorHAnsi" w:cstheme="minorHAnsi"/>
          <w:sz w:val="24"/>
          <w:szCs w:val="24"/>
          <w:shd w:val="clear" w:color="auto" w:fill="FFFFFF"/>
          <w:lang w:val="es-ES"/>
        </w:rPr>
      </w:pPr>
      <w:r w:rsidRPr="0051709F">
        <w:rPr>
          <w:rFonts w:asciiTheme="minorHAnsi" w:hAnsiTheme="minorHAnsi" w:cstheme="minorHAnsi"/>
          <w:sz w:val="24"/>
          <w:szCs w:val="24"/>
          <w:shd w:val="clear" w:color="auto" w:fill="FFFFFF"/>
          <w:lang w:val="es-ES"/>
        </w:rPr>
        <w:t>Usar la bicicleta en lugar del coche implica una reducción de un 67% de las emisiones de carbono en movilidad.</w:t>
      </w:r>
    </w:p>
    <w:p w14:paraId="344B1E63" w14:textId="042F22CF" w:rsidR="00990DDE" w:rsidRPr="00963270" w:rsidRDefault="004257F4" w:rsidP="00963270">
      <w:pPr>
        <w:pStyle w:val="Prrafodelista"/>
        <w:numPr>
          <w:ilvl w:val="0"/>
          <w:numId w:val="51"/>
        </w:numPr>
        <w:jc w:val="both"/>
        <w:rPr>
          <w:rFonts w:asciiTheme="minorHAnsi" w:hAnsiTheme="minorHAnsi" w:cstheme="minorHAnsi"/>
          <w:sz w:val="24"/>
          <w:szCs w:val="24"/>
          <w:shd w:val="clear" w:color="auto" w:fill="FFFFFF"/>
          <w:lang w:val="es-ES"/>
        </w:rPr>
      </w:pPr>
      <w:r w:rsidRPr="0051709F">
        <w:rPr>
          <w:rFonts w:asciiTheme="minorHAnsi" w:hAnsiTheme="minorHAnsi" w:cstheme="minorHAnsi"/>
          <w:sz w:val="24"/>
          <w:szCs w:val="24"/>
          <w:shd w:val="clear" w:color="auto" w:fill="FFFFFF"/>
          <w:lang w:val="es-ES"/>
        </w:rPr>
        <w:t>Si el 10% de la población realizara uno de sus trayectos en bicicleta en lugar de en automóvil reduciría el 19% de las emisiones de CO2 individuales y un 10% de las emisiones totales.</w:t>
      </w:r>
    </w:p>
    <w:p w14:paraId="0A96B207" w14:textId="77777777" w:rsidR="00990DDE" w:rsidRPr="0051709F" w:rsidRDefault="00990DDE" w:rsidP="00140A7B">
      <w:pPr>
        <w:jc w:val="both"/>
        <w:rPr>
          <w:rFonts w:cstheme="minorHAnsi"/>
          <w:shd w:val="clear" w:color="auto" w:fill="FFFFFF"/>
        </w:rPr>
      </w:pPr>
    </w:p>
    <w:p w14:paraId="0CD7BA53" w14:textId="1D35D16C" w:rsidR="004257F4" w:rsidRPr="0051709F" w:rsidRDefault="004257F4" w:rsidP="00B1078A">
      <w:pPr>
        <w:jc w:val="both"/>
        <w:rPr>
          <w:rFonts w:cstheme="minorHAnsi"/>
          <w:shd w:val="clear" w:color="auto" w:fill="FFFFFF"/>
        </w:rPr>
      </w:pPr>
      <w:r w:rsidRPr="0051709F">
        <w:rPr>
          <w:rFonts w:cstheme="minorHAnsi"/>
          <w:shd w:val="clear" w:color="auto" w:fill="FFFFFF"/>
        </w:rPr>
        <w:t>1.2.- Para fomentar el uso de la bicicleta en el uso cotidiano y en todas las edades hace falta desarrollar una cultura de la bicicleta, una infraestructura segura, accesible, que incorpore la perspectiva de género y de calidad, una producción sostenible que incorpore la economía circular (que reduce el impacto medioambiental del parque de</w:t>
      </w:r>
      <w:r w:rsidR="00B1078A">
        <w:rPr>
          <w:rFonts w:cstheme="minorHAnsi"/>
          <w:shd w:val="clear" w:color="auto" w:fill="FFFFFF"/>
        </w:rPr>
        <w:t xml:space="preserve"> </w:t>
      </w:r>
      <w:r w:rsidRPr="0051709F">
        <w:rPr>
          <w:rFonts w:cstheme="minorHAnsi"/>
          <w:shd w:val="clear" w:color="auto" w:fill="FFFFFF"/>
        </w:rPr>
        <w:t>bicicletas) y una gestión que permita y fomente el uso compartido.</w:t>
      </w:r>
    </w:p>
    <w:p w14:paraId="5F33A34C" w14:textId="77777777" w:rsidR="00990DDE" w:rsidRPr="0051709F" w:rsidRDefault="00990DDE" w:rsidP="00140A7B">
      <w:pPr>
        <w:jc w:val="both"/>
        <w:rPr>
          <w:rFonts w:cstheme="minorHAnsi"/>
          <w:shd w:val="clear" w:color="auto" w:fill="FFFFFF"/>
        </w:rPr>
      </w:pPr>
    </w:p>
    <w:p w14:paraId="4F9302FE" w14:textId="3C4A299F" w:rsidR="004257F4" w:rsidRPr="0051709F" w:rsidRDefault="004257F4" w:rsidP="00140A7B">
      <w:pPr>
        <w:jc w:val="both"/>
        <w:rPr>
          <w:rFonts w:cstheme="minorHAnsi"/>
          <w:shd w:val="clear" w:color="auto" w:fill="FFFFFF"/>
        </w:rPr>
      </w:pPr>
      <w:r w:rsidRPr="0051709F">
        <w:rPr>
          <w:rFonts w:cstheme="minorHAnsi"/>
          <w:shd w:val="clear" w:color="auto" w:fill="FFFFFF"/>
        </w:rPr>
        <w:t>1.3.- La movilidad peatonal, caminar, es una práctica saludable, accesible para casi todas las personas y el impacto ambiental es nulo.</w:t>
      </w:r>
      <w:r w:rsidR="00990DDE" w:rsidRPr="0051709F">
        <w:rPr>
          <w:rFonts w:cstheme="minorHAnsi"/>
          <w:shd w:val="clear" w:color="auto" w:fill="FFFFFF"/>
        </w:rPr>
        <w:t xml:space="preserve"> </w:t>
      </w:r>
      <w:r w:rsidRPr="0051709F">
        <w:rPr>
          <w:rFonts w:cstheme="minorHAnsi"/>
          <w:shd w:val="clear" w:color="auto" w:fill="FFFFFF"/>
        </w:rPr>
        <w:t>Para fomentar la movilidad peatonal, la red peatonal debe estar bien diseñada. Segura frente al tráfico, con mobiliario de apoyo y sin interrupciones.</w:t>
      </w:r>
    </w:p>
    <w:p w14:paraId="55E6B99E" w14:textId="77777777" w:rsidR="004257F4" w:rsidRPr="0051709F" w:rsidRDefault="004257F4" w:rsidP="00140A7B">
      <w:pPr>
        <w:jc w:val="both"/>
        <w:rPr>
          <w:rFonts w:cstheme="minorHAnsi"/>
        </w:rPr>
      </w:pPr>
    </w:p>
    <w:p w14:paraId="0F6BB918" w14:textId="77777777" w:rsidR="004257F4" w:rsidRPr="0051709F" w:rsidRDefault="004257F4" w:rsidP="00140A7B">
      <w:pPr>
        <w:jc w:val="both"/>
        <w:rPr>
          <w:rFonts w:cstheme="minorHAnsi"/>
          <w:b/>
          <w:bCs/>
        </w:rPr>
      </w:pPr>
      <w:r w:rsidRPr="0051709F">
        <w:rPr>
          <w:rFonts w:cstheme="minorHAnsi"/>
          <w:b/>
          <w:bCs/>
        </w:rPr>
        <w:t>2.- INFRAESTRUCTURAS SOSTENIBLES Y SALUDABLES</w:t>
      </w:r>
    </w:p>
    <w:p w14:paraId="1F8C0287" w14:textId="77777777" w:rsidR="00990DDE" w:rsidRPr="0051709F" w:rsidRDefault="00990DDE" w:rsidP="00140A7B">
      <w:pPr>
        <w:jc w:val="both"/>
        <w:rPr>
          <w:rFonts w:cstheme="minorHAnsi"/>
          <w:b/>
          <w:bCs/>
        </w:rPr>
      </w:pPr>
    </w:p>
    <w:p w14:paraId="32A88744" w14:textId="1813DF02" w:rsidR="004257F4" w:rsidRPr="0051709F" w:rsidRDefault="004257F4" w:rsidP="00140A7B">
      <w:pPr>
        <w:jc w:val="both"/>
        <w:rPr>
          <w:rFonts w:cstheme="minorHAnsi"/>
        </w:rPr>
      </w:pPr>
      <w:r w:rsidRPr="0051709F">
        <w:rPr>
          <w:rFonts w:cstheme="minorHAnsi"/>
        </w:rPr>
        <w:t>Las infraestructuras que albergan o soportan usos deportivos, del tipo que sean</w:t>
      </w:r>
      <w:r w:rsidR="00B1078A">
        <w:rPr>
          <w:rFonts w:cstheme="minorHAnsi"/>
        </w:rPr>
        <w:t>,</w:t>
      </w:r>
      <w:r w:rsidRPr="0051709F">
        <w:rPr>
          <w:rFonts w:cstheme="minorHAnsi"/>
        </w:rPr>
        <w:t xml:space="preserve"> están sujeto a las normas europeas y estatales.</w:t>
      </w:r>
    </w:p>
    <w:p w14:paraId="7C0BEE61" w14:textId="77777777" w:rsidR="00990DDE" w:rsidRPr="0051709F" w:rsidRDefault="00990DDE" w:rsidP="00140A7B">
      <w:pPr>
        <w:jc w:val="both"/>
        <w:rPr>
          <w:rFonts w:cstheme="minorHAnsi"/>
        </w:rPr>
      </w:pPr>
    </w:p>
    <w:p w14:paraId="065A025D" w14:textId="77777777" w:rsidR="004257F4" w:rsidRPr="007B667D" w:rsidRDefault="004257F4" w:rsidP="00140A7B">
      <w:pPr>
        <w:jc w:val="both"/>
        <w:rPr>
          <w:rFonts w:cstheme="minorHAnsi"/>
          <w:i/>
          <w:iCs/>
        </w:rPr>
      </w:pPr>
      <w:r w:rsidRPr="007B667D">
        <w:rPr>
          <w:rFonts w:cstheme="minorHAnsi"/>
          <w:i/>
          <w:iCs/>
        </w:rPr>
        <w:t>2.1.- Edificios de energía casi nula</w:t>
      </w:r>
    </w:p>
    <w:p w14:paraId="4EEA766B" w14:textId="77777777" w:rsidR="00990DDE" w:rsidRPr="0051709F" w:rsidRDefault="00990DDE" w:rsidP="00140A7B">
      <w:pPr>
        <w:jc w:val="both"/>
        <w:rPr>
          <w:rFonts w:cstheme="minorHAnsi"/>
        </w:rPr>
      </w:pPr>
    </w:p>
    <w:p w14:paraId="50050B68" w14:textId="016D22A9" w:rsidR="004257F4" w:rsidRPr="0051709F" w:rsidRDefault="004257F4" w:rsidP="00140A7B">
      <w:pPr>
        <w:jc w:val="both"/>
        <w:rPr>
          <w:rFonts w:eastAsia="Times New Roman" w:cstheme="minorHAnsi"/>
          <w:color w:val="000000" w:themeColor="text1"/>
          <w:shd w:val="clear" w:color="auto" w:fill="FFFFFF"/>
          <w:lang w:eastAsia="es-ES"/>
        </w:rPr>
      </w:pPr>
      <w:r w:rsidRPr="0051709F">
        <w:rPr>
          <w:rFonts w:cstheme="minorHAnsi"/>
          <w:shd w:val="clear" w:color="auto" w:fill="FFFFFF"/>
        </w:rPr>
        <w:t>Uno de los grandes retos del sector de la construcción en todos los países europeos será cumplir los objetivos que la </w:t>
      </w:r>
      <w:hyperlink r:id="rId96" w:history="1">
        <w:r w:rsidRPr="0051709F">
          <w:rPr>
            <w:rFonts w:cstheme="minorHAnsi"/>
            <w:shd w:val="clear" w:color="auto" w:fill="FFFFFF"/>
          </w:rPr>
          <w:t>Directiva de Eficiencia Energética de Edificios</w:t>
        </w:r>
        <w:r w:rsidR="00143228">
          <w:rPr>
            <w:rFonts w:cstheme="minorHAnsi"/>
            <w:shd w:val="clear" w:color="auto" w:fill="FFFFFF"/>
          </w:rPr>
          <w:t xml:space="preserve"> </w:t>
        </w:r>
        <w:r w:rsidRPr="0051709F">
          <w:rPr>
            <w:rFonts w:cstheme="minorHAnsi"/>
            <w:shd w:val="clear" w:color="auto" w:fill="FFFFFF"/>
          </w:rPr>
          <w:t>(2010/31/EC)</w:t>
        </w:r>
      </w:hyperlink>
      <w:r w:rsidR="00B1078A">
        <w:rPr>
          <w:rFonts w:cstheme="minorHAnsi"/>
          <w:shd w:val="clear" w:color="auto" w:fill="FFFFFF"/>
        </w:rPr>
        <w:t xml:space="preserve">, que </w:t>
      </w:r>
      <w:r w:rsidRPr="0051709F">
        <w:rPr>
          <w:rFonts w:cstheme="minorHAnsi"/>
          <w:shd w:val="clear" w:color="auto" w:fill="FFFFFF"/>
        </w:rPr>
        <w:t xml:space="preserve">señala la implantación de los llamados edificios de consumo de energía casi nulo, </w:t>
      </w:r>
      <w:proofErr w:type="spellStart"/>
      <w:r w:rsidRPr="0051709F">
        <w:rPr>
          <w:rFonts w:cstheme="minorHAnsi"/>
          <w:shd w:val="clear" w:color="auto" w:fill="FFFFFF"/>
        </w:rPr>
        <w:t>nZEB</w:t>
      </w:r>
      <w:proofErr w:type="spellEnd"/>
      <w:r w:rsidRPr="0051709F">
        <w:rPr>
          <w:rFonts w:cstheme="minorHAnsi"/>
          <w:shd w:val="clear" w:color="auto" w:fill="FFFFFF"/>
        </w:rPr>
        <w:t xml:space="preserve"> (</w:t>
      </w:r>
      <w:proofErr w:type="spellStart"/>
      <w:r w:rsidRPr="00C065DD">
        <w:rPr>
          <w:rFonts w:cstheme="minorHAnsi"/>
          <w:i/>
          <w:iCs/>
          <w:shd w:val="clear" w:color="auto" w:fill="FFFFFF"/>
        </w:rPr>
        <w:t>Nearly</w:t>
      </w:r>
      <w:proofErr w:type="spellEnd"/>
      <w:r w:rsidRPr="00C065DD">
        <w:rPr>
          <w:rFonts w:cstheme="minorHAnsi"/>
          <w:i/>
          <w:iCs/>
          <w:shd w:val="clear" w:color="auto" w:fill="FFFFFF"/>
        </w:rPr>
        <w:t xml:space="preserve"> Zero Energy </w:t>
      </w:r>
      <w:proofErr w:type="spellStart"/>
      <w:r w:rsidRPr="00C065DD">
        <w:rPr>
          <w:rFonts w:cstheme="minorHAnsi"/>
          <w:i/>
          <w:iCs/>
          <w:shd w:val="clear" w:color="auto" w:fill="FFFFFF"/>
        </w:rPr>
        <w:t>Buildings</w:t>
      </w:r>
      <w:proofErr w:type="spellEnd"/>
      <w:r w:rsidR="00B1078A">
        <w:rPr>
          <w:rFonts w:cstheme="minorHAnsi"/>
          <w:shd w:val="clear" w:color="auto" w:fill="FFFFFF"/>
        </w:rPr>
        <w:t xml:space="preserve"> en inglés</w:t>
      </w:r>
      <w:r w:rsidRPr="0051709F">
        <w:rPr>
          <w:rFonts w:cstheme="minorHAnsi"/>
          <w:shd w:val="clear" w:color="auto" w:fill="FFFFFF"/>
        </w:rPr>
        <w:t xml:space="preserve">). La </w:t>
      </w:r>
      <w:r w:rsidRPr="0051709F">
        <w:rPr>
          <w:rFonts w:eastAsia="Times New Roman" w:cstheme="minorHAnsi"/>
          <w:lang w:eastAsia="es-ES"/>
        </w:rPr>
        <w:t>Directiva UE 2018/844 de Edificios de Consumo de Energía Casi Nulo es la que exige a los países de la UE que elaboren estrategias de renovación a largo plazo para apoyar la renovación de los edificios residenciales y no residenciales</w:t>
      </w:r>
      <w:r w:rsidR="00990DDE" w:rsidRPr="0051709F">
        <w:rPr>
          <w:rFonts w:eastAsia="Times New Roman" w:cstheme="minorHAnsi"/>
          <w:lang w:eastAsia="es-ES"/>
        </w:rPr>
        <w:t>.</w:t>
      </w:r>
      <w:r w:rsidR="00B1078A">
        <w:rPr>
          <w:rFonts w:eastAsia="Times New Roman" w:cstheme="minorHAnsi"/>
          <w:lang w:eastAsia="es-ES"/>
        </w:rPr>
        <w:t xml:space="preserve"> </w:t>
      </w:r>
      <w:r w:rsidRPr="0051709F">
        <w:rPr>
          <w:rFonts w:eastAsia="Times New Roman" w:cstheme="minorHAnsi"/>
          <w:color w:val="000000" w:themeColor="text1"/>
          <w:shd w:val="clear" w:color="auto" w:fill="FFFFFF"/>
          <w:lang w:eastAsia="es-ES"/>
        </w:rPr>
        <w:t>Los países de la UE deben establecer requisitos mínimos de eficiencia</w:t>
      </w:r>
      <w:r w:rsidRPr="0051709F">
        <w:rPr>
          <w:rFonts w:eastAsia="Times New Roman" w:cstheme="minorHAnsi"/>
          <w:b/>
          <w:bCs/>
          <w:color w:val="000000" w:themeColor="text1"/>
          <w:shd w:val="clear" w:color="auto" w:fill="FFFFFF"/>
          <w:lang w:eastAsia="es-ES"/>
        </w:rPr>
        <w:t xml:space="preserve"> </w:t>
      </w:r>
      <w:r w:rsidRPr="0051709F">
        <w:rPr>
          <w:rFonts w:eastAsia="Times New Roman" w:cstheme="minorHAnsi"/>
          <w:color w:val="000000" w:themeColor="text1"/>
          <w:shd w:val="clear" w:color="auto" w:fill="FFFFFF"/>
          <w:lang w:eastAsia="es-ES"/>
        </w:rPr>
        <w:t>energética. Dichos requisitos deben ser revisados cada cinco años. Deben cubrir el edificio, sus componentes y la energía consumida para:</w:t>
      </w:r>
    </w:p>
    <w:p w14:paraId="20A2ECAF" w14:textId="77777777" w:rsidR="00990DDE" w:rsidRPr="0051709F" w:rsidRDefault="00990DDE" w:rsidP="00140A7B">
      <w:pPr>
        <w:jc w:val="both"/>
        <w:rPr>
          <w:rFonts w:eastAsia="Times New Roman" w:cstheme="minorHAnsi"/>
          <w:color w:val="000000" w:themeColor="text1"/>
          <w:lang w:eastAsia="es-ES"/>
        </w:rPr>
      </w:pPr>
    </w:p>
    <w:p w14:paraId="6C9373B7" w14:textId="77777777" w:rsidR="004257F4" w:rsidRPr="0051709F" w:rsidRDefault="004257F4" w:rsidP="00D14ACA">
      <w:pPr>
        <w:numPr>
          <w:ilvl w:val="0"/>
          <w:numId w:val="49"/>
        </w:numPr>
        <w:shd w:val="clear" w:color="auto" w:fill="FFFFFF"/>
        <w:jc w:val="both"/>
        <w:rPr>
          <w:rFonts w:eastAsia="Times New Roman" w:cstheme="minorHAnsi"/>
          <w:color w:val="000000" w:themeColor="text1"/>
          <w:lang w:eastAsia="es-ES"/>
        </w:rPr>
      </w:pPr>
      <w:r w:rsidRPr="0051709F">
        <w:rPr>
          <w:rFonts w:eastAsia="Times New Roman" w:cstheme="minorHAnsi"/>
          <w:color w:val="000000" w:themeColor="text1"/>
          <w:lang w:eastAsia="es-ES"/>
        </w:rPr>
        <w:t>la calefacción de espacios;</w:t>
      </w:r>
    </w:p>
    <w:p w14:paraId="6FCB12A3" w14:textId="77777777" w:rsidR="004257F4" w:rsidRPr="0051709F" w:rsidRDefault="004257F4" w:rsidP="00D14ACA">
      <w:pPr>
        <w:numPr>
          <w:ilvl w:val="0"/>
          <w:numId w:val="49"/>
        </w:numPr>
        <w:shd w:val="clear" w:color="auto" w:fill="FFFFFF"/>
        <w:jc w:val="both"/>
        <w:rPr>
          <w:rFonts w:eastAsia="Times New Roman" w:cstheme="minorHAnsi"/>
          <w:color w:val="000000" w:themeColor="text1"/>
          <w:lang w:eastAsia="es-ES"/>
        </w:rPr>
      </w:pPr>
      <w:r w:rsidRPr="0051709F">
        <w:rPr>
          <w:rFonts w:eastAsia="Times New Roman" w:cstheme="minorHAnsi"/>
          <w:color w:val="000000" w:themeColor="text1"/>
          <w:lang w:eastAsia="es-ES"/>
        </w:rPr>
        <w:t>la refrigeración de espacios;</w:t>
      </w:r>
    </w:p>
    <w:p w14:paraId="5C96EB6D" w14:textId="77777777" w:rsidR="004257F4" w:rsidRPr="0051709F" w:rsidRDefault="004257F4" w:rsidP="00D14ACA">
      <w:pPr>
        <w:numPr>
          <w:ilvl w:val="0"/>
          <w:numId w:val="49"/>
        </w:numPr>
        <w:shd w:val="clear" w:color="auto" w:fill="FFFFFF"/>
        <w:jc w:val="both"/>
        <w:rPr>
          <w:rFonts w:eastAsia="Times New Roman" w:cstheme="minorHAnsi"/>
          <w:color w:val="000000" w:themeColor="text1"/>
          <w:lang w:eastAsia="es-ES"/>
        </w:rPr>
      </w:pPr>
      <w:r w:rsidRPr="0051709F">
        <w:rPr>
          <w:rFonts w:eastAsia="Times New Roman" w:cstheme="minorHAnsi"/>
          <w:color w:val="000000" w:themeColor="text1"/>
          <w:lang w:eastAsia="es-ES"/>
        </w:rPr>
        <w:t>el agua caliente sanitaria;</w:t>
      </w:r>
    </w:p>
    <w:p w14:paraId="24D2AA50" w14:textId="77777777" w:rsidR="004257F4" w:rsidRPr="0051709F" w:rsidRDefault="004257F4" w:rsidP="00D14ACA">
      <w:pPr>
        <w:numPr>
          <w:ilvl w:val="0"/>
          <w:numId w:val="49"/>
        </w:numPr>
        <w:shd w:val="clear" w:color="auto" w:fill="FFFFFF"/>
        <w:jc w:val="both"/>
        <w:rPr>
          <w:rFonts w:eastAsia="Times New Roman" w:cstheme="minorHAnsi"/>
          <w:color w:val="000000" w:themeColor="text1"/>
          <w:lang w:eastAsia="es-ES"/>
        </w:rPr>
      </w:pPr>
      <w:r w:rsidRPr="0051709F">
        <w:rPr>
          <w:rFonts w:eastAsia="Times New Roman" w:cstheme="minorHAnsi"/>
          <w:color w:val="000000" w:themeColor="text1"/>
          <w:lang w:eastAsia="es-ES"/>
        </w:rPr>
        <w:t>la ventilación;</w:t>
      </w:r>
    </w:p>
    <w:p w14:paraId="40DC8040" w14:textId="77777777" w:rsidR="004257F4" w:rsidRPr="0051709F" w:rsidRDefault="004257F4" w:rsidP="00D14ACA">
      <w:pPr>
        <w:numPr>
          <w:ilvl w:val="0"/>
          <w:numId w:val="49"/>
        </w:numPr>
        <w:shd w:val="clear" w:color="auto" w:fill="FFFFFF"/>
        <w:jc w:val="both"/>
        <w:rPr>
          <w:rFonts w:eastAsia="Times New Roman" w:cstheme="minorHAnsi"/>
          <w:color w:val="000000" w:themeColor="text1"/>
          <w:lang w:eastAsia="es-ES"/>
        </w:rPr>
      </w:pPr>
      <w:r w:rsidRPr="0051709F">
        <w:rPr>
          <w:rFonts w:eastAsia="Times New Roman" w:cstheme="minorHAnsi"/>
          <w:color w:val="000000" w:themeColor="text1"/>
          <w:lang w:eastAsia="es-ES"/>
        </w:rPr>
        <w:t>la iluminación integrada;</w:t>
      </w:r>
    </w:p>
    <w:p w14:paraId="6630F223" w14:textId="01510C97" w:rsidR="004257F4" w:rsidRPr="0051709F" w:rsidRDefault="00B1078A" w:rsidP="00D14ACA">
      <w:pPr>
        <w:numPr>
          <w:ilvl w:val="0"/>
          <w:numId w:val="49"/>
        </w:numPr>
        <w:shd w:val="clear" w:color="auto" w:fill="FFFFFF"/>
        <w:jc w:val="both"/>
        <w:rPr>
          <w:rFonts w:eastAsia="Times New Roman" w:cstheme="minorHAnsi"/>
          <w:color w:val="000000" w:themeColor="text1"/>
          <w:lang w:eastAsia="es-ES"/>
        </w:rPr>
      </w:pPr>
      <w:r>
        <w:rPr>
          <w:rFonts w:eastAsia="Times New Roman" w:cstheme="minorHAnsi"/>
          <w:color w:val="000000" w:themeColor="text1"/>
          <w:lang w:eastAsia="es-ES"/>
        </w:rPr>
        <w:lastRenderedPageBreak/>
        <w:t xml:space="preserve">y </w:t>
      </w:r>
      <w:r w:rsidR="004257F4" w:rsidRPr="0051709F">
        <w:rPr>
          <w:rFonts w:eastAsia="Times New Roman" w:cstheme="minorHAnsi"/>
          <w:color w:val="000000" w:themeColor="text1"/>
          <w:lang w:eastAsia="es-ES"/>
        </w:rPr>
        <w:t>otras instalaciones técnicas de los edificios.</w:t>
      </w:r>
    </w:p>
    <w:p w14:paraId="3D56F493" w14:textId="77777777" w:rsidR="00990DDE" w:rsidRPr="0051709F" w:rsidRDefault="00990DDE" w:rsidP="00140A7B">
      <w:pPr>
        <w:jc w:val="both"/>
        <w:rPr>
          <w:rFonts w:cstheme="minorHAnsi"/>
          <w:shd w:val="clear" w:color="auto" w:fill="FFFFFF"/>
        </w:rPr>
      </w:pPr>
    </w:p>
    <w:p w14:paraId="7EC60F37" w14:textId="255EB51E" w:rsidR="004257F4" w:rsidRPr="00C065DD" w:rsidRDefault="004257F4" w:rsidP="00140A7B">
      <w:pPr>
        <w:jc w:val="both"/>
        <w:rPr>
          <w:rFonts w:cstheme="minorHAnsi"/>
          <w:shd w:val="clear" w:color="auto" w:fill="FFFFFF"/>
        </w:rPr>
      </w:pPr>
      <w:r w:rsidRPr="00C065DD">
        <w:rPr>
          <w:rFonts w:cstheme="minorHAnsi"/>
          <w:shd w:val="clear" w:color="auto" w:fill="FFFFFF"/>
        </w:rPr>
        <w:t>La UE ha propuesto pasar de los actuales edificios de consumo de energía casi nulo a edificios de cero emisiones para 2030.</w:t>
      </w:r>
    </w:p>
    <w:p w14:paraId="09CE2181" w14:textId="77777777" w:rsidR="00990DDE" w:rsidRPr="00C065DD" w:rsidRDefault="00990DDE" w:rsidP="00140A7B">
      <w:pPr>
        <w:jc w:val="both"/>
        <w:rPr>
          <w:rFonts w:cstheme="minorHAnsi"/>
          <w:shd w:val="clear" w:color="auto" w:fill="FFFFFF"/>
        </w:rPr>
      </w:pPr>
    </w:p>
    <w:p w14:paraId="26472154" w14:textId="0D7C21CE" w:rsidR="00990DDE" w:rsidRPr="00C065DD" w:rsidRDefault="004257F4" w:rsidP="00140A7B">
      <w:pPr>
        <w:pStyle w:val="NormalWeb"/>
        <w:shd w:val="clear" w:color="auto" w:fill="FFFFFF"/>
        <w:spacing w:before="0" w:beforeAutospacing="0" w:after="0" w:afterAutospacing="0"/>
        <w:jc w:val="both"/>
        <w:rPr>
          <w:rStyle w:val="Textoennegrita"/>
          <w:rFonts w:asciiTheme="minorHAnsi" w:hAnsiTheme="minorHAnsi" w:cstheme="minorHAnsi"/>
          <w:b w:val="0"/>
          <w:bCs w:val="0"/>
          <w:color w:val="171717"/>
        </w:rPr>
      </w:pPr>
      <w:r w:rsidRPr="00C065DD">
        <w:rPr>
          <w:rFonts w:asciiTheme="minorHAnsi" w:hAnsiTheme="minorHAnsi" w:cstheme="minorHAnsi"/>
          <w:shd w:val="clear" w:color="auto" w:fill="FFFFFF"/>
        </w:rPr>
        <w:t xml:space="preserve">Se pueden definir los edificios de consumo de energía casi nulo </w:t>
      </w:r>
      <w:proofErr w:type="spellStart"/>
      <w:r w:rsidRPr="00C065DD">
        <w:rPr>
          <w:rFonts w:asciiTheme="minorHAnsi" w:hAnsiTheme="minorHAnsi" w:cstheme="minorHAnsi"/>
          <w:shd w:val="clear" w:color="auto" w:fill="FFFFFF"/>
        </w:rPr>
        <w:t>nZEB</w:t>
      </w:r>
      <w:proofErr w:type="spellEnd"/>
      <w:r w:rsidRPr="00C065DD">
        <w:rPr>
          <w:rFonts w:asciiTheme="minorHAnsi" w:hAnsiTheme="minorHAnsi" w:cstheme="minorHAnsi"/>
          <w:shd w:val="clear" w:color="auto" w:fill="FFFFFF"/>
        </w:rPr>
        <w:t xml:space="preserve"> o edificios ECCN, como edificaciones que cumplen con un nivel muy alto de</w:t>
      </w:r>
      <w:r w:rsidRPr="00C065DD">
        <w:rPr>
          <w:rFonts w:asciiTheme="minorHAnsi" w:hAnsiTheme="minorHAnsi" w:cstheme="minorHAnsi"/>
          <w:b/>
          <w:bCs/>
          <w:shd w:val="clear" w:color="auto" w:fill="FFFFFF"/>
        </w:rPr>
        <w:t> </w:t>
      </w:r>
      <w:hyperlink r:id="rId97" w:tgtFrame="_blank" w:history="1">
        <w:r w:rsidRPr="00C065DD">
          <w:rPr>
            <w:rFonts w:asciiTheme="minorHAnsi" w:hAnsiTheme="minorHAnsi" w:cstheme="minorHAnsi"/>
            <w:shd w:val="clear" w:color="auto" w:fill="FFFFFF"/>
          </w:rPr>
          <w:t>eficiencia</w:t>
        </w:r>
        <w:r w:rsidRPr="00C065DD">
          <w:rPr>
            <w:rFonts w:asciiTheme="minorHAnsi" w:hAnsiTheme="minorHAnsi" w:cstheme="minorHAnsi"/>
            <w:b/>
            <w:bCs/>
            <w:shd w:val="clear" w:color="auto" w:fill="FFFFFF"/>
          </w:rPr>
          <w:t xml:space="preserve"> </w:t>
        </w:r>
        <w:r w:rsidRPr="00C065DD">
          <w:rPr>
            <w:rFonts w:asciiTheme="minorHAnsi" w:hAnsiTheme="minorHAnsi" w:cstheme="minorHAnsi"/>
            <w:shd w:val="clear" w:color="auto" w:fill="FFFFFF"/>
          </w:rPr>
          <w:t>energética</w:t>
        </w:r>
      </w:hyperlink>
      <w:r w:rsidRPr="00C065DD">
        <w:rPr>
          <w:rFonts w:asciiTheme="minorHAnsi" w:hAnsiTheme="minorHAnsi" w:cstheme="minorHAnsi"/>
          <w:shd w:val="clear" w:color="auto" w:fill="FFFFFF"/>
        </w:rPr>
        <w:t xml:space="preserve"> y confort. El consumo de energía es muy bajo y procedente en su mayoría de fuentes renovables in situ o del </w:t>
      </w:r>
      <w:r w:rsidRPr="00C065DD">
        <w:rPr>
          <w:rFonts w:asciiTheme="minorHAnsi" w:hAnsiTheme="minorHAnsi" w:cstheme="minorHAnsi"/>
          <w:color w:val="171717"/>
          <w:shd w:val="clear" w:color="auto" w:fill="FFFFFF"/>
        </w:rPr>
        <w:t>entorno.</w:t>
      </w:r>
      <w:r w:rsidR="00B1078A" w:rsidRPr="00C065DD">
        <w:rPr>
          <w:rFonts w:asciiTheme="minorHAnsi" w:hAnsiTheme="minorHAnsi" w:cstheme="minorHAnsi"/>
          <w:color w:val="171717"/>
          <w:shd w:val="clear" w:color="auto" w:fill="FFFFFF"/>
        </w:rPr>
        <w:t xml:space="preserve"> </w:t>
      </w:r>
      <w:r w:rsidRPr="00C065DD">
        <w:rPr>
          <w:rStyle w:val="Textoennegrita"/>
          <w:rFonts w:asciiTheme="minorHAnsi" w:hAnsiTheme="minorHAnsi" w:cstheme="minorHAnsi"/>
          <w:b w:val="0"/>
          <w:bCs w:val="0"/>
          <w:color w:val="171717"/>
        </w:rPr>
        <w:t xml:space="preserve">El estándar de edificios </w:t>
      </w:r>
      <w:proofErr w:type="spellStart"/>
      <w:r w:rsidRPr="00C065DD">
        <w:rPr>
          <w:rStyle w:val="Textoennegrita"/>
          <w:rFonts w:asciiTheme="minorHAnsi" w:hAnsiTheme="minorHAnsi" w:cstheme="minorHAnsi"/>
          <w:b w:val="0"/>
          <w:bCs w:val="0"/>
          <w:color w:val="171717"/>
        </w:rPr>
        <w:t>nZEB</w:t>
      </w:r>
      <w:proofErr w:type="spellEnd"/>
      <w:r w:rsidRPr="00C065DD">
        <w:rPr>
          <w:rStyle w:val="Textoennegrita"/>
          <w:rFonts w:asciiTheme="minorHAnsi" w:hAnsiTheme="minorHAnsi" w:cstheme="minorHAnsi"/>
          <w:color w:val="171717"/>
        </w:rPr>
        <w:t> </w:t>
      </w:r>
      <w:r w:rsidRPr="00C065DD">
        <w:rPr>
          <w:rFonts w:asciiTheme="minorHAnsi" w:hAnsiTheme="minorHAnsi" w:cstheme="minorHAnsi"/>
          <w:color w:val="171717"/>
        </w:rPr>
        <w:t>debe estar pensado para nuevas edificaciones y para rehabilitar las ya existentes. </w:t>
      </w:r>
    </w:p>
    <w:p w14:paraId="079B94CD" w14:textId="77777777" w:rsidR="00990DDE" w:rsidRPr="00C065DD" w:rsidRDefault="00990DDE" w:rsidP="00140A7B">
      <w:pPr>
        <w:pStyle w:val="NormalWeb"/>
        <w:shd w:val="clear" w:color="auto" w:fill="FFFFFF"/>
        <w:spacing w:before="0" w:beforeAutospacing="0" w:after="0" w:afterAutospacing="0"/>
        <w:jc w:val="both"/>
        <w:rPr>
          <w:rStyle w:val="Textoennegrita"/>
          <w:rFonts w:asciiTheme="minorHAnsi" w:hAnsiTheme="minorHAnsi" w:cstheme="minorHAnsi"/>
          <w:b w:val="0"/>
          <w:bCs w:val="0"/>
          <w:color w:val="171717"/>
        </w:rPr>
      </w:pPr>
    </w:p>
    <w:p w14:paraId="72780A82" w14:textId="2EC89776" w:rsidR="004257F4" w:rsidRPr="00C065DD" w:rsidRDefault="004257F4" w:rsidP="00140A7B">
      <w:pPr>
        <w:pStyle w:val="NormalWeb"/>
        <w:shd w:val="clear" w:color="auto" w:fill="FFFFFF"/>
        <w:spacing w:before="0" w:beforeAutospacing="0" w:after="0" w:afterAutospacing="0"/>
        <w:jc w:val="both"/>
        <w:rPr>
          <w:rFonts w:asciiTheme="minorHAnsi" w:hAnsiTheme="minorHAnsi" w:cstheme="minorHAnsi"/>
          <w:color w:val="171717"/>
        </w:rPr>
      </w:pPr>
      <w:r w:rsidRPr="00C065DD">
        <w:rPr>
          <w:rStyle w:val="Textoennegrita"/>
          <w:rFonts w:asciiTheme="minorHAnsi" w:hAnsiTheme="minorHAnsi" w:cstheme="minorHAnsi"/>
          <w:b w:val="0"/>
          <w:bCs w:val="0"/>
          <w:color w:val="171717"/>
        </w:rPr>
        <w:t>La rehabilitación</w:t>
      </w:r>
      <w:r w:rsidRPr="00C065DD">
        <w:rPr>
          <w:rStyle w:val="Textoennegrita"/>
          <w:rFonts w:asciiTheme="minorHAnsi" w:hAnsiTheme="minorHAnsi" w:cstheme="minorHAnsi"/>
          <w:color w:val="171717"/>
        </w:rPr>
        <w:t> </w:t>
      </w:r>
      <w:r w:rsidRPr="00C065DD">
        <w:rPr>
          <w:rFonts w:asciiTheme="minorHAnsi" w:hAnsiTheme="minorHAnsi" w:cstheme="minorHAnsi"/>
          <w:color w:val="171717"/>
        </w:rPr>
        <w:t xml:space="preserve">es un factor clave en este proceso. Según el </w:t>
      </w:r>
      <w:r w:rsidR="00521E66" w:rsidRPr="00C065DD">
        <w:rPr>
          <w:rFonts w:asciiTheme="minorHAnsi" w:hAnsiTheme="minorHAnsi" w:cstheme="minorHAnsi"/>
          <w:color w:val="171717"/>
        </w:rPr>
        <w:t xml:space="preserve">Instituto para la Diversificación y Ahorro de la Energía, </w:t>
      </w:r>
      <w:r w:rsidRPr="00C065DD">
        <w:rPr>
          <w:rFonts w:asciiTheme="minorHAnsi" w:hAnsiTheme="minorHAnsi" w:cstheme="minorHAnsi"/>
          <w:color w:val="171717"/>
        </w:rPr>
        <w:t>IDAE, en España más de la mitad de los edificios están construidos sin aislamiento térmico adecuado.</w:t>
      </w:r>
    </w:p>
    <w:p w14:paraId="2E4FA2EC" w14:textId="77777777" w:rsidR="00990DDE" w:rsidRPr="0051709F" w:rsidRDefault="00990DDE" w:rsidP="00140A7B">
      <w:pPr>
        <w:pStyle w:val="NormalWeb"/>
        <w:shd w:val="clear" w:color="auto" w:fill="FFFFFF"/>
        <w:spacing w:before="0" w:beforeAutospacing="0" w:after="0" w:afterAutospacing="0"/>
        <w:jc w:val="both"/>
        <w:rPr>
          <w:rFonts w:asciiTheme="minorHAnsi" w:hAnsiTheme="minorHAnsi" w:cstheme="minorHAnsi"/>
          <w:color w:val="171717"/>
        </w:rPr>
      </w:pPr>
    </w:p>
    <w:p w14:paraId="28F10613" w14:textId="77777777" w:rsidR="00990DDE" w:rsidRPr="0051709F" w:rsidRDefault="00990DDE" w:rsidP="00140A7B">
      <w:pPr>
        <w:pStyle w:val="NormalWeb"/>
        <w:shd w:val="clear" w:color="auto" w:fill="FFFFFF"/>
        <w:spacing w:before="0" w:beforeAutospacing="0" w:after="0" w:afterAutospacing="0"/>
        <w:jc w:val="both"/>
        <w:rPr>
          <w:rFonts w:asciiTheme="minorHAnsi" w:hAnsiTheme="minorHAnsi" w:cstheme="minorHAnsi"/>
          <w:color w:val="171717"/>
        </w:rPr>
      </w:pPr>
    </w:p>
    <w:p w14:paraId="02381DE2" w14:textId="77777777" w:rsidR="004257F4" w:rsidRPr="0051709F" w:rsidRDefault="004257F4" w:rsidP="00140A7B">
      <w:pPr>
        <w:jc w:val="both"/>
        <w:rPr>
          <w:rFonts w:cstheme="minorHAnsi"/>
        </w:rPr>
      </w:pPr>
      <w:r w:rsidRPr="0051709F">
        <w:rPr>
          <w:rFonts w:cstheme="minorHAnsi"/>
          <w:noProof/>
          <w:lang w:val="en-GB" w:eastAsia="en-GB"/>
        </w:rPr>
        <w:drawing>
          <wp:inline distT="0" distB="0" distL="0" distR="0" wp14:anchorId="6F77B2DE" wp14:editId="5E15CE8E">
            <wp:extent cx="5400040" cy="3185384"/>
            <wp:effectExtent l="0" t="0" r="0" b="0"/>
            <wp:docPr id="827327115" name="Imagen 827327115" descr="figu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a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3185384"/>
                    </a:xfrm>
                    <a:prstGeom prst="rect">
                      <a:avLst/>
                    </a:prstGeom>
                    <a:noFill/>
                    <a:ln>
                      <a:noFill/>
                    </a:ln>
                  </pic:spPr>
                </pic:pic>
              </a:graphicData>
            </a:graphic>
          </wp:inline>
        </w:drawing>
      </w:r>
    </w:p>
    <w:p w14:paraId="0AA7F79E" w14:textId="77777777" w:rsidR="00963319" w:rsidRPr="0051709F" w:rsidRDefault="00963319" w:rsidP="00140A7B">
      <w:pPr>
        <w:shd w:val="clear" w:color="auto" w:fill="FFFFFF"/>
        <w:jc w:val="both"/>
        <w:rPr>
          <w:rFonts w:eastAsia="Times New Roman" w:cstheme="minorHAnsi"/>
          <w:color w:val="171717"/>
          <w:lang w:eastAsia="es-ES"/>
        </w:rPr>
      </w:pPr>
    </w:p>
    <w:p w14:paraId="54E36B78" w14:textId="77777777" w:rsidR="00990DDE" w:rsidRPr="0051709F" w:rsidRDefault="00990DDE" w:rsidP="00140A7B">
      <w:pPr>
        <w:shd w:val="clear" w:color="auto" w:fill="FFFFFF"/>
        <w:jc w:val="both"/>
        <w:rPr>
          <w:rFonts w:eastAsia="Times New Roman" w:cstheme="minorHAnsi"/>
          <w:color w:val="171717"/>
          <w:lang w:eastAsia="es-ES"/>
        </w:rPr>
      </w:pPr>
    </w:p>
    <w:p w14:paraId="3DDF15EF" w14:textId="4182E04B" w:rsidR="004257F4" w:rsidRPr="007B667D" w:rsidRDefault="004257F4" w:rsidP="00140A7B">
      <w:pPr>
        <w:shd w:val="clear" w:color="auto" w:fill="FFFFFF"/>
        <w:jc w:val="both"/>
        <w:rPr>
          <w:rFonts w:cstheme="minorHAnsi"/>
          <w:i/>
          <w:iCs/>
        </w:rPr>
      </w:pPr>
      <w:r w:rsidRPr="007B667D">
        <w:rPr>
          <w:rFonts w:eastAsia="Times New Roman" w:cstheme="minorHAnsi"/>
          <w:i/>
          <w:iCs/>
          <w:color w:val="171717"/>
          <w:lang w:eastAsia="es-ES"/>
        </w:rPr>
        <w:t>2.2.- Reducción de las emisiones de CO2</w:t>
      </w:r>
    </w:p>
    <w:p w14:paraId="6E202E18" w14:textId="77777777" w:rsidR="00990DDE" w:rsidRPr="0051709F" w:rsidRDefault="00990DDE" w:rsidP="00140A7B">
      <w:pPr>
        <w:jc w:val="both"/>
        <w:rPr>
          <w:rFonts w:cstheme="minorHAnsi"/>
        </w:rPr>
      </w:pPr>
    </w:p>
    <w:p w14:paraId="23FE20DC" w14:textId="3FB862C0" w:rsidR="004257F4" w:rsidRPr="0051709F" w:rsidRDefault="004257F4" w:rsidP="00140A7B">
      <w:pPr>
        <w:jc w:val="both"/>
        <w:rPr>
          <w:rFonts w:cstheme="minorHAnsi"/>
        </w:rPr>
      </w:pPr>
      <w:r w:rsidRPr="0051709F">
        <w:rPr>
          <w:rFonts w:cstheme="minorHAnsi"/>
        </w:rPr>
        <w:t>En paralelo</w:t>
      </w:r>
      <w:r w:rsidR="00521E66">
        <w:rPr>
          <w:rFonts w:cstheme="minorHAnsi"/>
        </w:rPr>
        <w:t>,</w:t>
      </w:r>
      <w:r w:rsidRPr="0051709F">
        <w:rPr>
          <w:rFonts w:cstheme="minorHAnsi"/>
        </w:rPr>
        <w:t xml:space="preserve"> la aplicación de </w:t>
      </w:r>
      <w:r w:rsidRPr="0051709F">
        <w:rPr>
          <w:rFonts w:cstheme="minorHAnsi"/>
          <w:lang w:eastAsia="es-ES"/>
        </w:rPr>
        <w:t>La Ley 7/2021, de 20 de mayo</w:t>
      </w:r>
      <w:r w:rsidR="00521E66">
        <w:rPr>
          <w:rFonts w:cstheme="minorHAnsi"/>
          <w:lang w:eastAsia="es-ES"/>
        </w:rPr>
        <w:t>,</w:t>
      </w:r>
      <w:r w:rsidRPr="0051709F">
        <w:rPr>
          <w:rFonts w:cstheme="minorHAnsi"/>
          <w:lang w:eastAsia="es-ES"/>
        </w:rPr>
        <w:t xml:space="preserve"> de cambio climático y transición energética, tiene por objeto facilitar la descarbonización de la economía española y su transición a un modelo circular que garantice el uso racional de los recursos, así como la adaptación al cambio climático y la implantación de un modelo de desarrollo sostenible que genere empleo decente y contribuya a la reducción de las desigualdades.</w:t>
      </w:r>
      <w:r w:rsidR="00521E66">
        <w:rPr>
          <w:rFonts w:cstheme="minorHAnsi"/>
          <w:lang w:eastAsia="es-ES"/>
        </w:rPr>
        <w:t xml:space="preserve"> </w:t>
      </w:r>
      <w:r w:rsidRPr="0051709F">
        <w:rPr>
          <w:rFonts w:cstheme="minorHAnsi"/>
          <w:lang w:eastAsia="es-ES"/>
        </w:rPr>
        <w:t>La Ley plantea para el 2030 la </w:t>
      </w:r>
      <w:r w:rsidR="00521E66">
        <w:rPr>
          <w:rFonts w:eastAsia="Calibri" w:cstheme="minorHAnsi"/>
          <w:kern w:val="24"/>
        </w:rPr>
        <w:t>r</w:t>
      </w:r>
      <w:r w:rsidRPr="0051709F">
        <w:rPr>
          <w:rFonts w:eastAsia="Calibri" w:cstheme="minorHAnsi"/>
          <w:kern w:val="24"/>
        </w:rPr>
        <w:t>educción del 23% de emisiones respecto a 1990, el 42% de la energía debe ser renovable, el 39,5% de reducción de consumo de energía primaria y que el sistema eléctrico tenga al menos en origen, un 74% de energía renovales</w:t>
      </w:r>
    </w:p>
    <w:p w14:paraId="64DC5A92" w14:textId="77777777" w:rsidR="00963319" w:rsidRPr="0051709F" w:rsidRDefault="00963319" w:rsidP="00140A7B">
      <w:pPr>
        <w:pStyle w:val="NormalWeb"/>
        <w:spacing w:before="0" w:beforeAutospacing="0" w:after="0" w:afterAutospacing="0"/>
        <w:jc w:val="both"/>
        <w:rPr>
          <w:rFonts w:asciiTheme="minorHAnsi" w:hAnsiTheme="minorHAnsi" w:cstheme="minorHAnsi"/>
        </w:rPr>
      </w:pPr>
    </w:p>
    <w:p w14:paraId="673F6C37" w14:textId="6B9C43A7" w:rsidR="004257F4" w:rsidRPr="007B667D" w:rsidRDefault="004257F4" w:rsidP="00140A7B">
      <w:pPr>
        <w:pStyle w:val="NormalWeb"/>
        <w:spacing w:before="0" w:beforeAutospacing="0" w:after="0" w:afterAutospacing="0"/>
        <w:jc w:val="both"/>
        <w:rPr>
          <w:rFonts w:asciiTheme="minorHAnsi" w:hAnsiTheme="minorHAnsi" w:cstheme="minorHAnsi"/>
          <w:i/>
          <w:iCs/>
        </w:rPr>
      </w:pPr>
      <w:r w:rsidRPr="007B667D">
        <w:rPr>
          <w:rFonts w:asciiTheme="minorHAnsi" w:hAnsiTheme="minorHAnsi" w:cstheme="minorHAnsi"/>
          <w:i/>
          <w:iCs/>
        </w:rPr>
        <w:lastRenderedPageBreak/>
        <w:t>2.3.- Uso eficiente del agua</w:t>
      </w:r>
    </w:p>
    <w:p w14:paraId="6D4FFB89" w14:textId="77777777" w:rsidR="00990DDE" w:rsidRPr="0051709F" w:rsidRDefault="00990DDE" w:rsidP="00140A7B">
      <w:pPr>
        <w:pStyle w:val="NormalWeb"/>
        <w:overflowPunct w:val="0"/>
        <w:spacing w:before="0" w:beforeAutospacing="0" w:after="0" w:afterAutospacing="0"/>
        <w:jc w:val="both"/>
        <w:rPr>
          <w:rFonts w:asciiTheme="minorHAnsi" w:hAnsiTheme="minorHAnsi" w:cstheme="minorHAnsi"/>
          <w:color w:val="000000" w:themeColor="text1"/>
          <w:position w:val="1"/>
        </w:rPr>
      </w:pPr>
    </w:p>
    <w:p w14:paraId="0CC43A13" w14:textId="3EDC4349" w:rsidR="004257F4" w:rsidRPr="0051709F" w:rsidRDefault="004257F4" w:rsidP="00140A7B">
      <w:pPr>
        <w:pStyle w:val="NormalWeb"/>
        <w:overflowPunct w:val="0"/>
        <w:spacing w:before="0" w:beforeAutospacing="0" w:after="0" w:afterAutospacing="0"/>
        <w:jc w:val="both"/>
        <w:rPr>
          <w:rFonts w:asciiTheme="minorHAnsi" w:hAnsiTheme="minorHAnsi" w:cstheme="minorHAnsi"/>
          <w:color w:val="000000" w:themeColor="text1"/>
          <w:position w:val="1"/>
        </w:rPr>
      </w:pPr>
      <w:r w:rsidRPr="0051709F">
        <w:rPr>
          <w:rFonts w:asciiTheme="minorHAnsi" w:hAnsiTheme="minorHAnsi" w:cstheme="minorHAnsi"/>
          <w:color w:val="000000" w:themeColor="text1"/>
          <w:position w:val="1"/>
        </w:rPr>
        <w:t>El agua es un derecho humano, tal y como lo reconoce la ONU y esto significa que tiene que ser, suficiente, saludable, físicamente accesible y asequible.</w:t>
      </w:r>
      <w:r w:rsidR="00990DDE" w:rsidRPr="0051709F">
        <w:rPr>
          <w:rFonts w:asciiTheme="minorHAnsi" w:hAnsiTheme="minorHAnsi" w:cstheme="minorHAnsi"/>
          <w:color w:val="000000" w:themeColor="text1"/>
          <w:position w:val="1"/>
        </w:rPr>
        <w:t xml:space="preserve"> </w:t>
      </w:r>
      <w:r w:rsidRPr="0051709F">
        <w:rPr>
          <w:rFonts w:asciiTheme="minorHAnsi" w:hAnsiTheme="minorHAnsi" w:cstheme="minorHAnsi"/>
          <w:color w:val="000000" w:themeColor="text1"/>
          <w:position w:val="1"/>
        </w:rPr>
        <w:t>Es transversal, porque su escasez impacta a otros derechos fundamentales y es un elemento clave para alcanzar un desarrollo sostenible</w:t>
      </w:r>
      <w:r w:rsidR="00990DDE" w:rsidRPr="0051709F">
        <w:rPr>
          <w:rFonts w:asciiTheme="minorHAnsi" w:hAnsiTheme="minorHAnsi" w:cstheme="minorHAnsi"/>
          <w:color w:val="000000" w:themeColor="text1"/>
          <w:position w:val="1"/>
        </w:rPr>
        <w:t>.</w:t>
      </w:r>
    </w:p>
    <w:p w14:paraId="7102CE01" w14:textId="77777777" w:rsidR="00990DDE" w:rsidRPr="0051709F" w:rsidRDefault="00990DDE" w:rsidP="00140A7B">
      <w:pPr>
        <w:pStyle w:val="NormalWeb"/>
        <w:overflowPunct w:val="0"/>
        <w:spacing w:before="0" w:beforeAutospacing="0" w:after="0" w:afterAutospacing="0"/>
        <w:jc w:val="both"/>
        <w:rPr>
          <w:rFonts w:asciiTheme="minorHAnsi" w:hAnsiTheme="minorHAnsi" w:cstheme="minorHAnsi"/>
          <w:color w:val="000000" w:themeColor="text1"/>
          <w:position w:val="1"/>
        </w:rPr>
      </w:pPr>
    </w:p>
    <w:p w14:paraId="5EF49D67" w14:textId="435433BB" w:rsidR="004257F4" w:rsidRPr="0051709F" w:rsidRDefault="004257F4" w:rsidP="00140A7B">
      <w:pPr>
        <w:pStyle w:val="NormalWeb"/>
        <w:overflowPunct w:val="0"/>
        <w:spacing w:before="0" w:beforeAutospacing="0" w:after="0" w:afterAutospacing="0"/>
        <w:jc w:val="both"/>
        <w:rPr>
          <w:rFonts w:asciiTheme="minorHAnsi" w:hAnsiTheme="minorHAnsi" w:cstheme="minorHAnsi"/>
          <w:color w:val="000000" w:themeColor="text1"/>
          <w:position w:val="1"/>
        </w:rPr>
      </w:pPr>
      <w:r w:rsidRPr="0051709F">
        <w:rPr>
          <w:rFonts w:asciiTheme="minorHAnsi" w:hAnsiTheme="minorHAnsi" w:cstheme="minorHAnsi"/>
          <w:color w:val="000000" w:themeColor="text1"/>
          <w:position w:val="1"/>
        </w:rPr>
        <w:t xml:space="preserve">Según la </w:t>
      </w:r>
      <w:r w:rsidR="006D4843" w:rsidRPr="006D4843">
        <w:rPr>
          <w:rStyle w:val="rynqvb"/>
          <w:rFonts w:asciiTheme="minorHAnsi" w:hAnsiTheme="minorHAnsi" w:cstheme="minorHAnsi"/>
        </w:rPr>
        <w:t>Organización Mundial de la Salud</w:t>
      </w:r>
      <w:r w:rsidR="00521E66">
        <w:rPr>
          <w:rStyle w:val="rynqvb"/>
          <w:rFonts w:asciiTheme="minorHAnsi" w:hAnsiTheme="minorHAnsi" w:cstheme="minorHAnsi"/>
        </w:rPr>
        <w:t>,</w:t>
      </w:r>
      <w:r w:rsidR="006D4843" w:rsidRPr="006D4843">
        <w:rPr>
          <w:rStyle w:val="rynqvb"/>
          <w:rFonts w:asciiTheme="minorHAnsi" w:hAnsiTheme="minorHAnsi" w:cstheme="minorHAnsi"/>
        </w:rPr>
        <w:t xml:space="preserve"> </w:t>
      </w:r>
      <w:r w:rsidRPr="0051709F">
        <w:rPr>
          <w:rFonts w:asciiTheme="minorHAnsi" w:hAnsiTheme="minorHAnsi" w:cstheme="minorHAnsi"/>
          <w:color w:val="000000" w:themeColor="text1"/>
          <w:position w:val="1"/>
        </w:rPr>
        <w:t xml:space="preserve">el 55% de la población sufrirá estrés hídrico para el 2050 y la actividad física y el deporte es una gran consumidora para el propio desarrollo de muchos deportes. </w:t>
      </w:r>
    </w:p>
    <w:p w14:paraId="65CEB531" w14:textId="77777777" w:rsidR="00990DDE" w:rsidRPr="0051709F" w:rsidRDefault="00990DDE" w:rsidP="00140A7B">
      <w:pPr>
        <w:pStyle w:val="NormalWeb"/>
        <w:overflowPunct w:val="0"/>
        <w:spacing w:before="0" w:beforeAutospacing="0" w:after="0" w:afterAutospacing="0"/>
        <w:jc w:val="both"/>
        <w:rPr>
          <w:rFonts w:asciiTheme="minorHAnsi" w:hAnsiTheme="minorHAnsi" w:cstheme="minorHAnsi"/>
          <w:color w:val="000000" w:themeColor="text1"/>
          <w:position w:val="1"/>
        </w:rPr>
      </w:pPr>
    </w:p>
    <w:p w14:paraId="729E2374" w14:textId="77777777" w:rsidR="004257F4" w:rsidRPr="007B667D" w:rsidRDefault="004257F4" w:rsidP="00140A7B">
      <w:pPr>
        <w:jc w:val="both"/>
        <w:rPr>
          <w:rFonts w:cstheme="minorHAnsi"/>
          <w:i/>
          <w:iCs/>
        </w:rPr>
      </w:pPr>
      <w:r w:rsidRPr="007B667D">
        <w:rPr>
          <w:rFonts w:cstheme="minorHAnsi"/>
          <w:i/>
          <w:iCs/>
        </w:rPr>
        <w:t>2.4.- Los espacios deportivos como refugios climáticos</w:t>
      </w:r>
    </w:p>
    <w:p w14:paraId="287190A6" w14:textId="77777777" w:rsidR="00963319" w:rsidRPr="0051709F" w:rsidRDefault="00963319" w:rsidP="00140A7B">
      <w:pPr>
        <w:jc w:val="both"/>
        <w:rPr>
          <w:rFonts w:cstheme="minorHAnsi"/>
        </w:rPr>
      </w:pPr>
    </w:p>
    <w:p w14:paraId="5037B32B" w14:textId="0ACF7488" w:rsidR="004257F4" w:rsidRPr="0051709F" w:rsidRDefault="004257F4" w:rsidP="00140A7B">
      <w:pPr>
        <w:pStyle w:val="NormalWeb"/>
        <w:shd w:val="clear" w:color="auto" w:fill="FFFFFF"/>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Los refugios climáticos como </w:t>
      </w:r>
      <w:r w:rsidR="00521E66">
        <w:rPr>
          <w:rFonts w:asciiTheme="minorHAnsi" w:hAnsiTheme="minorHAnsi" w:cstheme="minorHAnsi"/>
        </w:rPr>
        <w:t xml:space="preserve">la </w:t>
      </w:r>
      <w:r w:rsidRPr="0051709F">
        <w:rPr>
          <w:rFonts w:asciiTheme="minorHAnsi" w:hAnsiTheme="minorHAnsi" w:cstheme="minorHAnsi"/>
        </w:rPr>
        <w:t xml:space="preserve">biblioteca, </w:t>
      </w:r>
      <w:r w:rsidR="00521E66">
        <w:rPr>
          <w:rFonts w:asciiTheme="minorHAnsi" w:hAnsiTheme="minorHAnsi" w:cstheme="minorHAnsi"/>
        </w:rPr>
        <w:t xml:space="preserve">los </w:t>
      </w:r>
      <w:r w:rsidRPr="0051709F">
        <w:rPr>
          <w:rFonts w:asciiTheme="minorHAnsi" w:hAnsiTheme="minorHAnsi" w:cstheme="minorHAnsi"/>
        </w:rPr>
        <w:t>complejos deportivos, museos o espacios ambientales, que proveerán confort térmico a los usuarios y que tiene una buena accesibilidad.  Son espacios que garantizan una calidad y seguridad climática especialmente para colectivos vulnerables y que aportan bienestar y protección.</w:t>
      </w:r>
    </w:p>
    <w:p w14:paraId="1346B539" w14:textId="77777777" w:rsidR="00963319" w:rsidRPr="0051709F" w:rsidRDefault="00963319" w:rsidP="00140A7B">
      <w:pPr>
        <w:jc w:val="both"/>
        <w:rPr>
          <w:rFonts w:cstheme="minorHAnsi"/>
        </w:rPr>
      </w:pPr>
    </w:p>
    <w:p w14:paraId="03E14AE5" w14:textId="53B641A6" w:rsidR="004257F4" w:rsidRPr="007B667D" w:rsidRDefault="004257F4" w:rsidP="00140A7B">
      <w:pPr>
        <w:jc w:val="both"/>
        <w:rPr>
          <w:rFonts w:cstheme="minorHAnsi"/>
          <w:i/>
          <w:iCs/>
        </w:rPr>
      </w:pPr>
      <w:r w:rsidRPr="007B667D">
        <w:rPr>
          <w:rFonts w:cstheme="minorHAnsi"/>
          <w:i/>
          <w:iCs/>
        </w:rPr>
        <w:t>2.5.- Espacios saludables</w:t>
      </w:r>
    </w:p>
    <w:p w14:paraId="5A868C6B" w14:textId="77777777" w:rsidR="00963319" w:rsidRPr="0051709F" w:rsidRDefault="004257F4" w:rsidP="00140A7B">
      <w:pPr>
        <w:jc w:val="both"/>
        <w:rPr>
          <w:rStyle w:val="Textoennegrita"/>
          <w:rFonts w:cstheme="minorHAnsi"/>
          <w:b w:val="0"/>
          <w:bCs w:val="0"/>
          <w:shd w:val="clear" w:color="auto" w:fill="FFFFFF"/>
        </w:rPr>
      </w:pPr>
      <w:r w:rsidRPr="0051709F">
        <w:rPr>
          <w:rStyle w:val="Textoennegrita"/>
          <w:rFonts w:cstheme="minorHAnsi"/>
          <w:b w:val="0"/>
          <w:bCs w:val="0"/>
          <w:shd w:val="clear" w:color="auto" w:fill="FFFFFF"/>
        </w:rPr>
        <w:t>La sostenibilidad no solo tiene que ver con evitar emisiones que perjudiquen al me</w:t>
      </w:r>
    </w:p>
    <w:p w14:paraId="2426636D" w14:textId="58B27587" w:rsidR="004257F4" w:rsidRPr="0051709F" w:rsidRDefault="004257F4" w:rsidP="00140A7B">
      <w:pPr>
        <w:jc w:val="both"/>
        <w:rPr>
          <w:rFonts w:cstheme="minorHAnsi"/>
        </w:rPr>
      </w:pPr>
      <w:r w:rsidRPr="0051709F">
        <w:rPr>
          <w:rFonts w:cstheme="minorHAnsi"/>
          <w:shd w:val="clear" w:color="auto" w:fill="FFFFFF"/>
        </w:rPr>
        <w:t>La Or</w:t>
      </w:r>
      <w:r w:rsidR="006D4843">
        <w:rPr>
          <w:rFonts w:cstheme="minorHAnsi"/>
          <w:shd w:val="clear" w:color="auto" w:fill="FFFFFF"/>
        </w:rPr>
        <w:t>ganización Mundial de la Salud</w:t>
      </w:r>
      <w:r w:rsidRPr="0051709F">
        <w:rPr>
          <w:rFonts w:cstheme="minorHAnsi"/>
          <w:shd w:val="clear" w:color="auto" w:fill="FFFFFF"/>
        </w:rPr>
        <w:t xml:space="preserve"> estima que</w:t>
      </w:r>
      <w:hyperlink r:id="rId99" w:tgtFrame="_blank" w:history="1">
        <w:r w:rsidRPr="0051709F">
          <w:rPr>
            <w:rFonts w:cstheme="minorHAnsi"/>
            <w:shd w:val="clear" w:color="auto" w:fill="FFFFFF"/>
          </w:rPr>
          <w:t> 12,6 millones de muertes al año están relacionadas con la interacción con espacios no saludables</w:t>
        </w:r>
      </w:hyperlink>
      <w:r w:rsidRPr="0051709F">
        <w:rPr>
          <w:rFonts w:cstheme="minorHAnsi"/>
          <w:shd w:val="clear" w:color="auto" w:fill="FFFFFF"/>
        </w:rPr>
        <w:t>. Aunque parte de ellas se atribuyen a la contaminación ambiental exterior, el organismo advierte de que existe una “necesidad urgente de invertir en estrategias para reducir los riesgos ambientales en nuestras ciudades, hogares y lugares de trabajo".</w:t>
      </w:r>
      <w:r w:rsidR="00521E66">
        <w:rPr>
          <w:rFonts w:cstheme="minorHAnsi"/>
          <w:shd w:val="clear" w:color="auto" w:fill="FFFFFF"/>
        </w:rPr>
        <w:t xml:space="preserve"> </w:t>
      </w:r>
      <w:r w:rsidRPr="0051709F">
        <w:rPr>
          <w:rFonts w:cstheme="minorHAnsi"/>
        </w:rPr>
        <w:t>La elección de los materiales, la ventilación, el aislamiento, la pintura, la humedad, el ruido, la iluminación, etc. son factores para tener en cuenta a la hora de crear un espacio sostenible y saludable.</w:t>
      </w:r>
    </w:p>
    <w:p w14:paraId="7DC7D5D7" w14:textId="77777777" w:rsidR="00963319" w:rsidRPr="0051709F" w:rsidRDefault="00963319" w:rsidP="00140A7B">
      <w:pPr>
        <w:jc w:val="both"/>
        <w:rPr>
          <w:rFonts w:cstheme="minorHAnsi"/>
        </w:rPr>
      </w:pPr>
    </w:p>
    <w:p w14:paraId="6FC122C3" w14:textId="1AA31776" w:rsidR="004257F4" w:rsidRPr="007B667D" w:rsidRDefault="004257F4" w:rsidP="00140A7B">
      <w:pPr>
        <w:jc w:val="both"/>
        <w:rPr>
          <w:rFonts w:cstheme="minorHAnsi"/>
          <w:i/>
          <w:iCs/>
        </w:rPr>
      </w:pPr>
      <w:r w:rsidRPr="007B667D">
        <w:rPr>
          <w:rFonts w:cstheme="minorHAnsi"/>
          <w:i/>
          <w:iCs/>
        </w:rPr>
        <w:t>2.6.- Entornos naturales e infraestructuras verdes</w:t>
      </w:r>
    </w:p>
    <w:p w14:paraId="2A50AEF7" w14:textId="77777777" w:rsidR="00963319" w:rsidRPr="0051709F" w:rsidRDefault="00963319" w:rsidP="00140A7B">
      <w:pPr>
        <w:jc w:val="both"/>
        <w:rPr>
          <w:rFonts w:cstheme="minorHAnsi"/>
        </w:rPr>
      </w:pPr>
    </w:p>
    <w:p w14:paraId="5F5F8EB2" w14:textId="0DBE1B62" w:rsidR="004257F4" w:rsidRPr="0051709F" w:rsidRDefault="004257F4" w:rsidP="00140A7B">
      <w:pPr>
        <w:jc w:val="both"/>
        <w:rPr>
          <w:rFonts w:cstheme="minorHAnsi"/>
        </w:rPr>
      </w:pPr>
      <w:r w:rsidRPr="0051709F">
        <w:rPr>
          <w:rFonts w:cstheme="minorHAnsi"/>
        </w:rPr>
        <w:t xml:space="preserve">El uso de los espacios exteriores, urbanos y rurales, están tomando una gran relevancia y cada vez son </w:t>
      </w:r>
      <w:r w:rsidR="00521E66">
        <w:rPr>
          <w:rFonts w:cstheme="minorHAnsi"/>
        </w:rPr>
        <w:t>más</w:t>
      </w:r>
      <w:r w:rsidR="00521E66" w:rsidRPr="0051709F">
        <w:rPr>
          <w:rFonts w:cstheme="minorHAnsi"/>
        </w:rPr>
        <w:t xml:space="preserve"> </w:t>
      </w:r>
      <w:r w:rsidRPr="0051709F">
        <w:rPr>
          <w:rFonts w:cstheme="minorHAnsi"/>
        </w:rPr>
        <w:t>utilizados. Los beneficios físicos y psicológicos son evidentes. Son espacios multifuncionales y que pueden fomenta</w:t>
      </w:r>
      <w:r w:rsidR="00521E66">
        <w:rPr>
          <w:rFonts w:cstheme="minorHAnsi"/>
        </w:rPr>
        <w:t>r</w:t>
      </w:r>
      <w:r w:rsidRPr="0051709F">
        <w:rPr>
          <w:rFonts w:cstheme="minorHAnsi"/>
        </w:rPr>
        <w:t>, más que otros, la actividad física.</w:t>
      </w:r>
    </w:p>
    <w:p w14:paraId="7E529FEA" w14:textId="77777777" w:rsidR="00963319" w:rsidRPr="0051709F" w:rsidRDefault="00963319" w:rsidP="00140A7B">
      <w:pPr>
        <w:jc w:val="both"/>
        <w:rPr>
          <w:rFonts w:cstheme="minorHAnsi"/>
        </w:rPr>
      </w:pPr>
    </w:p>
    <w:p w14:paraId="6FF2263E" w14:textId="77777777" w:rsidR="004257F4" w:rsidRPr="0051709F" w:rsidRDefault="004257F4" w:rsidP="00140A7B">
      <w:pPr>
        <w:jc w:val="both"/>
        <w:rPr>
          <w:rFonts w:cstheme="minorHAnsi"/>
          <w:shd w:val="clear" w:color="auto" w:fill="FFFFFF"/>
        </w:rPr>
      </w:pPr>
      <w:r w:rsidRPr="0051709F">
        <w:rPr>
          <w:rFonts w:cstheme="minorHAnsi"/>
          <w:shd w:val="clear" w:color="auto" w:fill="FFFFFF"/>
        </w:rPr>
        <w:t>La infraestructura verde es una red de zonas naturales y seminaturales y de otros elementos ambientales, planificada de forma estratégica, diseñada y gestionada para la prestación de una extensa gama de servicios ecosistémicos (Comisión Europea, 2013).</w:t>
      </w:r>
    </w:p>
    <w:p w14:paraId="6E2D6388" w14:textId="77777777" w:rsidR="00963319" w:rsidRPr="0051709F" w:rsidRDefault="00963319" w:rsidP="00140A7B">
      <w:pPr>
        <w:jc w:val="both"/>
        <w:rPr>
          <w:rFonts w:cstheme="minorHAnsi"/>
        </w:rPr>
      </w:pPr>
    </w:p>
    <w:p w14:paraId="37B201B9" w14:textId="649A9DF2" w:rsidR="004257F4" w:rsidRPr="0051709F" w:rsidRDefault="004257F4" w:rsidP="00140A7B">
      <w:pPr>
        <w:jc w:val="both"/>
        <w:rPr>
          <w:rFonts w:cstheme="minorHAnsi"/>
          <w:shd w:val="clear" w:color="auto" w:fill="FFFFFF"/>
        </w:rPr>
      </w:pPr>
      <w:r w:rsidRPr="0051709F">
        <w:rPr>
          <w:rFonts w:cstheme="minorHAnsi"/>
          <w:lang w:eastAsia="es-ES"/>
        </w:rPr>
        <w:t xml:space="preserve">La </w:t>
      </w:r>
      <w:r w:rsidRPr="0051709F">
        <w:rPr>
          <w:rFonts w:cstheme="minorHAnsi"/>
          <w:i/>
          <w:iCs/>
          <w:lang w:eastAsia="es-ES"/>
        </w:rPr>
        <w:t>Estrategia Nacional de Infraestructura Verde y de la Conectividad y Restauración</w:t>
      </w:r>
      <w:r w:rsidRPr="0051709F">
        <w:rPr>
          <w:rFonts w:cstheme="minorHAnsi"/>
          <w:lang w:eastAsia="es-ES"/>
        </w:rPr>
        <w:t xml:space="preserve"> </w:t>
      </w:r>
      <w:r w:rsidRPr="0051709F">
        <w:rPr>
          <w:rFonts w:cstheme="minorHAnsi"/>
          <w:shd w:val="clear" w:color="auto" w:fill="FFFFFF"/>
        </w:rPr>
        <w:t>entró en vigor el 14 de julio de 2021. Regula la implantación y el desarrollo de la Infraestructura Verde en España, incluyendo las aguas marítimas bajo soberanía o jurisdicción nacional.</w:t>
      </w:r>
    </w:p>
    <w:p w14:paraId="63404C7A" w14:textId="77777777" w:rsidR="004257F4" w:rsidRDefault="004257F4" w:rsidP="00140A7B">
      <w:pPr>
        <w:jc w:val="both"/>
        <w:rPr>
          <w:rFonts w:cstheme="minorHAnsi"/>
        </w:rPr>
      </w:pPr>
    </w:p>
    <w:p w14:paraId="656FFB12" w14:textId="77777777" w:rsidR="00734B90" w:rsidRDefault="00734B90" w:rsidP="00140A7B">
      <w:pPr>
        <w:jc w:val="both"/>
        <w:rPr>
          <w:rFonts w:cstheme="minorHAnsi"/>
        </w:rPr>
      </w:pPr>
    </w:p>
    <w:p w14:paraId="5667F707" w14:textId="77777777" w:rsidR="00734B90" w:rsidRDefault="00734B90" w:rsidP="00140A7B">
      <w:pPr>
        <w:jc w:val="both"/>
        <w:rPr>
          <w:rFonts w:cstheme="minorHAnsi"/>
        </w:rPr>
      </w:pPr>
    </w:p>
    <w:p w14:paraId="63086A19" w14:textId="77777777" w:rsidR="00734B90" w:rsidRPr="0051709F" w:rsidRDefault="00734B90" w:rsidP="00140A7B">
      <w:pPr>
        <w:jc w:val="both"/>
        <w:rPr>
          <w:rFonts w:cstheme="minorHAnsi"/>
        </w:rPr>
      </w:pPr>
    </w:p>
    <w:p w14:paraId="34C2D8FC" w14:textId="77777777" w:rsidR="004257F4" w:rsidRPr="0051709F" w:rsidRDefault="004257F4" w:rsidP="00140A7B">
      <w:pPr>
        <w:jc w:val="both"/>
        <w:rPr>
          <w:rFonts w:cstheme="minorHAnsi"/>
          <w:b/>
          <w:bCs/>
        </w:rPr>
      </w:pPr>
      <w:r w:rsidRPr="0051709F">
        <w:rPr>
          <w:rFonts w:cstheme="minorHAnsi"/>
          <w:b/>
          <w:bCs/>
        </w:rPr>
        <w:lastRenderedPageBreak/>
        <w:t>3. – OTROS RETOS QUE TIENEN IMPACTO EN LA CALIDAD DE LA ACTIVIDAD FÍSICA, EN LA SALUD Y EN EL MEDIOAMBIENTE</w:t>
      </w:r>
    </w:p>
    <w:p w14:paraId="4B6CCA1B" w14:textId="77777777" w:rsidR="00963319" w:rsidRPr="0051709F" w:rsidRDefault="00963319" w:rsidP="00140A7B">
      <w:pPr>
        <w:jc w:val="both"/>
        <w:rPr>
          <w:rFonts w:cstheme="minorHAnsi"/>
          <w:b/>
          <w:bCs/>
        </w:rPr>
      </w:pPr>
    </w:p>
    <w:p w14:paraId="320B0E45" w14:textId="77777777" w:rsidR="004257F4" w:rsidRPr="007B667D" w:rsidRDefault="004257F4" w:rsidP="00140A7B">
      <w:pPr>
        <w:jc w:val="both"/>
        <w:rPr>
          <w:rFonts w:cstheme="minorHAnsi"/>
          <w:i/>
          <w:iCs/>
        </w:rPr>
      </w:pPr>
      <w:r w:rsidRPr="007B667D">
        <w:rPr>
          <w:rFonts w:cstheme="minorHAnsi"/>
          <w:i/>
          <w:iCs/>
        </w:rPr>
        <w:t>3.1.- Residuo cero</w:t>
      </w:r>
    </w:p>
    <w:p w14:paraId="39B679AB" w14:textId="77777777" w:rsidR="00963319" w:rsidRPr="0051709F" w:rsidRDefault="00963319" w:rsidP="00140A7B">
      <w:pPr>
        <w:jc w:val="both"/>
        <w:rPr>
          <w:rFonts w:cstheme="minorHAnsi"/>
          <w:shd w:val="clear" w:color="auto" w:fill="FFFFFF"/>
        </w:rPr>
      </w:pPr>
    </w:p>
    <w:p w14:paraId="6D2F34EC" w14:textId="4CE9A046" w:rsidR="004257F4" w:rsidRPr="0051709F" w:rsidRDefault="004257F4" w:rsidP="00140A7B">
      <w:pPr>
        <w:jc w:val="both"/>
        <w:rPr>
          <w:rFonts w:cstheme="minorHAnsi"/>
          <w:i/>
          <w:iCs/>
          <w:shd w:val="clear" w:color="auto" w:fill="FFFFFF"/>
        </w:rPr>
      </w:pPr>
      <w:r w:rsidRPr="0051709F">
        <w:rPr>
          <w:rFonts w:cstheme="minorHAnsi"/>
          <w:shd w:val="clear" w:color="auto" w:fill="FFFFFF"/>
        </w:rPr>
        <w:t xml:space="preserve">Según la Alianza Internacional </w:t>
      </w:r>
      <w:r w:rsidRPr="00734B90">
        <w:rPr>
          <w:rFonts w:cstheme="minorHAnsi"/>
          <w:i/>
          <w:iCs/>
          <w:shd w:val="clear" w:color="auto" w:fill="FFFFFF"/>
        </w:rPr>
        <w:t xml:space="preserve">Zero </w:t>
      </w:r>
      <w:proofErr w:type="spellStart"/>
      <w:r w:rsidRPr="00734B90">
        <w:rPr>
          <w:rFonts w:cstheme="minorHAnsi"/>
          <w:i/>
          <w:iCs/>
          <w:shd w:val="clear" w:color="auto" w:fill="FFFFFF"/>
        </w:rPr>
        <w:t>Waste</w:t>
      </w:r>
      <w:proofErr w:type="spellEnd"/>
      <w:r w:rsidRPr="0051709F">
        <w:rPr>
          <w:rFonts w:cstheme="minorHAnsi"/>
          <w:shd w:val="clear" w:color="auto" w:fill="FFFFFF"/>
        </w:rPr>
        <w:t xml:space="preserve"> (ZWIA), se trata de lograr </w:t>
      </w:r>
      <w:r w:rsidRPr="0051709F">
        <w:rPr>
          <w:rFonts w:cstheme="minorHAnsi"/>
          <w:i/>
          <w:iCs/>
          <w:shd w:val="clear" w:color="auto" w:fill="FFFFFF"/>
        </w:rPr>
        <w:t>“la conservación de todos los recursos mediante la producción, el consumo, la reutilización y la recuperación responsable de todos los productos, embalajes y materiales, sin quemarlos y sin vertidos al suelo, al agua o al aire para que no amenacen el </w:t>
      </w:r>
      <w:hyperlink r:id="rId100" w:history="1">
        <w:r w:rsidRPr="0051709F">
          <w:rPr>
            <w:rFonts w:cstheme="minorHAnsi"/>
            <w:i/>
            <w:iCs/>
            <w:shd w:val="clear" w:color="auto" w:fill="FFFFFF"/>
          </w:rPr>
          <w:t>medioambiente</w:t>
        </w:r>
      </w:hyperlink>
      <w:r w:rsidRPr="0051709F">
        <w:rPr>
          <w:rFonts w:cstheme="minorHAnsi"/>
          <w:i/>
          <w:iCs/>
          <w:shd w:val="clear" w:color="auto" w:fill="FFFFFF"/>
        </w:rPr>
        <w:t> o la salud humana”.</w:t>
      </w:r>
    </w:p>
    <w:p w14:paraId="73CB01BB" w14:textId="77777777" w:rsidR="00990DDE" w:rsidRPr="0051709F" w:rsidRDefault="00990DDE" w:rsidP="00140A7B">
      <w:pPr>
        <w:jc w:val="both"/>
        <w:rPr>
          <w:rFonts w:cstheme="minorHAnsi"/>
          <w:i/>
          <w:iCs/>
          <w:shd w:val="clear" w:color="auto" w:fill="FFFFFF"/>
        </w:rPr>
      </w:pPr>
    </w:p>
    <w:p w14:paraId="470E22FE" w14:textId="77777777" w:rsidR="004257F4" w:rsidRPr="0051709F" w:rsidRDefault="004257F4" w:rsidP="00140A7B">
      <w:pPr>
        <w:jc w:val="both"/>
        <w:rPr>
          <w:rFonts w:cstheme="minorHAnsi"/>
          <w:shd w:val="clear" w:color="auto" w:fill="FFFFFF"/>
        </w:rPr>
      </w:pPr>
      <w:r w:rsidRPr="0051709F">
        <w:rPr>
          <w:rFonts w:cstheme="minorHAnsi"/>
          <w:shd w:val="clear" w:color="auto" w:fill="FFFFFF"/>
        </w:rPr>
        <w:t xml:space="preserve">La basura es un problema de salud para las personas, de salud medioambiental y de desperdicio de recursos materiales, agua y energía. </w:t>
      </w:r>
    </w:p>
    <w:p w14:paraId="24102A77" w14:textId="77777777" w:rsidR="00990DDE" w:rsidRPr="0051709F" w:rsidRDefault="00990DDE" w:rsidP="00140A7B">
      <w:pPr>
        <w:jc w:val="both"/>
        <w:rPr>
          <w:rFonts w:cstheme="minorHAnsi"/>
          <w:color w:val="000000"/>
          <w:shd w:val="clear" w:color="auto" w:fill="FFFFFF"/>
        </w:rPr>
      </w:pPr>
    </w:p>
    <w:p w14:paraId="04613B6D" w14:textId="0DFA3542" w:rsidR="004257F4" w:rsidRPr="0051709F" w:rsidRDefault="004257F4" w:rsidP="00140A7B">
      <w:pPr>
        <w:jc w:val="both"/>
        <w:rPr>
          <w:rFonts w:cstheme="minorHAnsi"/>
          <w:color w:val="000000"/>
          <w:shd w:val="clear" w:color="auto" w:fill="FFFFFF"/>
        </w:rPr>
      </w:pPr>
      <w:r w:rsidRPr="0051709F">
        <w:rPr>
          <w:rFonts w:cstheme="minorHAnsi"/>
          <w:color w:val="000000"/>
          <w:shd w:val="clear" w:color="auto" w:fill="FFFFFF"/>
        </w:rPr>
        <w:t xml:space="preserve">Según datos de </w:t>
      </w:r>
      <w:proofErr w:type="spellStart"/>
      <w:r w:rsidRPr="0051709F">
        <w:rPr>
          <w:rFonts w:cstheme="minorHAnsi"/>
          <w:i/>
          <w:iCs/>
          <w:color w:val="000000"/>
          <w:shd w:val="clear" w:color="auto" w:fill="FFFFFF"/>
        </w:rPr>
        <w:t>National</w:t>
      </w:r>
      <w:proofErr w:type="spellEnd"/>
      <w:r w:rsidRPr="0051709F">
        <w:rPr>
          <w:rFonts w:cstheme="minorHAnsi"/>
          <w:i/>
          <w:iCs/>
          <w:color w:val="000000"/>
          <w:shd w:val="clear" w:color="auto" w:fill="FFFFFF"/>
        </w:rPr>
        <w:t xml:space="preserve"> </w:t>
      </w:r>
      <w:proofErr w:type="spellStart"/>
      <w:r w:rsidRPr="0051709F">
        <w:rPr>
          <w:rFonts w:cstheme="minorHAnsi"/>
          <w:i/>
          <w:iCs/>
          <w:color w:val="000000"/>
          <w:shd w:val="clear" w:color="auto" w:fill="FFFFFF"/>
        </w:rPr>
        <w:t>Geographic</w:t>
      </w:r>
      <w:proofErr w:type="spellEnd"/>
      <w:r w:rsidRPr="0051709F">
        <w:rPr>
          <w:rFonts w:cstheme="minorHAnsi"/>
          <w:color w:val="000000"/>
          <w:shd w:val="clear" w:color="auto" w:fill="FFFFFF"/>
        </w:rPr>
        <w:t>, cada año se producen entre </w:t>
      </w:r>
      <w:r w:rsidRPr="0051709F">
        <w:rPr>
          <w:rStyle w:val="Textoennegrita"/>
          <w:rFonts w:cstheme="minorHAnsi"/>
          <w:b w:val="0"/>
          <w:bCs w:val="0"/>
          <w:color w:val="000000"/>
          <w:shd w:val="clear" w:color="auto" w:fill="FFFFFF"/>
        </w:rPr>
        <w:t>7.000 y 10.000 millones de toneladas de residuos</w:t>
      </w:r>
      <w:r w:rsidRPr="0051709F">
        <w:rPr>
          <w:rFonts w:cstheme="minorHAnsi"/>
          <w:b/>
          <w:bCs/>
          <w:color w:val="000000"/>
          <w:shd w:val="clear" w:color="auto" w:fill="FFFFFF"/>
        </w:rPr>
        <w:t> </w:t>
      </w:r>
      <w:r w:rsidRPr="0051709F">
        <w:rPr>
          <w:rFonts w:cstheme="minorHAnsi"/>
          <w:color w:val="000000"/>
          <w:shd w:val="clear" w:color="auto" w:fill="FFFFFF"/>
        </w:rPr>
        <w:t>en todo el mundo, de los cuales</w:t>
      </w:r>
      <w:r w:rsidR="00521E66">
        <w:rPr>
          <w:rFonts w:cstheme="minorHAnsi"/>
          <w:color w:val="000000"/>
          <w:shd w:val="clear" w:color="auto" w:fill="FFFFFF"/>
        </w:rPr>
        <w:t>,</w:t>
      </w:r>
      <w:r w:rsidRPr="0051709F">
        <w:rPr>
          <w:rFonts w:cstheme="minorHAnsi"/>
          <w:color w:val="000000"/>
          <w:shd w:val="clear" w:color="auto" w:fill="FFFFFF"/>
        </w:rPr>
        <w:t xml:space="preserve"> entre 300 y 500 millones son residuos peligrosos, es decir, tóxicos, inflamables, explosivos, corrosivos o con riesgo biológico. </w:t>
      </w:r>
    </w:p>
    <w:p w14:paraId="791EFA78" w14:textId="77777777" w:rsidR="00963319" w:rsidRPr="0051709F" w:rsidRDefault="00963319" w:rsidP="00140A7B">
      <w:pPr>
        <w:jc w:val="both"/>
        <w:rPr>
          <w:rFonts w:cstheme="minorHAnsi"/>
          <w:shd w:val="clear" w:color="auto" w:fill="FFFFFF"/>
        </w:rPr>
      </w:pPr>
    </w:p>
    <w:p w14:paraId="21316D36" w14:textId="142C31FE" w:rsidR="004257F4" w:rsidRPr="0051709F" w:rsidRDefault="004257F4" w:rsidP="00140A7B">
      <w:pPr>
        <w:jc w:val="both"/>
        <w:rPr>
          <w:rFonts w:cstheme="minorHAnsi"/>
        </w:rPr>
      </w:pPr>
      <w:r w:rsidRPr="0051709F">
        <w:rPr>
          <w:rFonts w:cstheme="minorHAnsi"/>
          <w:shd w:val="clear" w:color="auto" w:fill="FFFFFF"/>
        </w:rPr>
        <w:t xml:space="preserve">Esta crisis de la basura implica a la industria </w:t>
      </w:r>
      <w:r w:rsidR="00521E66">
        <w:rPr>
          <w:rFonts w:cstheme="minorHAnsi"/>
          <w:shd w:val="clear" w:color="auto" w:fill="FFFFFF"/>
        </w:rPr>
        <w:t xml:space="preserve">del deporte </w:t>
      </w:r>
      <w:r w:rsidRPr="0051709F">
        <w:rPr>
          <w:rFonts w:cstheme="minorHAnsi"/>
          <w:shd w:val="clear" w:color="auto" w:fill="FFFFFF"/>
        </w:rPr>
        <w:t xml:space="preserve">y a todos los ciudadanos, y necesita medidas urgentes.  </w:t>
      </w:r>
    </w:p>
    <w:p w14:paraId="092BE3F8" w14:textId="77777777" w:rsidR="00963319" w:rsidRPr="0051709F" w:rsidRDefault="00963319" w:rsidP="00140A7B">
      <w:pPr>
        <w:jc w:val="both"/>
        <w:rPr>
          <w:rFonts w:cstheme="minorHAnsi"/>
        </w:rPr>
      </w:pPr>
    </w:p>
    <w:p w14:paraId="00377555" w14:textId="347BB718" w:rsidR="004257F4" w:rsidRPr="007B667D" w:rsidRDefault="004257F4" w:rsidP="00140A7B">
      <w:pPr>
        <w:jc w:val="both"/>
        <w:rPr>
          <w:rFonts w:cstheme="minorHAnsi"/>
          <w:i/>
          <w:iCs/>
        </w:rPr>
      </w:pPr>
      <w:r w:rsidRPr="007B667D">
        <w:rPr>
          <w:rFonts w:cstheme="minorHAnsi"/>
          <w:i/>
          <w:iCs/>
        </w:rPr>
        <w:t>3.2.- Sensibilización, formación y educación</w:t>
      </w:r>
    </w:p>
    <w:p w14:paraId="5D30B325" w14:textId="77777777" w:rsidR="00963319" w:rsidRPr="0051709F" w:rsidRDefault="00963319" w:rsidP="00140A7B">
      <w:pPr>
        <w:jc w:val="both"/>
        <w:rPr>
          <w:rFonts w:cstheme="minorHAnsi"/>
        </w:rPr>
      </w:pPr>
    </w:p>
    <w:p w14:paraId="6A9CE0A5" w14:textId="73D5692C" w:rsidR="004257F4" w:rsidRPr="0051709F" w:rsidRDefault="004257F4" w:rsidP="00140A7B">
      <w:pPr>
        <w:jc w:val="both"/>
        <w:rPr>
          <w:rFonts w:cstheme="minorHAnsi"/>
        </w:rPr>
      </w:pPr>
      <w:r w:rsidRPr="0051709F">
        <w:rPr>
          <w:rFonts w:cstheme="minorHAnsi"/>
        </w:rPr>
        <w:t xml:space="preserve">Estamos ante unos retos nuevos que afectan directamente a la salud de las personas, del planeta y al desarrollo de la actividad física y deportiva. Para afrontar esta transformación se necesita incorporar el conocimiento necesario en todos los ámbitos de formación de profesionales que forman parte del ecosistema del deporte.    </w:t>
      </w:r>
    </w:p>
    <w:p w14:paraId="5ABCFA15" w14:textId="77777777" w:rsidR="00963319" w:rsidRPr="0051709F" w:rsidRDefault="00963319" w:rsidP="00140A7B">
      <w:pPr>
        <w:jc w:val="both"/>
        <w:rPr>
          <w:rFonts w:cstheme="minorHAnsi"/>
        </w:rPr>
      </w:pPr>
    </w:p>
    <w:p w14:paraId="1F62FE93" w14:textId="30557D84" w:rsidR="004257F4" w:rsidRPr="007B667D" w:rsidRDefault="004257F4" w:rsidP="00140A7B">
      <w:pPr>
        <w:jc w:val="both"/>
        <w:rPr>
          <w:rFonts w:cstheme="minorHAnsi"/>
          <w:i/>
          <w:iCs/>
        </w:rPr>
      </w:pPr>
      <w:r w:rsidRPr="007B667D">
        <w:rPr>
          <w:rFonts w:cstheme="minorHAnsi"/>
          <w:i/>
          <w:iCs/>
        </w:rPr>
        <w:t>3.3.- Investigación</w:t>
      </w:r>
    </w:p>
    <w:p w14:paraId="1A58A7A5" w14:textId="77777777" w:rsidR="00963319" w:rsidRPr="0051709F" w:rsidRDefault="00963319" w:rsidP="00140A7B">
      <w:pPr>
        <w:jc w:val="both"/>
        <w:rPr>
          <w:rFonts w:cstheme="minorHAnsi"/>
        </w:rPr>
      </w:pPr>
    </w:p>
    <w:p w14:paraId="33CD0D18" w14:textId="3DFA406A" w:rsidR="004257F4" w:rsidRPr="0051709F" w:rsidRDefault="004257F4" w:rsidP="00140A7B">
      <w:pPr>
        <w:jc w:val="both"/>
        <w:rPr>
          <w:rFonts w:cstheme="minorHAnsi"/>
        </w:rPr>
      </w:pPr>
      <w:r w:rsidRPr="0051709F">
        <w:rPr>
          <w:rFonts w:cstheme="minorHAnsi"/>
        </w:rPr>
        <w:t>La incorporación de la sostenibilidad al sector deportivo, como hemos dicho anteriormente, es reciente y desigual. Por ello necesitamos conocimiento sectorial, de su impacto real en el medioambiente, de los riesgos que afectan y afectarán al deporte y a las personas que lo realizan</w:t>
      </w:r>
      <w:r w:rsidR="00521E66">
        <w:rPr>
          <w:rFonts w:cstheme="minorHAnsi"/>
        </w:rPr>
        <w:t>,</w:t>
      </w:r>
      <w:r w:rsidRPr="0051709F">
        <w:rPr>
          <w:rFonts w:cstheme="minorHAnsi"/>
        </w:rPr>
        <w:t xml:space="preserve"> y de los impactos ambientales en la salud de las personas que realizan actividad física, entre otros</w:t>
      </w:r>
      <w:r w:rsidR="00521E66">
        <w:rPr>
          <w:rFonts w:cstheme="minorHAnsi"/>
        </w:rPr>
        <w:t>.</w:t>
      </w:r>
    </w:p>
    <w:p w14:paraId="5C7C1454" w14:textId="77777777" w:rsidR="004257F4" w:rsidRPr="0051709F" w:rsidRDefault="004257F4" w:rsidP="00140A7B">
      <w:pPr>
        <w:jc w:val="both"/>
        <w:rPr>
          <w:rFonts w:cstheme="minorHAnsi"/>
        </w:rPr>
      </w:pPr>
    </w:p>
    <w:p w14:paraId="2CC4E965" w14:textId="77777777" w:rsidR="00C458C1" w:rsidRPr="0051709F" w:rsidRDefault="00C458C1" w:rsidP="00C458C1">
      <w:pPr>
        <w:rPr>
          <w:rFonts w:cstheme="minorHAnsi"/>
        </w:rPr>
      </w:pPr>
    </w:p>
    <w:p w14:paraId="25FD3DCD" w14:textId="77777777" w:rsidR="00C458C1" w:rsidRPr="0051709F" w:rsidRDefault="00C458C1" w:rsidP="00140A7B">
      <w:pPr>
        <w:jc w:val="both"/>
        <w:rPr>
          <w:rFonts w:cstheme="minorHAnsi"/>
          <w:b/>
          <w:bCs/>
          <w:color w:val="000000" w:themeColor="text1"/>
        </w:rPr>
      </w:pPr>
    </w:p>
    <w:p w14:paraId="45364FB1" w14:textId="699FCDB3" w:rsidR="003906F1" w:rsidRPr="0051709F" w:rsidRDefault="003906F1" w:rsidP="00140A7B">
      <w:pPr>
        <w:jc w:val="both"/>
        <w:rPr>
          <w:rFonts w:cstheme="minorHAnsi"/>
        </w:rPr>
      </w:pPr>
      <w:r w:rsidRPr="0051709F">
        <w:rPr>
          <w:rFonts w:cstheme="minorHAnsi"/>
        </w:rPr>
        <w:br w:type="page"/>
      </w:r>
    </w:p>
    <w:p w14:paraId="37A4F2DF" w14:textId="77777777" w:rsidR="00332D86" w:rsidRDefault="00332D86" w:rsidP="003906F1">
      <w:pPr>
        <w:pStyle w:val="Ttulo1"/>
        <w:rPr>
          <w:rFonts w:asciiTheme="minorHAnsi" w:hAnsiTheme="minorHAnsi" w:cstheme="minorHAnsi"/>
          <w:sz w:val="28"/>
          <w:szCs w:val="28"/>
        </w:rPr>
      </w:pPr>
    </w:p>
    <w:p w14:paraId="5DECD69E" w14:textId="77777777" w:rsidR="00332D86" w:rsidRDefault="00332D86" w:rsidP="003906F1">
      <w:pPr>
        <w:pStyle w:val="Ttulo1"/>
        <w:rPr>
          <w:rFonts w:asciiTheme="minorHAnsi" w:hAnsiTheme="minorHAnsi" w:cstheme="minorHAnsi"/>
          <w:sz w:val="28"/>
          <w:szCs w:val="28"/>
        </w:rPr>
      </w:pPr>
    </w:p>
    <w:p w14:paraId="26EF5FFB" w14:textId="77777777" w:rsidR="00332D86" w:rsidRDefault="00332D86" w:rsidP="003906F1">
      <w:pPr>
        <w:pStyle w:val="Ttulo1"/>
        <w:rPr>
          <w:rFonts w:asciiTheme="minorHAnsi" w:hAnsiTheme="minorHAnsi" w:cstheme="minorHAnsi"/>
          <w:sz w:val="28"/>
          <w:szCs w:val="28"/>
        </w:rPr>
      </w:pPr>
    </w:p>
    <w:p w14:paraId="2213D88A" w14:textId="77777777" w:rsidR="00332D86" w:rsidRDefault="00332D86" w:rsidP="003906F1">
      <w:pPr>
        <w:pStyle w:val="Ttulo1"/>
        <w:rPr>
          <w:rFonts w:asciiTheme="minorHAnsi" w:hAnsiTheme="minorHAnsi" w:cstheme="minorHAnsi"/>
          <w:sz w:val="28"/>
          <w:szCs w:val="28"/>
        </w:rPr>
      </w:pPr>
    </w:p>
    <w:p w14:paraId="7F20B484" w14:textId="77777777" w:rsidR="00332D86" w:rsidRDefault="00332D86" w:rsidP="003906F1">
      <w:pPr>
        <w:pStyle w:val="Ttulo1"/>
        <w:rPr>
          <w:rFonts w:asciiTheme="minorHAnsi" w:hAnsiTheme="minorHAnsi" w:cstheme="minorHAnsi"/>
          <w:sz w:val="28"/>
          <w:szCs w:val="28"/>
        </w:rPr>
      </w:pPr>
    </w:p>
    <w:p w14:paraId="13EF5B48" w14:textId="77777777" w:rsidR="00332D86" w:rsidRDefault="00332D86" w:rsidP="003906F1">
      <w:pPr>
        <w:pStyle w:val="Ttulo1"/>
        <w:rPr>
          <w:rFonts w:asciiTheme="minorHAnsi" w:hAnsiTheme="minorHAnsi" w:cstheme="minorHAnsi"/>
          <w:sz w:val="28"/>
          <w:szCs w:val="28"/>
        </w:rPr>
      </w:pPr>
    </w:p>
    <w:p w14:paraId="34F96AC1" w14:textId="77777777" w:rsidR="00332D86" w:rsidRDefault="00332D86" w:rsidP="003906F1">
      <w:pPr>
        <w:pStyle w:val="Ttulo1"/>
        <w:rPr>
          <w:rFonts w:asciiTheme="minorHAnsi" w:hAnsiTheme="minorHAnsi" w:cstheme="minorHAnsi"/>
          <w:sz w:val="28"/>
          <w:szCs w:val="28"/>
        </w:rPr>
      </w:pPr>
    </w:p>
    <w:p w14:paraId="799EBC41" w14:textId="77777777" w:rsidR="00332D86" w:rsidRDefault="00332D86" w:rsidP="003906F1">
      <w:pPr>
        <w:pStyle w:val="Ttulo1"/>
        <w:rPr>
          <w:rFonts w:asciiTheme="minorHAnsi" w:hAnsiTheme="minorHAnsi" w:cstheme="minorHAnsi"/>
          <w:sz w:val="28"/>
          <w:szCs w:val="28"/>
        </w:rPr>
      </w:pPr>
    </w:p>
    <w:p w14:paraId="44D089E9" w14:textId="77777777" w:rsidR="00332D86" w:rsidRDefault="00332D86" w:rsidP="003906F1">
      <w:pPr>
        <w:pStyle w:val="Ttulo1"/>
        <w:rPr>
          <w:rFonts w:asciiTheme="minorHAnsi" w:hAnsiTheme="minorHAnsi" w:cstheme="minorHAnsi"/>
          <w:sz w:val="28"/>
          <w:szCs w:val="28"/>
        </w:rPr>
      </w:pPr>
    </w:p>
    <w:p w14:paraId="4846B6A3" w14:textId="77777777" w:rsidR="00332D86" w:rsidRDefault="00332D86" w:rsidP="003906F1">
      <w:pPr>
        <w:pStyle w:val="Ttulo1"/>
        <w:rPr>
          <w:rFonts w:asciiTheme="minorHAnsi" w:hAnsiTheme="minorHAnsi" w:cstheme="minorHAnsi"/>
          <w:sz w:val="28"/>
          <w:szCs w:val="28"/>
        </w:rPr>
      </w:pPr>
    </w:p>
    <w:p w14:paraId="40C6DC13" w14:textId="77777777" w:rsidR="00332D86" w:rsidRDefault="00332D86" w:rsidP="003906F1">
      <w:pPr>
        <w:pStyle w:val="Ttulo1"/>
        <w:rPr>
          <w:rFonts w:asciiTheme="minorHAnsi" w:hAnsiTheme="minorHAnsi" w:cstheme="minorHAnsi"/>
          <w:sz w:val="28"/>
          <w:szCs w:val="28"/>
        </w:rPr>
      </w:pPr>
    </w:p>
    <w:p w14:paraId="12F1E68E" w14:textId="77777777" w:rsidR="00332D86" w:rsidRDefault="00332D86" w:rsidP="003906F1">
      <w:pPr>
        <w:pStyle w:val="Ttulo1"/>
        <w:rPr>
          <w:rFonts w:asciiTheme="minorHAnsi" w:hAnsiTheme="minorHAnsi" w:cstheme="minorHAnsi"/>
          <w:sz w:val="28"/>
          <w:szCs w:val="28"/>
        </w:rPr>
      </w:pPr>
    </w:p>
    <w:p w14:paraId="1336D30C" w14:textId="77777777" w:rsidR="00332D86" w:rsidRDefault="00332D86" w:rsidP="003906F1">
      <w:pPr>
        <w:pStyle w:val="Ttulo1"/>
        <w:rPr>
          <w:rFonts w:asciiTheme="minorHAnsi" w:hAnsiTheme="minorHAnsi" w:cstheme="minorHAnsi"/>
          <w:sz w:val="28"/>
          <w:szCs w:val="28"/>
        </w:rPr>
      </w:pPr>
    </w:p>
    <w:p w14:paraId="13F547B8" w14:textId="77777777" w:rsidR="00332D86" w:rsidRDefault="00332D86" w:rsidP="003906F1">
      <w:pPr>
        <w:pStyle w:val="Ttulo1"/>
        <w:rPr>
          <w:rFonts w:asciiTheme="minorHAnsi" w:hAnsiTheme="minorHAnsi" w:cstheme="minorHAnsi"/>
          <w:sz w:val="28"/>
          <w:szCs w:val="28"/>
        </w:rPr>
      </w:pPr>
    </w:p>
    <w:p w14:paraId="54A30AA9" w14:textId="77777777" w:rsidR="00332D86" w:rsidRDefault="00332D86" w:rsidP="00332D86"/>
    <w:p w14:paraId="6EFAD4F2" w14:textId="77777777" w:rsidR="00332D86" w:rsidRPr="00332D86" w:rsidRDefault="00332D86" w:rsidP="00332D86"/>
    <w:p w14:paraId="48996B1D" w14:textId="4FBAE9C5" w:rsidR="00332D86" w:rsidRPr="00332D86" w:rsidRDefault="00332D86" w:rsidP="00332D86">
      <w:pPr>
        <w:pStyle w:val="Ttulo1"/>
        <w:jc w:val="right"/>
        <w:rPr>
          <w:rFonts w:asciiTheme="minorHAnsi" w:hAnsiTheme="minorHAnsi" w:cstheme="minorHAnsi"/>
        </w:rPr>
      </w:pPr>
      <w:r w:rsidRPr="00332D86">
        <w:rPr>
          <w:rFonts w:asciiTheme="minorHAnsi" w:hAnsiTheme="minorHAnsi" w:cstheme="minorHAnsi"/>
        </w:rPr>
        <w:t>#</w:t>
      </w:r>
      <w:r w:rsidR="00143228">
        <w:rPr>
          <w:rFonts w:asciiTheme="minorHAnsi" w:hAnsiTheme="minorHAnsi" w:cstheme="minorHAnsi"/>
        </w:rPr>
        <w:t>5</w:t>
      </w:r>
      <w:r w:rsidRPr="00332D86">
        <w:rPr>
          <w:rFonts w:asciiTheme="minorHAnsi" w:hAnsiTheme="minorHAnsi" w:cstheme="minorHAnsi"/>
        </w:rPr>
        <w:t>.</w:t>
      </w:r>
      <w:r w:rsidR="00143228">
        <w:rPr>
          <w:rFonts w:asciiTheme="minorHAnsi" w:hAnsiTheme="minorHAnsi" w:cstheme="minorHAnsi"/>
        </w:rPr>
        <w:t>5</w:t>
      </w:r>
      <w:r w:rsidRPr="00332D86">
        <w:rPr>
          <w:rFonts w:asciiTheme="minorHAnsi" w:hAnsiTheme="minorHAnsi" w:cstheme="minorHAnsi"/>
        </w:rPr>
        <w:t xml:space="preserve"> Área de acción 4:</w:t>
      </w:r>
    </w:p>
    <w:p w14:paraId="17F9FEBB" w14:textId="52BA1A8D" w:rsidR="00332D86" w:rsidRPr="00332D86" w:rsidRDefault="00332D86" w:rsidP="00332D86">
      <w:pPr>
        <w:pStyle w:val="Ttulo1"/>
        <w:jc w:val="right"/>
        <w:rPr>
          <w:rFonts w:asciiTheme="minorHAnsi" w:hAnsiTheme="minorHAnsi" w:cstheme="minorHAnsi"/>
        </w:rPr>
      </w:pPr>
      <w:r w:rsidRPr="00332D86">
        <w:rPr>
          <w:rFonts w:asciiTheme="minorHAnsi" w:hAnsiTheme="minorHAnsi" w:cstheme="minorHAnsi"/>
        </w:rPr>
        <w:t xml:space="preserve">Intervenciones en los entornos laborales </w:t>
      </w:r>
    </w:p>
    <w:p w14:paraId="09DDAB1C" w14:textId="77777777" w:rsidR="00332D86" w:rsidRDefault="00332D86" w:rsidP="003906F1">
      <w:pPr>
        <w:pStyle w:val="Ttulo1"/>
        <w:rPr>
          <w:rFonts w:asciiTheme="minorHAnsi" w:hAnsiTheme="minorHAnsi" w:cstheme="minorHAnsi"/>
          <w:sz w:val="28"/>
          <w:szCs w:val="28"/>
        </w:rPr>
      </w:pPr>
    </w:p>
    <w:p w14:paraId="44C66F39" w14:textId="77777777" w:rsidR="00332D86" w:rsidRDefault="00332D86" w:rsidP="00332D86"/>
    <w:p w14:paraId="6CA24882" w14:textId="77777777" w:rsidR="00332D86" w:rsidRDefault="00332D86" w:rsidP="00332D86"/>
    <w:p w14:paraId="172F4DC8" w14:textId="77777777" w:rsidR="00332D86" w:rsidRDefault="00332D86" w:rsidP="00332D86"/>
    <w:p w14:paraId="6469E040" w14:textId="77777777" w:rsidR="00332D86" w:rsidRDefault="00332D86" w:rsidP="00332D86"/>
    <w:p w14:paraId="6CD0DF3C" w14:textId="77777777" w:rsidR="00332D86" w:rsidRDefault="00332D86" w:rsidP="00332D86"/>
    <w:p w14:paraId="3940E744" w14:textId="77777777" w:rsidR="00332D86" w:rsidRDefault="00332D86" w:rsidP="00332D86"/>
    <w:p w14:paraId="1A3B1840" w14:textId="77777777" w:rsidR="00332D86" w:rsidRDefault="00332D86" w:rsidP="00332D86"/>
    <w:p w14:paraId="6577A76B" w14:textId="77777777" w:rsidR="00332D86" w:rsidRDefault="00332D86" w:rsidP="00332D86"/>
    <w:p w14:paraId="59C56166" w14:textId="77777777" w:rsidR="00332D86" w:rsidRDefault="00332D86" w:rsidP="00332D86"/>
    <w:p w14:paraId="36377849" w14:textId="77777777" w:rsidR="00332D86" w:rsidRDefault="00332D86" w:rsidP="00332D86"/>
    <w:p w14:paraId="0633E85E" w14:textId="77777777" w:rsidR="00332D86" w:rsidRDefault="00332D86" w:rsidP="00332D86"/>
    <w:p w14:paraId="36B65930" w14:textId="77777777" w:rsidR="00332D86" w:rsidRDefault="00332D86" w:rsidP="00332D86"/>
    <w:p w14:paraId="137FDE10" w14:textId="77777777" w:rsidR="00332D86" w:rsidRDefault="00332D86" w:rsidP="00332D86"/>
    <w:p w14:paraId="05982B6E" w14:textId="77777777" w:rsidR="00332D86" w:rsidRPr="00332D86" w:rsidRDefault="00332D86" w:rsidP="00332D86"/>
    <w:p w14:paraId="289996B6" w14:textId="3A323454" w:rsidR="002773E8" w:rsidRPr="00734B90" w:rsidRDefault="00380C49" w:rsidP="003906F1">
      <w:pPr>
        <w:pStyle w:val="Ttulo1"/>
        <w:rPr>
          <w:rFonts w:asciiTheme="minorHAnsi" w:hAnsiTheme="minorHAnsi" w:cstheme="minorHAnsi"/>
          <w:sz w:val="28"/>
          <w:szCs w:val="28"/>
        </w:rPr>
      </w:pPr>
      <w:r w:rsidRPr="00734B90">
        <w:rPr>
          <w:rFonts w:asciiTheme="minorHAnsi" w:hAnsiTheme="minorHAnsi" w:cstheme="minorHAnsi"/>
          <w:sz w:val="28"/>
          <w:szCs w:val="28"/>
        </w:rPr>
        <w:t>#</w:t>
      </w:r>
      <w:r w:rsidR="00330A24">
        <w:rPr>
          <w:rFonts w:asciiTheme="minorHAnsi" w:hAnsiTheme="minorHAnsi" w:cstheme="minorHAnsi"/>
          <w:sz w:val="28"/>
          <w:szCs w:val="28"/>
        </w:rPr>
        <w:t>5.5</w:t>
      </w:r>
      <w:r w:rsidRPr="00734B90">
        <w:rPr>
          <w:rFonts w:asciiTheme="minorHAnsi" w:hAnsiTheme="minorHAnsi" w:cstheme="minorHAnsi"/>
          <w:sz w:val="28"/>
          <w:szCs w:val="28"/>
        </w:rPr>
        <w:t xml:space="preserve"> Área de acción </w:t>
      </w:r>
      <w:r w:rsidR="00734B90" w:rsidRPr="00734B90">
        <w:rPr>
          <w:rFonts w:asciiTheme="minorHAnsi" w:hAnsiTheme="minorHAnsi" w:cstheme="minorHAnsi"/>
          <w:sz w:val="28"/>
          <w:szCs w:val="28"/>
        </w:rPr>
        <w:t>4</w:t>
      </w:r>
      <w:r w:rsidRPr="00734B90">
        <w:rPr>
          <w:rFonts w:asciiTheme="minorHAnsi" w:hAnsiTheme="minorHAnsi" w:cstheme="minorHAnsi"/>
          <w:sz w:val="28"/>
          <w:szCs w:val="28"/>
        </w:rPr>
        <w:t xml:space="preserve">: Intervenciones en los entornos laborales </w:t>
      </w:r>
    </w:p>
    <w:p w14:paraId="106AF812" w14:textId="77777777" w:rsidR="00CD50C9" w:rsidRPr="0051709F" w:rsidRDefault="00CD50C9" w:rsidP="00CD50C9">
      <w:pPr>
        <w:autoSpaceDE w:val="0"/>
        <w:autoSpaceDN w:val="0"/>
        <w:adjustRightInd w:val="0"/>
        <w:jc w:val="both"/>
        <w:rPr>
          <w:rFonts w:cstheme="minorHAnsi"/>
        </w:rPr>
      </w:pPr>
    </w:p>
    <w:p w14:paraId="72BB8E92" w14:textId="77777777" w:rsidR="00CD50C9" w:rsidRPr="0051709F" w:rsidRDefault="00CD50C9" w:rsidP="003906F1">
      <w:pPr>
        <w:pStyle w:val="Ttulo2"/>
        <w:numPr>
          <w:ilvl w:val="0"/>
          <w:numId w:val="0"/>
        </w:numPr>
        <w:rPr>
          <w:rFonts w:asciiTheme="minorHAnsi" w:eastAsia="Montserrat" w:hAnsiTheme="minorHAnsi" w:cstheme="minorHAnsi"/>
          <w:sz w:val="24"/>
          <w:szCs w:val="24"/>
          <w:lang w:val="es-ES"/>
        </w:rPr>
      </w:pPr>
      <w:r w:rsidRPr="0051709F">
        <w:rPr>
          <w:rFonts w:asciiTheme="minorHAnsi" w:hAnsiTheme="minorHAnsi" w:cstheme="minorHAnsi"/>
          <w:sz w:val="24"/>
          <w:szCs w:val="24"/>
          <w:lang w:val="es-ES"/>
        </w:rPr>
        <w:t>El reto de la inactividad física y el sedentarismo en el entorno laboral</w:t>
      </w:r>
    </w:p>
    <w:p w14:paraId="2059748C" w14:textId="77777777" w:rsidR="00CD50C9" w:rsidRPr="0051709F" w:rsidRDefault="00CD50C9" w:rsidP="00CD50C9">
      <w:pPr>
        <w:autoSpaceDE w:val="0"/>
        <w:autoSpaceDN w:val="0"/>
        <w:adjustRightInd w:val="0"/>
        <w:jc w:val="both"/>
        <w:rPr>
          <w:rFonts w:cstheme="minorHAnsi"/>
        </w:rPr>
      </w:pPr>
    </w:p>
    <w:p w14:paraId="22D8DBEE" w14:textId="77777777" w:rsidR="00CD50C9" w:rsidRPr="0051709F" w:rsidRDefault="00CD50C9" w:rsidP="00CD50C9">
      <w:pPr>
        <w:jc w:val="both"/>
        <w:rPr>
          <w:rFonts w:cstheme="minorHAnsi"/>
        </w:rPr>
      </w:pPr>
      <w:r w:rsidRPr="0051709F">
        <w:rPr>
          <w:rFonts w:cstheme="minorHAnsi"/>
        </w:rPr>
        <w:t xml:space="preserve">La Organización Mundial de la Salud considera que los programas de salud en el lugar de trabajo son una de las mejores opciones para prevenir y controlar las enfermedades no transmisibles y la salud mental. El fomento de la actividad física en el lugar de trabajo puede beneficiar a las empresas en términos de retención de los trabajadores, reducción de las ausencias por enfermedad y aumento de la productividad. Los trabajadores pueden beneficiarse de una menor incidencia de problemas crónicos de salud, una reducción del estrés y una mejora de la salud mental. </w:t>
      </w:r>
    </w:p>
    <w:p w14:paraId="7479EE5C" w14:textId="77777777" w:rsidR="00CD50C9" w:rsidRPr="0051709F" w:rsidRDefault="00CD50C9" w:rsidP="00CD50C9">
      <w:pPr>
        <w:autoSpaceDE w:val="0"/>
        <w:autoSpaceDN w:val="0"/>
        <w:adjustRightInd w:val="0"/>
        <w:jc w:val="both"/>
        <w:rPr>
          <w:rFonts w:cstheme="minorHAnsi"/>
          <w:color w:val="000000" w:themeColor="text1"/>
        </w:rPr>
      </w:pPr>
    </w:p>
    <w:p w14:paraId="04BA2268" w14:textId="51EBD919"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En un interesante informe denominado </w:t>
      </w:r>
      <w:r w:rsidRPr="0051709F">
        <w:rPr>
          <w:rFonts w:cstheme="minorHAnsi"/>
          <w:i/>
          <w:iCs/>
          <w:color w:val="000000" w:themeColor="text1"/>
        </w:rPr>
        <w:t>“La prevención de los efectos sobre la salud derivados del trabajo sedentario en jóvenes asociado a las nuevas tecnologías”,</w:t>
      </w:r>
      <w:r w:rsidRPr="0051709F">
        <w:rPr>
          <w:rFonts w:cstheme="minorHAnsi"/>
          <w:color w:val="000000" w:themeColor="text1"/>
        </w:rPr>
        <w:t xml:space="preserve"> publicado en el 2018 por el Instituto Nacional de Seguridad y Salud en el Trabajo (INSST), y elaborado por los doctores Giráldez y </w:t>
      </w:r>
      <w:proofErr w:type="spellStart"/>
      <w:r w:rsidRPr="0051709F">
        <w:rPr>
          <w:rFonts w:cstheme="minorHAnsi"/>
          <w:color w:val="000000" w:themeColor="text1"/>
        </w:rPr>
        <w:t>Tarducci</w:t>
      </w:r>
      <w:proofErr w:type="spellEnd"/>
      <w:r w:rsidRPr="0051709F">
        <w:rPr>
          <w:rFonts w:cstheme="minorHAnsi"/>
          <w:color w:val="000000" w:themeColor="text1"/>
        </w:rPr>
        <w:t>, se planteaban una serie de cuestiones y reflexiones relevantes sobre la situación actual en nuestro país</w:t>
      </w:r>
      <w:r w:rsidR="00A858EF">
        <w:rPr>
          <w:rFonts w:cstheme="minorHAnsi"/>
          <w:color w:val="000000" w:themeColor="text1"/>
        </w:rPr>
        <w:t xml:space="preserve"> en este ámbito</w:t>
      </w:r>
      <w:r w:rsidRPr="0051709F">
        <w:rPr>
          <w:rFonts w:cstheme="minorHAnsi"/>
          <w:color w:val="000000" w:themeColor="text1"/>
        </w:rPr>
        <w:t>.</w:t>
      </w:r>
    </w:p>
    <w:p w14:paraId="73C6A14E" w14:textId="77777777" w:rsidR="00CD50C9" w:rsidRPr="0051709F" w:rsidRDefault="00CD50C9" w:rsidP="00CD50C9">
      <w:pPr>
        <w:autoSpaceDE w:val="0"/>
        <w:autoSpaceDN w:val="0"/>
        <w:adjustRightInd w:val="0"/>
        <w:jc w:val="both"/>
        <w:rPr>
          <w:rFonts w:cstheme="minorHAnsi"/>
          <w:color w:val="000000" w:themeColor="text1"/>
        </w:rPr>
      </w:pPr>
    </w:p>
    <w:p w14:paraId="26273003" w14:textId="77777777" w:rsidR="00CD50C9" w:rsidRPr="0051709F" w:rsidRDefault="00CD50C9" w:rsidP="00CD50C9">
      <w:pPr>
        <w:autoSpaceDE w:val="0"/>
        <w:autoSpaceDN w:val="0"/>
        <w:adjustRightInd w:val="0"/>
        <w:jc w:val="both"/>
        <w:rPr>
          <w:rFonts w:cstheme="minorHAnsi"/>
        </w:rPr>
      </w:pPr>
      <w:r w:rsidRPr="0051709F">
        <w:rPr>
          <w:rFonts w:cstheme="minorHAnsi"/>
          <w:color w:val="000000" w:themeColor="text1"/>
        </w:rPr>
        <w:t xml:space="preserve">Así, </w:t>
      </w:r>
      <w:r w:rsidRPr="0051709F">
        <w:rPr>
          <w:rFonts w:cstheme="minorHAnsi"/>
          <w:i/>
          <w:iCs/>
          <w:color w:val="000000" w:themeColor="text1"/>
        </w:rPr>
        <w:t>“</w:t>
      </w:r>
      <w:r w:rsidRPr="0051709F">
        <w:rPr>
          <w:rFonts w:cstheme="minorHAnsi"/>
          <w:i/>
          <w:iCs/>
        </w:rPr>
        <w:t>los entornos laborales han cambiado radicalmente en las últimas décadas, y buena parte de esos cambios están relacionados con la instauración global de las nuevas tecnologías. Además de transformar las formas de organización y de producción de bienes y servicios, las nuevas tecnologías generan nuevas dinámicas de trabajo que están influyendo de forma determinante en la salud de las personas trabajadoras. Y esto se manifiesta especialmente en las personas más jóvenes, muchas de las cuales sólo han trabajado en este mundo en el que las tecnologías son el eje conector de las relaciones interpersonales y con el entorno</w:t>
      </w:r>
      <w:r w:rsidRPr="0051709F">
        <w:rPr>
          <w:rFonts w:cstheme="minorHAnsi"/>
        </w:rPr>
        <w:t xml:space="preserve">” (Giráldez, </w:t>
      </w:r>
      <w:proofErr w:type="spellStart"/>
      <w:r w:rsidRPr="0051709F">
        <w:rPr>
          <w:rFonts w:cstheme="minorHAnsi"/>
        </w:rPr>
        <w:t>Tarducci</w:t>
      </w:r>
      <w:proofErr w:type="spellEnd"/>
      <w:r w:rsidRPr="0051709F">
        <w:rPr>
          <w:rFonts w:cstheme="minorHAnsi"/>
        </w:rPr>
        <w:t>, 2018).</w:t>
      </w:r>
    </w:p>
    <w:p w14:paraId="4869B489" w14:textId="77777777" w:rsidR="00CD50C9" w:rsidRPr="0051709F" w:rsidRDefault="00CD50C9" w:rsidP="00CD50C9">
      <w:pPr>
        <w:autoSpaceDE w:val="0"/>
        <w:autoSpaceDN w:val="0"/>
        <w:adjustRightInd w:val="0"/>
        <w:jc w:val="both"/>
        <w:rPr>
          <w:rFonts w:cstheme="minorHAnsi"/>
          <w:color w:val="000000" w:themeColor="text1"/>
        </w:rPr>
      </w:pPr>
    </w:p>
    <w:p w14:paraId="1A3FD69F"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El aumento del sedentarismo y la inactividad física son dos de los principales problemas de salud de las personas trabajadoras provocados por la irrupción de las nuevas tecnologías. Según los autores, </w:t>
      </w:r>
      <w:r w:rsidRPr="0051709F">
        <w:rPr>
          <w:rFonts w:cstheme="minorHAnsi"/>
          <w:i/>
          <w:iCs/>
          <w:color w:val="000000" w:themeColor="text1"/>
        </w:rPr>
        <w:t>“hoy es habitual que muchas personas trabajadoras pasen muchas horas sentadas de forma continua durante su jornada laboral, y a esto se añade la práctica insuficiente de actividad física tanto en el trabajo como en los desplazamientos o los tiempos de ocio. Y esta situación tiene profundas y graves consecuencias en la salud de la población”</w:t>
      </w:r>
      <w:r w:rsidRPr="0051709F">
        <w:rPr>
          <w:rFonts w:cstheme="minorHAnsi"/>
          <w:color w:val="000000" w:themeColor="text1"/>
        </w:rPr>
        <w:t xml:space="preserve"> </w:t>
      </w:r>
      <w:r w:rsidRPr="0051709F">
        <w:rPr>
          <w:rFonts w:cstheme="minorHAnsi"/>
        </w:rPr>
        <w:t xml:space="preserve">(Giráldez, </w:t>
      </w:r>
      <w:proofErr w:type="spellStart"/>
      <w:r w:rsidRPr="0051709F">
        <w:rPr>
          <w:rFonts w:cstheme="minorHAnsi"/>
        </w:rPr>
        <w:t>Tarducci</w:t>
      </w:r>
      <w:proofErr w:type="spellEnd"/>
      <w:r w:rsidRPr="0051709F">
        <w:rPr>
          <w:rFonts w:cstheme="minorHAnsi"/>
        </w:rPr>
        <w:t>, 2018).</w:t>
      </w:r>
    </w:p>
    <w:p w14:paraId="1E1945FD" w14:textId="77777777" w:rsidR="00CD50C9" w:rsidRPr="0051709F" w:rsidRDefault="00CD50C9" w:rsidP="00CD50C9">
      <w:pPr>
        <w:autoSpaceDE w:val="0"/>
        <w:autoSpaceDN w:val="0"/>
        <w:adjustRightInd w:val="0"/>
        <w:jc w:val="both"/>
        <w:rPr>
          <w:rFonts w:cstheme="minorHAnsi"/>
          <w:color w:val="000000" w:themeColor="text1"/>
        </w:rPr>
      </w:pPr>
    </w:p>
    <w:p w14:paraId="480D15AD" w14:textId="1E638475"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El trabajo ocupa un lugar destacado en la vida de las personas, e inevitablemente forma parte y condiciona su estilo de vida. Al menos un tercio del tiempo total y la mitad del que las personas pasan en vigilia está dedicado a la vida laboral. El trabajo influye y condiciona la salud y la calidad de vida de muchas personas. Según la </w:t>
      </w:r>
      <w:r w:rsidRPr="0051709F">
        <w:rPr>
          <w:rFonts w:cstheme="minorHAnsi"/>
          <w:i/>
          <w:iCs/>
          <w:color w:val="000000" w:themeColor="text1"/>
        </w:rPr>
        <w:t>Encuesta Nacional de Condiciones de Trabajo. 2015/6ª EWCS – España</w:t>
      </w:r>
      <w:r w:rsidRPr="0051709F">
        <w:rPr>
          <w:rFonts w:cstheme="minorHAnsi"/>
          <w:color w:val="000000" w:themeColor="text1"/>
        </w:rPr>
        <w:t xml:space="preserve"> (</w:t>
      </w:r>
      <w:r w:rsidRPr="0051709F">
        <w:rPr>
          <w:rFonts w:cstheme="minorHAnsi"/>
        </w:rPr>
        <w:t>Instituto Nacional de Seguridad e Higiene en el Trabajo</w:t>
      </w:r>
      <w:r w:rsidRPr="0051709F">
        <w:rPr>
          <w:rFonts w:cstheme="minorHAnsi"/>
          <w:color w:val="000000" w:themeColor="text1"/>
        </w:rPr>
        <w:t xml:space="preserve">, 2017), referida a datos del año 2015, el 45% de las personas considera que el trabajo influye sobre su salud: el 7% dice que influye positivamente, mientras que el 38% opina que lo hace negativamente. Esta percepción negativa en la relación es más frecuente entre los hombres y los trabajadores de más edad. </w:t>
      </w:r>
    </w:p>
    <w:p w14:paraId="39055FD2" w14:textId="77777777" w:rsidR="00CD50C9" w:rsidRPr="0051709F" w:rsidRDefault="00CD50C9" w:rsidP="00CD50C9">
      <w:pPr>
        <w:autoSpaceDE w:val="0"/>
        <w:autoSpaceDN w:val="0"/>
        <w:adjustRightInd w:val="0"/>
        <w:jc w:val="both"/>
        <w:rPr>
          <w:rFonts w:cstheme="minorHAnsi"/>
        </w:rPr>
      </w:pPr>
      <w:r w:rsidRPr="0051709F">
        <w:rPr>
          <w:rFonts w:cstheme="minorHAnsi"/>
        </w:rPr>
        <w:lastRenderedPageBreak/>
        <w:t xml:space="preserve">Según los datos de España de ESENER </w:t>
      </w:r>
      <w:r w:rsidRPr="0051709F">
        <w:rPr>
          <w:rFonts w:cstheme="minorHAnsi"/>
          <w:i/>
          <w:iCs/>
        </w:rPr>
        <w:t>(Encuesta Europea de Empresas sobre riesgos nuevos y emergentes) 2019</w:t>
      </w:r>
      <w:r w:rsidRPr="0051709F">
        <w:rPr>
          <w:rFonts w:cstheme="minorHAnsi"/>
        </w:rPr>
        <w:t>, publicada en el 2020, los factores de riesgos que las empresas han señalado con más frecuencia son aquellos del bloque de riesgos ergonómicos, seguido de un riesgo del bloque psicosocial. De todos ellos, el más frecuente es precisamente el pasar mucho tiempo sentado/a:</w:t>
      </w:r>
    </w:p>
    <w:p w14:paraId="1E39CA31" w14:textId="77777777" w:rsidR="00CD50C9" w:rsidRPr="0051709F" w:rsidRDefault="00CD50C9" w:rsidP="00CD50C9">
      <w:pPr>
        <w:autoSpaceDE w:val="0"/>
        <w:autoSpaceDN w:val="0"/>
        <w:adjustRightInd w:val="0"/>
        <w:jc w:val="both"/>
        <w:rPr>
          <w:rFonts w:cstheme="minorHAnsi"/>
        </w:rPr>
      </w:pPr>
      <w:r w:rsidRPr="0051709F">
        <w:rPr>
          <w:rFonts w:cstheme="minorHAnsi"/>
        </w:rPr>
        <w:t xml:space="preserve"> </w:t>
      </w:r>
    </w:p>
    <w:p w14:paraId="2A0E778B" w14:textId="24F5F0DB" w:rsidR="00CD50C9" w:rsidRPr="0051709F" w:rsidRDefault="00CD50C9" w:rsidP="00E6399B">
      <w:pPr>
        <w:pStyle w:val="Prrafodelista"/>
        <w:numPr>
          <w:ilvl w:val="0"/>
          <w:numId w:val="94"/>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Largos periodos en posición sentada (72,8%)</w:t>
      </w:r>
      <w:r w:rsidR="00A858EF">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w:t>
      </w:r>
    </w:p>
    <w:p w14:paraId="080CDCC0" w14:textId="5985822F" w:rsidR="00CD50C9" w:rsidRPr="0051709F" w:rsidRDefault="00CD50C9" w:rsidP="00E6399B">
      <w:pPr>
        <w:pStyle w:val="Prrafodelista"/>
        <w:numPr>
          <w:ilvl w:val="0"/>
          <w:numId w:val="94"/>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Movimientos repetitivos de mano o brazo (72,2%)</w:t>
      </w:r>
      <w:r w:rsidR="00A858EF">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w:t>
      </w:r>
    </w:p>
    <w:p w14:paraId="707D6FA3" w14:textId="60489D51" w:rsidR="00CD50C9" w:rsidRPr="0051709F" w:rsidRDefault="00CD50C9" w:rsidP="00E6399B">
      <w:pPr>
        <w:pStyle w:val="Prrafodelista"/>
        <w:numPr>
          <w:ilvl w:val="0"/>
          <w:numId w:val="94"/>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Levantar o mover personas o cargas (60,7%)</w:t>
      </w:r>
      <w:r w:rsidR="00A858EF">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w:t>
      </w:r>
    </w:p>
    <w:p w14:paraId="1730C1C5" w14:textId="021F9AFB" w:rsidR="00CD50C9" w:rsidRPr="0051709F" w:rsidRDefault="00CD50C9" w:rsidP="00E6399B">
      <w:pPr>
        <w:pStyle w:val="Prrafodelista"/>
        <w:numPr>
          <w:ilvl w:val="0"/>
          <w:numId w:val="94"/>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sz w:val="24"/>
          <w:szCs w:val="24"/>
          <w:lang w:val="es-ES"/>
        </w:rPr>
        <w:t>Tener que tratar con clientes, pacientes o alumnos difíciles (60%)</w:t>
      </w:r>
      <w:r w:rsidR="00A858EF">
        <w:rPr>
          <w:rFonts w:asciiTheme="minorHAnsi" w:hAnsiTheme="minorHAnsi" w:cstheme="minorHAnsi"/>
          <w:sz w:val="24"/>
          <w:szCs w:val="24"/>
          <w:lang w:val="es-ES"/>
        </w:rPr>
        <w:t>.</w:t>
      </w:r>
    </w:p>
    <w:p w14:paraId="4486584A" w14:textId="77777777" w:rsidR="00CD50C9" w:rsidRPr="0051709F" w:rsidRDefault="00CD50C9" w:rsidP="00CD50C9">
      <w:pPr>
        <w:autoSpaceDE w:val="0"/>
        <w:autoSpaceDN w:val="0"/>
        <w:adjustRightInd w:val="0"/>
        <w:jc w:val="both"/>
        <w:rPr>
          <w:rFonts w:cstheme="minorHAnsi"/>
          <w:color w:val="000000" w:themeColor="text1"/>
        </w:rPr>
      </w:pPr>
    </w:p>
    <w:p w14:paraId="70F5F1C9"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Volviendo de nuevo a la </w:t>
      </w:r>
      <w:r w:rsidRPr="0051709F">
        <w:rPr>
          <w:rFonts w:cstheme="minorHAnsi"/>
          <w:i/>
          <w:iCs/>
          <w:color w:val="000000" w:themeColor="text1"/>
        </w:rPr>
        <w:t>Encuesta Nacional de Condiciones de Trabajo. 2015/6ª EWCS – España</w:t>
      </w:r>
      <w:r w:rsidRPr="0051709F">
        <w:rPr>
          <w:rFonts w:cstheme="minorHAnsi"/>
          <w:color w:val="000000" w:themeColor="text1"/>
        </w:rPr>
        <w:t xml:space="preserve"> (</w:t>
      </w:r>
      <w:r w:rsidRPr="0051709F">
        <w:rPr>
          <w:rFonts w:cstheme="minorHAnsi"/>
        </w:rPr>
        <w:t>Instituto Nacional de Seguridad e Higiene en el Trabajo</w:t>
      </w:r>
      <w:r w:rsidRPr="0051709F">
        <w:rPr>
          <w:rFonts w:cstheme="minorHAnsi"/>
          <w:color w:val="000000" w:themeColor="text1"/>
        </w:rPr>
        <w:t xml:space="preserve">, 2017), en relación con los problemas de salud, la encuesta señalaba que: </w:t>
      </w:r>
    </w:p>
    <w:p w14:paraId="2649A33B" w14:textId="77777777" w:rsidR="00CD50C9" w:rsidRPr="0051709F" w:rsidRDefault="00CD50C9" w:rsidP="00CD50C9">
      <w:pPr>
        <w:autoSpaceDE w:val="0"/>
        <w:autoSpaceDN w:val="0"/>
        <w:adjustRightInd w:val="0"/>
        <w:jc w:val="both"/>
        <w:rPr>
          <w:rFonts w:cstheme="minorHAnsi"/>
          <w:color w:val="000000" w:themeColor="text1"/>
        </w:rPr>
      </w:pPr>
    </w:p>
    <w:p w14:paraId="7207E7F8" w14:textId="77777777" w:rsidR="00CD50C9" w:rsidRPr="0051709F" w:rsidRDefault="00CD50C9" w:rsidP="00E6399B">
      <w:pPr>
        <w:pStyle w:val="Prrafodelista"/>
        <w:numPr>
          <w:ilvl w:val="0"/>
          <w:numId w:val="95"/>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El 45,2% de las personas trabajadoras ha padecido dolor de espalda durante los últimos 12 meses y casi la mitad de las personas que dicen padecer enfermedades ven afectada su capacidad para realizar esfuerzos. </w:t>
      </w:r>
    </w:p>
    <w:p w14:paraId="345B179F" w14:textId="77777777" w:rsidR="00CD50C9" w:rsidRPr="0051709F" w:rsidRDefault="00CD50C9" w:rsidP="00E6399B">
      <w:pPr>
        <w:pStyle w:val="Prrafodelista"/>
        <w:numPr>
          <w:ilvl w:val="0"/>
          <w:numId w:val="95"/>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El mismo porcentaje (45,2%) refiere haber padecido dolor de hombros, cuello y/o extremidades superiores en el último año. </w:t>
      </w:r>
    </w:p>
    <w:p w14:paraId="25A5F26D" w14:textId="77777777" w:rsidR="00CD50C9" w:rsidRPr="0051709F" w:rsidRDefault="00CD50C9" w:rsidP="00E6399B">
      <w:pPr>
        <w:pStyle w:val="Prrafodelista"/>
        <w:numPr>
          <w:ilvl w:val="0"/>
          <w:numId w:val="95"/>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Un 11% de las personas trabajadoras sufre alguna enfermedad o problema de salud de larga duración. Esta prevalencia se incrementa notablemente a medida que aumenta la edad y llega a afectar al 16% de las personas de 50 o más años. </w:t>
      </w:r>
    </w:p>
    <w:p w14:paraId="6A51F3E5" w14:textId="77777777" w:rsidR="00CD50C9" w:rsidRPr="0051709F" w:rsidRDefault="00CD50C9" w:rsidP="00E6399B">
      <w:pPr>
        <w:pStyle w:val="Prrafodelista"/>
        <w:numPr>
          <w:ilvl w:val="0"/>
          <w:numId w:val="95"/>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 xml:space="preserve">A lo largo de los 12 meses previos a la encuesta las personas que padecieron algún problema de salud presentaron con mayor frecuencia: dolor de espalda (46%), dolor muscular de hombros, cuello y extremidades superiores (45%) y cansancio general (45%). </w:t>
      </w:r>
    </w:p>
    <w:p w14:paraId="65069026" w14:textId="77777777" w:rsidR="00CD50C9" w:rsidRPr="0051709F" w:rsidRDefault="00CD50C9" w:rsidP="00E6399B">
      <w:pPr>
        <w:pStyle w:val="Prrafodelista"/>
        <w:numPr>
          <w:ilvl w:val="0"/>
          <w:numId w:val="95"/>
        </w:numPr>
        <w:autoSpaceDE w:val="0"/>
        <w:autoSpaceDN w:val="0"/>
        <w:adjustRightInd w:val="0"/>
        <w:jc w:val="both"/>
        <w:rPr>
          <w:rFonts w:asciiTheme="minorHAnsi" w:hAnsiTheme="minorHAnsi" w:cstheme="minorHAnsi"/>
          <w:color w:val="000000" w:themeColor="text1"/>
          <w:sz w:val="24"/>
          <w:szCs w:val="24"/>
          <w:lang w:val="es-ES"/>
        </w:rPr>
      </w:pPr>
      <w:r w:rsidRPr="0051709F">
        <w:rPr>
          <w:rFonts w:asciiTheme="minorHAnsi" w:hAnsiTheme="minorHAnsi" w:cstheme="minorHAnsi"/>
          <w:color w:val="000000" w:themeColor="text1"/>
          <w:sz w:val="24"/>
          <w:szCs w:val="24"/>
          <w:lang w:val="es-ES"/>
        </w:rPr>
        <w:t>Es de destacar que los problemas de ansiedad pasaron del 10% al 17% entre 2010 y 2015.</w:t>
      </w:r>
    </w:p>
    <w:p w14:paraId="47D4FA97" w14:textId="77777777" w:rsidR="00CD50C9" w:rsidRPr="0051709F" w:rsidRDefault="00CD50C9" w:rsidP="00CD50C9">
      <w:pPr>
        <w:autoSpaceDE w:val="0"/>
        <w:autoSpaceDN w:val="0"/>
        <w:adjustRightInd w:val="0"/>
        <w:jc w:val="both"/>
        <w:rPr>
          <w:rFonts w:cstheme="minorHAnsi"/>
          <w:color w:val="000000" w:themeColor="text1"/>
        </w:rPr>
      </w:pPr>
    </w:p>
    <w:p w14:paraId="509E4533"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Además, el 32% de las personas trabajadoras perdió algún día de trabajo, en los 12 meses previos a la encuesta, debido a una baja por enfermedad o por motivos de salud. La prevalencia de uno o más episodios de incapacidad temporal fue superior entre los técnicos y profesionales de apoyo (39%), los empleados contables y administrativos (38%) y los técnicos y profesionales científicos e intelectuales (37%). La actividad con mayor prevalencia es la Educación (43%). Por cada 100 días de baja, 32 fueron atribuibles a problemas de salud relacionados o empeorados por el trabajo.</w:t>
      </w:r>
    </w:p>
    <w:p w14:paraId="62D1A744" w14:textId="77777777" w:rsidR="00CD50C9" w:rsidRPr="0051709F" w:rsidRDefault="00CD50C9" w:rsidP="00CD50C9">
      <w:pPr>
        <w:autoSpaceDE w:val="0"/>
        <w:autoSpaceDN w:val="0"/>
        <w:adjustRightInd w:val="0"/>
        <w:jc w:val="both"/>
        <w:rPr>
          <w:rFonts w:cstheme="minorHAnsi"/>
          <w:color w:val="000000" w:themeColor="text1"/>
        </w:rPr>
      </w:pPr>
    </w:p>
    <w:p w14:paraId="200AD191"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Hay dos datos que ofrece la encuesta y que son muy relevantes para valorar la incidencia del sedentarismo en el ámbito laboral: el tiempo que las personas trabajadoras pasan sentadas durante la jornada laboral y la cantidad de horas en las que están trabajando con tecnologías de la información y la comunicación, como ordenadores de sobremesa o portátiles. </w:t>
      </w:r>
    </w:p>
    <w:p w14:paraId="5A1676CC" w14:textId="77777777" w:rsidR="00CD50C9" w:rsidRPr="0051709F" w:rsidRDefault="00CD50C9" w:rsidP="00CD50C9">
      <w:pPr>
        <w:autoSpaceDE w:val="0"/>
        <w:autoSpaceDN w:val="0"/>
        <w:adjustRightInd w:val="0"/>
        <w:jc w:val="both"/>
        <w:rPr>
          <w:rFonts w:cstheme="minorHAnsi"/>
          <w:color w:val="000000" w:themeColor="text1"/>
        </w:rPr>
      </w:pPr>
    </w:p>
    <w:p w14:paraId="2AD8691F"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Así, el 40,1% de las personas trabajadoras pasan sentadas la mitad o más de su jornada laboral, y un 14,7% están sentados todas las horas</w:t>
      </w:r>
    </w:p>
    <w:p w14:paraId="4B458B26" w14:textId="77777777" w:rsidR="00CD50C9" w:rsidRPr="0051709F" w:rsidRDefault="00CD50C9" w:rsidP="00CD50C9">
      <w:pPr>
        <w:autoSpaceDE w:val="0"/>
        <w:autoSpaceDN w:val="0"/>
        <w:adjustRightInd w:val="0"/>
        <w:jc w:val="both"/>
        <w:rPr>
          <w:rFonts w:cstheme="minorHAnsi"/>
          <w:color w:val="000000" w:themeColor="text1"/>
        </w:rPr>
      </w:pPr>
    </w:p>
    <w:p w14:paraId="45F8162F"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lastRenderedPageBreak/>
        <w:t>El 42,4% de los trabajadores utiliza nuevas tecnologías de la información y la comunicación (ordenadores de sobremesa, portátiles, smartphones) durante la mitad o más de las horas de su jornada laboral. Llama la atención que el 23%, casi una cuarta parte, las utilizan siempre.</w:t>
      </w:r>
    </w:p>
    <w:p w14:paraId="5977D9B2" w14:textId="77777777" w:rsidR="00CD50C9" w:rsidRPr="0051709F" w:rsidRDefault="00CD50C9" w:rsidP="00CD50C9">
      <w:pPr>
        <w:autoSpaceDE w:val="0"/>
        <w:autoSpaceDN w:val="0"/>
        <w:adjustRightInd w:val="0"/>
        <w:jc w:val="both"/>
        <w:rPr>
          <w:rFonts w:cstheme="minorHAnsi"/>
          <w:color w:val="000000" w:themeColor="text1"/>
        </w:rPr>
      </w:pPr>
    </w:p>
    <w:p w14:paraId="65E76C96" w14:textId="32A32CE9" w:rsidR="00CD50C9" w:rsidRPr="0051709F" w:rsidRDefault="00CD50C9" w:rsidP="00CD50C9">
      <w:pPr>
        <w:autoSpaceDE w:val="0"/>
        <w:autoSpaceDN w:val="0"/>
        <w:adjustRightInd w:val="0"/>
        <w:jc w:val="both"/>
        <w:rPr>
          <w:rFonts w:cstheme="minorHAnsi"/>
          <w:i/>
          <w:iCs/>
          <w:color w:val="000000" w:themeColor="text1"/>
        </w:rPr>
      </w:pPr>
      <w:r w:rsidRPr="0051709F">
        <w:rPr>
          <w:rFonts w:cstheme="minorHAnsi"/>
          <w:color w:val="000000" w:themeColor="text1"/>
        </w:rPr>
        <w:t>Como destacan Girá</w:t>
      </w:r>
      <w:r w:rsidR="00A858EF">
        <w:rPr>
          <w:rFonts w:cstheme="minorHAnsi"/>
          <w:color w:val="000000" w:themeColor="text1"/>
        </w:rPr>
        <w:t>l</w:t>
      </w:r>
      <w:r w:rsidRPr="0051709F">
        <w:rPr>
          <w:rFonts w:cstheme="minorHAnsi"/>
          <w:color w:val="000000" w:themeColor="text1"/>
        </w:rPr>
        <w:t xml:space="preserve">dez y </w:t>
      </w:r>
      <w:proofErr w:type="spellStart"/>
      <w:r w:rsidRPr="0051709F">
        <w:rPr>
          <w:rFonts w:cstheme="minorHAnsi"/>
          <w:color w:val="000000" w:themeColor="text1"/>
        </w:rPr>
        <w:t>Ta</w:t>
      </w:r>
      <w:r w:rsidR="00B07FD5">
        <w:rPr>
          <w:rFonts w:cstheme="minorHAnsi"/>
          <w:color w:val="000000" w:themeColor="text1"/>
        </w:rPr>
        <w:t>r</w:t>
      </w:r>
      <w:r w:rsidRPr="0051709F">
        <w:rPr>
          <w:rFonts w:cstheme="minorHAnsi"/>
          <w:color w:val="000000" w:themeColor="text1"/>
        </w:rPr>
        <w:t>ducci</w:t>
      </w:r>
      <w:proofErr w:type="spellEnd"/>
      <w:r w:rsidRPr="0051709F">
        <w:rPr>
          <w:rFonts w:cstheme="minorHAnsi"/>
          <w:color w:val="000000" w:themeColor="text1"/>
        </w:rPr>
        <w:t xml:space="preserve"> (2018), </w:t>
      </w:r>
      <w:r w:rsidRPr="0051709F">
        <w:rPr>
          <w:rFonts w:cstheme="minorHAnsi"/>
          <w:i/>
          <w:iCs/>
          <w:color w:val="000000" w:themeColor="text1"/>
        </w:rPr>
        <w:t xml:space="preserve">“esta situación sin duda afecta a la salud integral y al rendimiento de un porcentaje considerable de las personas trabajadoras. Actualmente, </w:t>
      </w:r>
      <w:r w:rsidRPr="0051709F">
        <w:rPr>
          <w:rFonts w:cstheme="minorHAnsi"/>
          <w:b/>
          <w:bCs/>
          <w:i/>
          <w:iCs/>
          <w:color w:val="000000" w:themeColor="text1"/>
        </w:rPr>
        <w:t>la inactividad física y el sedentarismo constituyen factores de riesgo relacionados con el puesto de trabajo</w:t>
      </w:r>
      <w:r w:rsidRPr="0051709F">
        <w:rPr>
          <w:rFonts w:cstheme="minorHAnsi"/>
          <w:i/>
          <w:iCs/>
          <w:color w:val="000000" w:themeColor="text1"/>
        </w:rPr>
        <w:t xml:space="preserve"> y, en buena medida, son responsables de los problemas de salud más prevalentes (dolor de espalda, dolor de hombros y extremidades, cansancio general y ansiedad)”. </w:t>
      </w:r>
    </w:p>
    <w:p w14:paraId="7A3D980C" w14:textId="77777777" w:rsidR="00CD50C9" w:rsidRPr="0051709F" w:rsidRDefault="00CD50C9" w:rsidP="00CD50C9">
      <w:pPr>
        <w:autoSpaceDE w:val="0"/>
        <w:autoSpaceDN w:val="0"/>
        <w:adjustRightInd w:val="0"/>
        <w:jc w:val="both"/>
        <w:rPr>
          <w:rFonts w:cstheme="minorHAnsi"/>
          <w:color w:val="000000" w:themeColor="text1"/>
        </w:rPr>
      </w:pPr>
    </w:p>
    <w:p w14:paraId="27FEF13B" w14:textId="77777777" w:rsidR="00CD50C9" w:rsidRPr="0051709F" w:rsidRDefault="00CD50C9" w:rsidP="00CD50C9">
      <w:pPr>
        <w:autoSpaceDE w:val="0"/>
        <w:autoSpaceDN w:val="0"/>
        <w:adjustRightInd w:val="0"/>
        <w:jc w:val="both"/>
        <w:rPr>
          <w:rFonts w:cstheme="minorHAnsi"/>
          <w:color w:val="000000" w:themeColor="text1"/>
        </w:rPr>
      </w:pPr>
      <w:r w:rsidRPr="0051709F">
        <w:rPr>
          <w:rFonts w:cstheme="minorHAnsi"/>
          <w:color w:val="000000" w:themeColor="text1"/>
        </w:rPr>
        <w:t xml:space="preserve">Finalmente, en el caso de las </w:t>
      </w:r>
      <w:r w:rsidRPr="0051709F">
        <w:rPr>
          <w:rFonts w:cstheme="minorHAnsi"/>
          <w:b/>
          <w:bCs/>
          <w:color w:val="000000" w:themeColor="text1"/>
        </w:rPr>
        <w:t>personas trabajadores jóvenes</w:t>
      </w:r>
      <w:r w:rsidRPr="0051709F">
        <w:rPr>
          <w:rFonts w:cstheme="minorHAnsi"/>
          <w:color w:val="000000" w:themeColor="text1"/>
        </w:rPr>
        <w:t xml:space="preserve">, entre 18 y 34 años, la presencia de sobrepeso u obesidad en el 61,31% de los casos añade un tercer factor de riesgo que agrava la situación. </w:t>
      </w:r>
      <w:r w:rsidRPr="0051709F">
        <w:rPr>
          <w:rFonts w:cstheme="minorHAnsi"/>
          <w:i/>
          <w:iCs/>
          <w:color w:val="000000" w:themeColor="text1"/>
        </w:rPr>
        <w:t xml:space="preserve">“La coincidencia de tres factores de riesgo (inactividad física, sedentarismo y obesidad) tiene un efecto negativo sobre la salud que es mayor que la simple suma del que podrían tener de forma individual. Además, al tratarse de personas todavía jóvenes, la exposición a la situación de riesgo ocurre en un momento relativamente temprano de sus vidas y es probable que sus efectos perniciosos se anticipen en el tiempo (Ratner, 2002) y finalmente sean más graves” </w:t>
      </w:r>
      <w:r w:rsidRPr="0051709F">
        <w:rPr>
          <w:rFonts w:cstheme="minorHAnsi"/>
          <w:color w:val="000000" w:themeColor="text1"/>
        </w:rPr>
        <w:t xml:space="preserve">(Giráldez, </w:t>
      </w:r>
      <w:proofErr w:type="spellStart"/>
      <w:r w:rsidRPr="0051709F">
        <w:rPr>
          <w:rFonts w:cstheme="minorHAnsi"/>
          <w:color w:val="000000" w:themeColor="text1"/>
        </w:rPr>
        <w:t>Tarducci</w:t>
      </w:r>
      <w:proofErr w:type="spellEnd"/>
      <w:r w:rsidRPr="0051709F">
        <w:rPr>
          <w:rFonts w:cstheme="minorHAnsi"/>
          <w:color w:val="000000" w:themeColor="text1"/>
        </w:rPr>
        <w:t>, 2018).</w:t>
      </w:r>
    </w:p>
    <w:p w14:paraId="41BD6886" w14:textId="77777777" w:rsidR="003906F1" w:rsidRPr="0051709F" w:rsidRDefault="003906F1" w:rsidP="00CD50C9">
      <w:pPr>
        <w:autoSpaceDE w:val="0"/>
        <w:autoSpaceDN w:val="0"/>
        <w:adjustRightInd w:val="0"/>
        <w:jc w:val="both"/>
        <w:rPr>
          <w:rFonts w:cstheme="minorHAnsi"/>
          <w:color w:val="000000" w:themeColor="text1"/>
        </w:rPr>
      </w:pPr>
    </w:p>
    <w:p w14:paraId="77C667FD" w14:textId="77777777" w:rsidR="00CD50C9" w:rsidRPr="0051709F" w:rsidRDefault="00CD50C9" w:rsidP="003906F1">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Beneficios para la empresa, la salud de los empleados y la sociedad </w:t>
      </w:r>
    </w:p>
    <w:p w14:paraId="11903B44" w14:textId="77777777" w:rsidR="00CD50C9" w:rsidRPr="0051709F" w:rsidRDefault="00CD50C9" w:rsidP="00CD50C9">
      <w:pPr>
        <w:jc w:val="both"/>
        <w:rPr>
          <w:rFonts w:cstheme="minorHAnsi"/>
        </w:rPr>
      </w:pPr>
    </w:p>
    <w:p w14:paraId="653E57F9" w14:textId="77777777" w:rsidR="00CD50C9" w:rsidRPr="0051709F" w:rsidRDefault="00CD50C9" w:rsidP="00CD50C9">
      <w:pPr>
        <w:jc w:val="both"/>
        <w:rPr>
          <w:rFonts w:cstheme="minorHAnsi"/>
        </w:rPr>
      </w:pPr>
      <w:r w:rsidRPr="0051709F">
        <w:rPr>
          <w:rFonts w:cstheme="minorHAnsi"/>
        </w:rPr>
        <w:t xml:space="preserve">Conociendo la importancia y beneficios de la promoción de la actividad física en el ámbito laboral, la organización </w:t>
      </w:r>
      <w:r w:rsidRPr="0051709F">
        <w:rPr>
          <w:rFonts w:cstheme="minorHAnsi"/>
          <w:i/>
          <w:iCs/>
        </w:rPr>
        <w:t>España se Mueve</w:t>
      </w:r>
      <w:r w:rsidRPr="0051709F">
        <w:rPr>
          <w:rFonts w:cstheme="minorHAnsi"/>
        </w:rPr>
        <w:t xml:space="preserve"> encargó un </w:t>
      </w:r>
      <w:r w:rsidRPr="0051709F">
        <w:rPr>
          <w:rFonts w:cstheme="minorHAnsi"/>
          <w:i/>
          <w:iCs/>
        </w:rPr>
        <w:t xml:space="preserve">“Informe sobre estrategias de promoción de actividad física en el entorno laboral” </w:t>
      </w:r>
      <w:r w:rsidRPr="0051709F">
        <w:rPr>
          <w:rFonts w:cstheme="minorHAnsi"/>
        </w:rPr>
        <w:t>al Grupo de Investigación GENUD Toledo de la Universidad de Castilla-La Mancha en el 2021 (Ara et al., 2021), con el objetivo de analizar la situación en este ámbito, en relación con la de los países de nuestro entorno y a la petición por parte de la Unión Europea de contemplar en los Informes No Financieros de las Empresas la actividad física junto a otras políticas o acciones en materia de sostenibilidad, acción social, etc. Se trata pues de un estudio pionero en esta materia, que trataba de contribuir al desarrollo de un entorno laboral más saludable que redundara en una mejora del bienestar y de la productividad en las empresas españolas.</w:t>
      </w:r>
    </w:p>
    <w:p w14:paraId="23C1D51C" w14:textId="77777777" w:rsidR="00CD50C9" w:rsidRPr="0051709F" w:rsidRDefault="00CD50C9" w:rsidP="00CD50C9">
      <w:pPr>
        <w:jc w:val="both"/>
        <w:rPr>
          <w:rFonts w:cstheme="minorHAnsi"/>
        </w:rPr>
      </w:pPr>
    </w:p>
    <w:p w14:paraId="5E194AFE" w14:textId="77777777" w:rsidR="00CD50C9" w:rsidRPr="0051709F" w:rsidRDefault="00CD50C9" w:rsidP="00CD50C9">
      <w:pPr>
        <w:jc w:val="both"/>
        <w:rPr>
          <w:rFonts w:cstheme="minorHAnsi"/>
        </w:rPr>
      </w:pPr>
      <w:r w:rsidRPr="0051709F">
        <w:rPr>
          <w:rFonts w:cstheme="minorHAnsi"/>
        </w:rPr>
        <w:t xml:space="preserve">De esta forma, el citado informe (Ara et al, 2021) recogía en su introducción una breve revisión de las actuales evidencias sobre el efecto positivo de intervenciones desarrolladas en este contexto. Y destacaba que, </w:t>
      </w:r>
      <w:r w:rsidRPr="0051709F">
        <w:rPr>
          <w:rFonts w:cstheme="minorHAnsi"/>
          <w:i/>
          <w:iCs/>
        </w:rPr>
        <w:t xml:space="preserve">“se estima que los trabajadores a tiempo completo suelen pasar aproximadamente un tercio del día en el lugar de trabajo (Tudor-Locke, </w:t>
      </w:r>
      <w:proofErr w:type="spellStart"/>
      <w:r w:rsidRPr="0051709F">
        <w:rPr>
          <w:rFonts w:cstheme="minorHAnsi"/>
          <w:i/>
          <w:iCs/>
        </w:rPr>
        <w:t>Leonardi</w:t>
      </w:r>
      <w:proofErr w:type="spellEnd"/>
      <w:r w:rsidRPr="0051709F">
        <w:rPr>
          <w:rFonts w:cstheme="minorHAnsi"/>
          <w:i/>
          <w:iCs/>
        </w:rPr>
        <w:t xml:space="preserve">, Johnson, &amp; </w:t>
      </w:r>
      <w:proofErr w:type="spellStart"/>
      <w:r w:rsidRPr="0051709F">
        <w:rPr>
          <w:rFonts w:cstheme="minorHAnsi"/>
          <w:i/>
          <w:iCs/>
        </w:rPr>
        <w:t>Katzmarzyk</w:t>
      </w:r>
      <w:proofErr w:type="spellEnd"/>
      <w:r w:rsidRPr="0051709F">
        <w:rPr>
          <w:rFonts w:cstheme="minorHAnsi"/>
          <w:i/>
          <w:iCs/>
        </w:rPr>
        <w:t>, 2011), lo que se ha comprobado que está asociado con más tiempo sentado y menos tiempo caminando/de pie que los días de ocio (</w:t>
      </w:r>
      <w:proofErr w:type="spellStart"/>
      <w:r w:rsidRPr="0051709F">
        <w:rPr>
          <w:rFonts w:cstheme="minorHAnsi"/>
          <w:i/>
          <w:iCs/>
        </w:rPr>
        <w:t>McCrady</w:t>
      </w:r>
      <w:proofErr w:type="spellEnd"/>
      <w:r w:rsidRPr="0051709F">
        <w:rPr>
          <w:rFonts w:cstheme="minorHAnsi"/>
          <w:i/>
          <w:iCs/>
        </w:rPr>
        <w:t xml:space="preserve"> &amp; Levine, 2009). No contrarrestar este tipo de conductas, podría provocar la adopción de comportamientos sedentarios en el entorno laboral, reduciendo el incentivo para la realización de actividad física (</w:t>
      </w:r>
      <w:proofErr w:type="spellStart"/>
      <w:r w:rsidRPr="0051709F">
        <w:rPr>
          <w:rFonts w:cstheme="minorHAnsi"/>
          <w:i/>
          <w:iCs/>
        </w:rPr>
        <w:t>Hupin</w:t>
      </w:r>
      <w:proofErr w:type="spellEnd"/>
      <w:r w:rsidRPr="0051709F">
        <w:rPr>
          <w:rFonts w:cstheme="minorHAnsi"/>
          <w:i/>
          <w:iCs/>
        </w:rPr>
        <w:t xml:space="preserve"> et al., 2019)”.</w:t>
      </w:r>
    </w:p>
    <w:p w14:paraId="0B5ED87B" w14:textId="77777777" w:rsidR="00CD50C9" w:rsidRPr="0051709F" w:rsidRDefault="00CD50C9" w:rsidP="00CD50C9">
      <w:pPr>
        <w:jc w:val="both"/>
        <w:rPr>
          <w:rFonts w:cstheme="minorHAnsi"/>
        </w:rPr>
      </w:pPr>
    </w:p>
    <w:p w14:paraId="2DF9789B" w14:textId="4B0B56EE" w:rsidR="00CD50C9" w:rsidRDefault="00CD50C9" w:rsidP="009F7624">
      <w:pPr>
        <w:jc w:val="both"/>
        <w:rPr>
          <w:rFonts w:cstheme="minorHAnsi"/>
          <w:i/>
          <w:iCs/>
        </w:rPr>
      </w:pPr>
      <w:r w:rsidRPr="0051709F">
        <w:rPr>
          <w:rFonts w:cstheme="minorHAnsi"/>
        </w:rPr>
        <w:lastRenderedPageBreak/>
        <w:t xml:space="preserve">De hecho, </w:t>
      </w:r>
      <w:r w:rsidRPr="0051709F">
        <w:rPr>
          <w:rFonts w:cstheme="minorHAnsi"/>
          <w:i/>
          <w:iCs/>
        </w:rPr>
        <w:t>“los empleados en ocupaciones sedentarias son sedentarios durante aproximadamente 11 horas al día (Tudor-Locke et al., 2011), lo que supone un tiempo limitado para alcanzar los niveles recomendados de actividad física”.</w:t>
      </w:r>
    </w:p>
    <w:p w14:paraId="03D1B042" w14:textId="77777777" w:rsidR="00120CD5" w:rsidRPr="0051709F" w:rsidRDefault="00120CD5" w:rsidP="009F7624">
      <w:pPr>
        <w:jc w:val="both"/>
        <w:rPr>
          <w:rFonts w:cstheme="minorHAnsi"/>
        </w:rPr>
      </w:pPr>
    </w:p>
    <w:p w14:paraId="5694919F" w14:textId="77777777" w:rsidR="00CD50C9" w:rsidRPr="0051709F" w:rsidRDefault="00CD50C9" w:rsidP="00CD50C9">
      <w:pPr>
        <w:jc w:val="both"/>
        <w:rPr>
          <w:rFonts w:cstheme="minorHAnsi"/>
        </w:rPr>
      </w:pPr>
      <w:r w:rsidRPr="0051709F">
        <w:rPr>
          <w:rFonts w:cstheme="minorHAnsi"/>
        </w:rPr>
        <w:t xml:space="preserve">Por su parte, la evidencia científica ha demostrado que la práctica de actividad física en el lugar de trabajo reporta de manera objetiva numerosos beneficios para la empresa, la salud de los empleados y la sociedad. Como podemos identificar con claridad en la siguiente tabla y figura extraídas del informe de </w:t>
      </w:r>
      <w:proofErr w:type="spellStart"/>
      <w:r w:rsidRPr="0051709F">
        <w:rPr>
          <w:rFonts w:cstheme="minorHAnsi"/>
        </w:rPr>
        <w:t>Ara</w:t>
      </w:r>
      <w:proofErr w:type="spellEnd"/>
      <w:r w:rsidRPr="0051709F">
        <w:rPr>
          <w:rFonts w:cstheme="minorHAnsi"/>
        </w:rPr>
        <w:t xml:space="preserve"> et al. (2021).</w:t>
      </w:r>
    </w:p>
    <w:p w14:paraId="1CA36D43" w14:textId="77777777" w:rsidR="00CD50C9" w:rsidRPr="0051709F" w:rsidRDefault="00CD50C9" w:rsidP="00CD50C9">
      <w:pPr>
        <w:jc w:val="both"/>
        <w:rPr>
          <w:rFonts w:cstheme="minorHAnsi"/>
        </w:rPr>
      </w:pPr>
    </w:p>
    <w:p w14:paraId="495D6090" w14:textId="29150013" w:rsidR="00CD50C9" w:rsidRPr="007B667D" w:rsidRDefault="00CD50C9" w:rsidP="00CD50C9">
      <w:pPr>
        <w:jc w:val="center"/>
        <w:rPr>
          <w:rFonts w:cstheme="minorHAnsi"/>
          <w:i/>
          <w:iCs/>
          <w:sz w:val="22"/>
          <w:szCs w:val="22"/>
        </w:rPr>
      </w:pPr>
      <w:r w:rsidRPr="007B667D">
        <w:rPr>
          <w:rFonts w:cstheme="minorHAnsi"/>
          <w:i/>
          <w:iCs/>
          <w:sz w:val="22"/>
          <w:szCs w:val="22"/>
        </w:rPr>
        <w:t>Tabla</w:t>
      </w:r>
      <w:r w:rsidR="005B6008" w:rsidRPr="007B667D">
        <w:rPr>
          <w:rFonts w:cstheme="minorHAnsi"/>
          <w:i/>
          <w:iCs/>
          <w:sz w:val="22"/>
          <w:szCs w:val="22"/>
        </w:rPr>
        <w:t xml:space="preserve"> 11</w:t>
      </w:r>
      <w:r w:rsidR="00145599" w:rsidRPr="007B667D">
        <w:rPr>
          <w:rFonts w:cstheme="minorHAnsi"/>
          <w:i/>
          <w:iCs/>
          <w:sz w:val="22"/>
          <w:szCs w:val="22"/>
        </w:rPr>
        <w:t xml:space="preserve">. </w:t>
      </w:r>
      <w:r w:rsidRPr="007B667D">
        <w:rPr>
          <w:rFonts w:cstheme="minorHAnsi"/>
          <w:i/>
          <w:iCs/>
          <w:sz w:val="22"/>
          <w:szCs w:val="22"/>
        </w:rPr>
        <w:t xml:space="preserve">Resumen de beneficios para la empresa, la salud de los empleados </w:t>
      </w:r>
    </w:p>
    <w:p w14:paraId="0126DD7B" w14:textId="77777777" w:rsidR="009F7624" w:rsidRPr="007B667D" w:rsidRDefault="00CD50C9" w:rsidP="00CD50C9">
      <w:pPr>
        <w:jc w:val="center"/>
        <w:rPr>
          <w:rFonts w:cstheme="minorHAnsi"/>
          <w:i/>
          <w:iCs/>
          <w:sz w:val="22"/>
          <w:szCs w:val="22"/>
        </w:rPr>
      </w:pPr>
      <w:r w:rsidRPr="007B667D">
        <w:rPr>
          <w:rFonts w:cstheme="minorHAnsi"/>
          <w:i/>
          <w:iCs/>
          <w:sz w:val="22"/>
          <w:szCs w:val="22"/>
        </w:rPr>
        <w:t>y la sociedad basados en evidencias</w:t>
      </w:r>
      <w:r w:rsidR="00145599" w:rsidRPr="007B667D">
        <w:rPr>
          <w:rFonts w:cstheme="minorHAnsi"/>
          <w:i/>
          <w:iCs/>
          <w:sz w:val="22"/>
          <w:szCs w:val="22"/>
        </w:rPr>
        <w:t xml:space="preserve"> </w:t>
      </w:r>
    </w:p>
    <w:p w14:paraId="3DD6B74E" w14:textId="19EBABB4" w:rsidR="00CD50C9" w:rsidRPr="0051709F" w:rsidRDefault="00CD50C9" w:rsidP="00CD50C9">
      <w:pPr>
        <w:jc w:val="center"/>
        <w:rPr>
          <w:rFonts w:cstheme="minorHAnsi"/>
          <w:iCs/>
        </w:rPr>
      </w:pPr>
      <w:r w:rsidRPr="009F7624">
        <w:rPr>
          <w:rFonts w:cstheme="minorHAnsi"/>
          <w:i/>
          <w:sz w:val="20"/>
          <w:szCs w:val="20"/>
        </w:rPr>
        <w:t xml:space="preserve">(obtenido de </w:t>
      </w:r>
      <w:proofErr w:type="spellStart"/>
      <w:r w:rsidRPr="009F7624">
        <w:rPr>
          <w:rFonts w:cstheme="minorHAnsi"/>
          <w:i/>
          <w:sz w:val="20"/>
          <w:szCs w:val="20"/>
        </w:rPr>
        <w:t>Ara</w:t>
      </w:r>
      <w:proofErr w:type="spellEnd"/>
      <w:r w:rsidRPr="009F7624">
        <w:rPr>
          <w:rFonts w:cstheme="minorHAnsi"/>
          <w:i/>
          <w:sz w:val="20"/>
          <w:szCs w:val="20"/>
        </w:rPr>
        <w:t xml:space="preserve"> et al., 2021; para acceso a las referencias concretas consultar esta fuente)</w:t>
      </w:r>
    </w:p>
    <w:p w14:paraId="71430147" w14:textId="77777777" w:rsidR="00CD50C9" w:rsidRPr="0051709F" w:rsidRDefault="00CD50C9" w:rsidP="00CD50C9">
      <w:pPr>
        <w:jc w:val="both"/>
        <w:rPr>
          <w:rFonts w:cstheme="minorHAnsi"/>
        </w:rPr>
      </w:pPr>
      <w:r w:rsidRPr="0051709F">
        <w:rPr>
          <w:rFonts w:cstheme="minorHAnsi"/>
          <w:noProof/>
          <w:lang w:val="en-GB" w:eastAsia="en-GB"/>
        </w:rPr>
        <w:drawing>
          <wp:inline distT="0" distB="0" distL="0" distR="0" wp14:anchorId="3AA8659C" wp14:editId="694ED987">
            <wp:extent cx="5396230" cy="3489325"/>
            <wp:effectExtent l="0" t="0" r="1270" b="3175"/>
            <wp:docPr id="840125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2559" name=""/>
                    <pic:cNvPicPr/>
                  </pic:nvPicPr>
                  <pic:blipFill>
                    <a:blip r:embed="rId101"/>
                    <a:stretch>
                      <a:fillRect/>
                    </a:stretch>
                  </pic:blipFill>
                  <pic:spPr>
                    <a:xfrm>
                      <a:off x="0" y="0"/>
                      <a:ext cx="5396230" cy="3489325"/>
                    </a:xfrm>
                    <a:prstGeom prst="rect">
                      <a:avLst/>
                    </a:prstGeom>
                  </pic:spPr>
                </pic:pic>
              </a:graphicData>
            </a:graphic>
          </wp:inline>
        </w:drawing>
      </w:r>
    </w:p>
    <w:p w14:paraId="3294E7BF" w14:textId="77777777" w:rsidR="00CD50C9" w:rsidRPr="0051709F" w:rsidRDefault="00CD50C9" w:rsidP="00CD50C9">
      <w:pPr>
        <w:jc w:val="both"/>
        <w:rPr>
          <w:rFonts w:cstheme="minorHAnsi"/>
        </w:rPr>
      </w:pPr>
    </w:p>
    <w:p w14:paraId="158B540B" w14:textId="77777777" w:rsidR="00CD50C9" w:rsidRPr="0051709F" w:rsidRDefault="00CD50C9" w:rsidP="00CD50C9">
      <w:pPr>
        <w:jc w:val="both"/>
        <w:rPr>
          <w:rFonts w:cstheme="minorHAnsi"/>
        </w:rPr>
      </w:pPr>
    </w:p>
    <w:p w14:paraId="1D23F2AE" w14:textId="77777777" w:rsidR="00CD50C9" w:rsidRPr="0051709F" w:rsidRDefault="00CD50C9" w:rsidP="00CD50C9">
      <w:pPr>
        <w:jc w:val="both"/>
        <w:rPr>
          <w:rFonts w:cstheme="minorHAnsi"/>
        </w:rPr>
      </w:pPr>
    </w:p>
    <w:p w14:paraId="0721B809" w14:textId="77777777" w:rsidR="00CD50C9" w:rsidRPr="0051709F" w:rsidRDefault="00CD50C9" w:rsidP="00CD50C9">
      <w:pPr>
        <w:jc w:val="both"/>
        <w:rPr>
          <w:rFonts w:cstheme="minorHAnsi"/>
        </w:rPr>
      </w:pPr>
      <w:r w:rsidRPr="0051709F">
        <w:rPr>
          <w:rFonts w:cstheme="minorHAnsi"/>
          <w:noProof/>
          <w:lang w:val="en-GB" w:eastAsia="en-GB"/>
        </w:rPr>
        <w:lastRenderedPageBreak/>
        <w:drawing>
          <wp:inline distT="0" distB="0" distL="0" distR="0" wp14:anchorId="10FBF14E" wp14:editId="151E578C">
            <wp:extent cx="5072933" cy="2781219"/>
            <wp:effectExtent l="0" t="0" r="0" b="635"/>
            <wp:docPr id="1789540999" name="Imagen 1" descr="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40999" name="Imagen 1" descr="Texto, Chat o mensaje de texto&#10;&#10;Descripción generada automáticamente"/>
                    <pic:cNvPicPr/>
                  </pic:nvPicPr>
                  <pic:blipFill>
                    <a:blip r:embed="rId102"/>
                    <a:stretch>
                      <a:fillRect/>
                    </a:stretch>
                  </pic:blipFill>
                  <pic:spPr>
                    <a:xfrm>
                      <a:off x="0" y="0"/>
                      <a:ext cx="5079617" cy="2784884"/>
                    </a:xfrm>
                    <a:prstGeom prst="rect">
                      <a:avLst/>
                    </a:prstGeom>
                  </pic:spPr>
                </pic:pic>
              </a:graphicData>
            </a:graphic>
          </wp:inline>
        </w:drawing>
      </w:r>
    </w:p>
    <w:p w14:paraId="339DD4F0" w14:textId="77777777" w:rsidR="00CD50C9" w:rsidRPr="0051709F" w:rsidRDefault="00CD50C9" w:rsidP="00CD50C9">
      <w:pPr>
        <w:jc w:val="both"/>
        <w:rPr>
          <w:rFonts w:cstheme="minorHAnsi"/>
        </w:rPr>
      </w:pPr>
    </w:p>
    <w:p w14:paraId="223C520D" w14:textId="77777777" w:rsidR="009F7624" w:rsidRPr="007B667D" w:rsidRDefault="00CD50C9" w:rsidP="0051709F">
      <w:pPr>
        <w:jc w:val="center"/>
        <w:rPr>
          <w:rFonts w:cstheme="minorHAnsi"/>
          <w:i/>
          <w:iCs/>
          <w:sz w:val="22"/>
          <w:szCs w:val="22"/>
        </w:rPr>
      </w:pPr>
      <w:r w:rsidRPr="007B667D">
        <w:rPr>
          <w:rFonts w:cstheme="minorHAnsi"/>
          <w:i/>
          <w:iCs/>
          <w:sz w:val="22"/>
          <w:szCs w:val="22"/>
        </w:rPr>
        <w:t>Figura</w:t>
      </w:r>
      <w:r w:rsidR="00253B19" w:rsidRPr="007B667D">
        <w:rPr>
          <w:rFonts w:cstheme="minorHAnsi"/>
          <w:i/>
          <w:iCs/>
          <w:sz w:val="22"/>
          <w:szCs w:val="22"/>
        </w:rPr>
        <w:t xml:space="preserve"> 30</w:t>
      </w:r>
      <w:r w:rsidR="00145599" w:rsidRPr="007B667D">
        <w:rPr>
          <w:rFonts w:cstheme="minorHAnsi"/>
          <w:i/>
          <w:iCs/>
          <w:sz w:val="22"/>
          <w:szCs w:val="22"/>
        </w:rPr>
        <w:t xml:space="preserve">. </w:t>
      </w:r>
      <w:r w:rsidRPr="007B667D">
        <w:rPr>
          <w:rFonts w:cstheme="minorHAnsi"/>
          <w:i/>
          <w:iCs/>
          <w:sz w:val="22"/>
          <w:szCs w:val="22"/>
        </w:rPr>
        <w:t>Beneficios de la práctica de actividad física en la empresa</w:t>
      </w:r>
      <w:r w:rsidR="00145599" w:rsidRPr="007B667D">
        <w:rPr>
          <w:rFonts w:cstheme="minorHAnsi"/>
          <w:i/>
          <w:iCs/>
          <w:sz w:val="22"/>
          <w:szCs w:val="22"/>
        </w:rPr>
        <w:t xml:space="preserve"> </w:t>
      </w:r>
    </w:p>
    <w:p w14:paraId="59A21564" w14:textId="0D12B87D" w:rsidR="00CD50C9" w:rsidRPr="007B667D" w:rsidRDefault="00CD50C9" w:rsidP="0051709F">
      <w:pPr>
        <w:jc w:val="center"/>
        <w:rPr>
          <w:rFonts w:cstheme="minorHAnsi"/>
          <w:b/>
          <w:bCs/>
          <w:sz w:val="22"/>
          <w:szCs w:val="22"/>
        </w:rPr>
      </w:pPr>
      <w:r w:rsidRPr="007B667D">
        <w:rPr>
          <w:rFonts w:cstheme="minorHAnsi"/>
          <w:sz w:val="22"/>
          <w:szCs w:val="22"/>
        </w:rPr>
        <w:t xml:space="preserve">(Fuente: Ara et al, 2021, adaptado de </w:t>
      </w:r>
      <w:proofErr w:type="spellStart"/>
      <w:r w:rsidRPr="007B667D">
        <w:rPr>
          <w:rFonts w:cstheme="minorHAnsi"/>
          <w:sz w:val="22"/>
          <w:szCs w:val="22"/>
        </w:rPr>
        <w:t>Edington</w:t>
      </w:r>
      <w:proofErr w:type="spellEnd"/>
      <w:r w:rsidRPr="007B667D">
        <w:rPr>
          <w:rFonts w:cstheme="minorHAnsi"/>
          <w:sz w:val="22"/>
          <w:szCs w:val="22"/>
        </w:rPr>
        <w:t>, 1995)</w:t>
      </w:r>
      <w:r w:rsidR="00145599" w:rsidRPr="007B667D">
        <w:rPr>
          <w:rFonts w:cstheme="minorHAnsi"/>
          <w:sz w:val="22"/>
          <w:szCs w:val="22"/>
        </w:rPr>
        <w:t>.</w:t>
      </w:r>
    </w:p>
    <w:p w14:paraId="3A1B88C7" w14:textId="77777777" w:rsidR="00CD50C9" w:rsidRPr="0051709F" w:rsidRDefault="00CD50C9" w:rsidP="00CD50C9">
      <w:pPr>
        <w:jc w:val="both"/>
        <w:rPr>
          <w:rFonts w:cstheme="minorHAnsi"/>
          <w:b/>
          <w:bCs/>
        </w:rPr>
      </w:pPr>
    </w:p>
    <w:p w14:paraId="4585FF53" w14:textId="77777777" w:rsidR="00120CD5" w:rsidRDefault="00120CD5" w:rsidP="003906F1">
      <w:pPr>
        <w:pStyle w:val="Ttulo2"/>
        <w:numPr>
          <w:ilvl w:val="0"/>
          <w:numId w:val="0"/>
        </w:numPr>
        <w:rPr>
          <w:rFonts w:asciiTheme="minorHAnsi" w:hAnsiTheme="minorHAnsi" w:cstheme="minorHAnsi"/>
          <w:sz w:val="24"/>
          <w:szCs w:val="24"/>
          <w:lang w:val="es-ES"/>
        </w:rPr>
      </w:pPr>
    </w:p>
    <w:p w14:paraId="4D5AFFE7" w14:textId="6ADD43FC" w:rsidR="00CD50C9" w:rsidRPr="0051709F" w:rsidRDefault="00CD50C9" w:rsidP="003906F1">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Revisión de la literatura existente sobre posibles actuaciones y estrategias que hayan generado o pudieran generar un impacto sostenible </w:t>
      </w:r>
    </w:p>
    <w:p w14:paraId="371810F1" w14:textId="77777777" w:rsidR="00CD50C9" w:rsidRPr="0051709F" w:rsidRDefault="00CD50C9" w:rsidP="00CD50C9">
      <w:pPr>
        <w:autoSpaceDE w:val="0"/>
        <w:autoSpaceDN w:val="0"/>
        <w:adjustRightInd w:val="0"/>
        <w:jc w:val="both"/>
        <w:rPr>
          <w:rFonts w:cstheme="minorHAnsi"/>
          <w:color w:val="C00000"/>
        </w:rPr>
      </w:pPr>
    </w:p>
    <w:p w14:paraId="314EC717" w14:textId="77777777" w:rsidR="00CD50C9" w:rsidRPr="0051709F" w:rsidRDefault="00CD50C9" w:rsidP="00CD50C9">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t>En una revisión sistemática publicada recientemente (</w:t>
      </w:r>
      <w:proofErr w:type="spellStart"/>
      <w:r w:rsidRPr="0051709F">
        <w:rPr>
          <w:rFonts w:cstheme="minorHAnsi"/>
          <w:color w:val="000000" w:themeColor="text1"/>
          <w:lang w:val="es-ES_tradnl"/>
        </w:rPr>
        <w:t>Marin-Farrona</w:t>
      </w:r>
      <w:proofErr w:type="spellEnd"/>
      <w:r w:rsidRPr="0051709F">
        <w:rPr>
          <w:rFonts w:cstheme="minorHAnsi"/>
          <w:color w:val="000000" w:themeColor="text1"/>
          <w:lang w:val="es-ES_tradnl"/>
        </w:rPr>
        <w:t xml:space="preserve"> et al., 2023), se identifica que los programas actuales de promoción de bienestar en el lugar de trabajo (en inglés, </w:t>
      </w:r>
      <w:proofErr w:type="spellStart"/>
      <w:r w:rsidRPr="0051709F">
        <w:rPr>
          <w:rFonts w:cstheme="minorHAnsi"/>
          <w:i/>
          <w:iCs/>
          <w:color w:val="000000" w:themeColor="text1"/>
          <w:lang w:val="es-ES_tradnl"/>
        </w:rPr>
        <w:t>worksite</w:t>
      </w:r>
      <w:proofErr w:type="spellEnd"/>
      <w:r w:rsidRPr="0051709F">
        <w:rPr>
          <w:rFonts w:cstheme="minorHAnsi"/>
          <w:i/>
          <w:iCs/>
          <w:color w:val="000000" w:themeColor="text1"/>
          <w:lang w:val="es-ES_tradnl"/>
        </w:rPr>
        <w:t xml:space="preserve"> </w:t>
      </w:r>
      <w:proofErr w:type="spellStart"/>
      <w:r w:rsidRPr="0051709F">
        <w:rPr>
          <w:rFonts w:cstheme="minorHAnsi"/>
          <w:i/>
          <w:iCs/>
          <w:color w:val="000000" w:themeColor="text1"/>
          <w:lang w:val="es-ES_tradnl"/>
        </w:rPr>
        <w:t>wellness</w:t>
      </w:r>
      <w:proofErr w:type="spellEnd"/>
      <w:r w:rsidRPr="0051709F">
        <w:rPr>
          <w:rFonts w:cstheme="minorHAnsi"/>
          <w:i/>
          <w:iCs/>
          <w:color w:val="000000" w:themeColor="text1"/>
          <w:lang w:val="es-ES_tradnl"/>
        </w:rPr>
        <w:t xml:space="preserve"> </w:t>
      </w:r>
      <w:proofErr w:type="spellStart"/>
      <w:r w:rsidRPr="0051709F">
        <w:rPr>
          <w:rFonts w:cstheme="minorHAnsi"/>
          <w:i/>
          <w:iCs/>
          <w:color w:val="000000" w:themeColor="text1"/>
          <w:lang w:val="es-ES_tradnl"/>
        </w:rPr>
        <w:t>programmess</w:t>
      </w:r>
      <w:proofErr w:type="spellEnd"/>
      <w:r w:rsidRPr="0051709F">
        <w:rPr>
          <w:rFonts w:cstheme="minorHAnsi"/>
          <w:i/>
          <w:iCs/>
          <w:color w:val="000000" w:themeColor="text1"/>
          <w:lang w:val="es-ES_tradnl"/>
        </w:rPr>
        <w:t>, WWP</w:t>
      </w:r>
      <w:r w:rsidRPr="0051709F">
        <w:rPr>
          <w:rFonts w:cstheme="minorHAnsi"/>
          <w:color w:val="000000" w:themeColor="text1"/>
          <w:lang w:val="es-ES_tradnl"/>
        </w:rPr>
        <w:t>) centrados en promover la salud de los empleados incluyen diferentes tácticas (por ejemplo, evaluaciones de salud, educación, asesoramiento) que se dirigen a parámetros como los niveles de actividad física (cantidad de actividad ligera, moderada o vigorosa), los niveles de estrés o el control del peso para mejorar la salud y la productividad de los empleados (Abraham, 2019).</w:t>
      </w:r>
    </w:p>
    <w:p w14:paraId="36389985" w14:textId="77777777" w:rsidR="00CD50C9" w:rsidRPr="0051709F" w:rsidRDefault="00CD50C9" w:rsidP="00CD50C9">
      <w:pPr>
        <w:autoSpaceDE w:val="0"/>
        <w:autoSpaceDN w:val="0"/>
        <w:adjustRightInd w:val="0"/>
        <w:jc w:val="both"/>
        <w:rPr>
          <w:rFonts w:cstheme="minorHAnsi"/>
          <w:color w:val="000000" w:themeColor="text1"/>
          <w:lang w:val="es-ES_tradnl"/>
        </w:rPr>
      </w:pPr>
    </w:p>
    <w:p w14:paraId="346646D4" w14:textId="77777777" w:rsidR="00CD50C9" w:rsidRPr="0051709F" w:rsidRDefault="00CD50C9" w:rsidP="00CD50C9">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t>Una de las principales razones del creciente número de estos programas es reducir el absentismo laboral como consecuencia del aumento de la carga de trastornos musculoesqueléticos (Costa, Ramos, 2010) y enfermedades crónicas como las enfermedades pulmonares (</w:t>
      </w:r>
      <w:r w:rsidRPr="0051709F">
        <w:rPr>
          <w:rFonts w:cstheme="minorHAnsi"/>
          <w:color w:val="000000" w:themeColor="text1"/>
        </w:rPr>
        <w:t>Perlman, Maier, 2019</w:t>
      </w:r>
      <w:r w:rsidRPr="0051709F">
        <w:rPr>
          <w:rFonts w:cstheme="minorHAnsi"/>
          <w:color w:val="000000" w:themeColor="text1"/>
          <w:lang w:val="es-ES_tradnl"/>
        </w:rPr>
        <w:t>), el síndrome metabólico (</w:t>
      </w:r>
      <w:proofErr w:type="spellStart"/>
      <w:r w:rsidRPr="0051709F">
        <w:rPr>
          <w:rFonts w:cstheme="minorHAnsi"/>
          <w:color w:val="000000" w:themeColor="text1"/>
        </w:rPr>
        <w:t>Mehrdad</w:t>
      </w:r>
      <w:proofErr w:type="spellEnd"/>
      <w:r w:rsidRPr="0051709F">
        <w:rPr>
          <w:rFonts w:cstheme="minorHAnsi"/>
          <w:color w:val="000000" w:themeColor="text1"/>
        </w:rPr>
        <w:t xml:space="preserve">, </w:t>
      </w:r>
      <w:proofErr w:type="spellStart"/>
      <w:r w:rsidRPr="0051709F">
        <w:rPr>
          <w:rFonts w:cstheme="minorHAnsi"/>
          <w:color w:val="000000" w:themeColor="text1"/>
        </w:rPr>
        <w:t>Abbasi</w:t>
      </w:r>
      <w:proofErr w:type="spellEnd"/>
      <w:r w:rsidRPr="0051709F">
        <w:rPr>
          <w:rFonts w:cstheme="minorHAnsi"/>
          <w:color w:val="000000" w:themeColor="text1"/>
        </w:rPr>
        <w:t>, 2015)</w:t>
      </w:r>
      <w:r w:rsidRPr="0051709F">
        <w:rPr>
          <w:rFonts w:cstheme="minorHAnsi"/>
          <w:color w:val="000000" w:themeColor="text1"/>
          <w:lang w:val="es-ES_tradnl"/>
        </w:rPr>
        <w:t>, el síndrome de burnout (</w:t>
      </w:r>
      <w:proofErr w:type="spellStart"/>
      <w:r w:rsidRPr="0051709F">
        <w:rPr>
          <w:rFonts w:cstheme="minorHAnsi"/>
          <w:color w:val="000000" w:themeColor="text1"/>
        </w:rPr>
        <w:t>Lastovkova</w:t>
      </w:r>
      <w:proofErr w:type="spellEnd"/>
      <w:r w:rsidRPr="0051709F">
        <w:rPr>
          <w:rFonts w:cstheme="minorHAnsi"/>
          <w:color w:val="000000" w:themeColor="text1"/>
        </w:rPr>
        <w:t xml:space="preserve"> at al., 2018)</w:t>
      </w:r>
      <w:r w:rsidRPr="0051709F">
        <w:rPr>
          <w:rFonts w:cstheme="minorHAnsi"/>
          <w:color w:val="000000" w:themeColor="text1"/>
          <w:lang w:val="es-ES_tradnl"/>
        </w:rPr>
        <w:t>, las enfermedades cardiovasculares (</w:t>
      </w:r>
      <w:proofErr w:type="spellStart"/>
      <w:r w:rsidRPr="0051709F">
        <w:rPr>
          <w:rFonts w:cstheme="minorHAnsi"/>
          <w:color w:val="000000" w:themeColor="text1"/>
        </w:rPr>
        <w:t>Virtanen</w:t>
      </w:r>
      <w:proofErr w:type="spellEnd"/>
      <w:r w:rsidRPr="0051709F">
        <w:rPr>
          <w:rFonts w:cstheme="minorHAnsi"/>
          <w:color w:val="000000" w:themeColor="text1"/>
        </w:rPr>
        <w:t xml:space="preserve">, </w:t>
      </w:r>
      <w:proofErr w:type="spellStart"/>
      <w:r w:rsidRPr="0051709F">
        <w:rPr>
          <w:rFonts w:cstheme="minorHAnsi"/>
          <w:color w:val="000000" w:themeColor="text1"/>
        </w:rPr>
        <w:t>Kivim</w:t>
      </w:r>
      <w:proofErr w:type="spellEnd"/>
      <w:r w:rsidRPr="0051709F">
        <w:rPr>
          <w:rFonts w:cstheme="minorHAnsi"/>
          <w:color w:val="000000" w:themeColor="text1"/>
        </w:rPr>
        <w:t>, 2018)</w:t>
      </w:r>
      <w:r w:rsidRPr="0051709F">
        <w:rPr>
          <w:rFonts w:cstheme="minorHAnsi"/>
          <w:color w:val="000000" w:themeColor="text1"/>
          <w:lang w:val="es-ES_tradnl"/>
        </w:rPr>
        <w:t>, y la obesidad (</w:t>
      </w:r>
      <w:proofErr w:type="spellStart"/>
      <w:r w:rsidRPr="0051709F">
        <w:rPr>
          <w:rFonts w:cstheme="minorHAnsi"/>
          <w:color w:val="000000" w:themeColor="text1"/>
          <w:lang w:val="es-ES_tradnl"/>
        </w:rPr>
        <w:t>Sun</w:t>
      </w:r>
      <w:proofErr w:type="spellEnd"/>
      <w:r w:rsidRPr="0051709F">
        <w:rPr>
          <w:rFonts w:cstheme="minorHAnsi"/>
          <w:color w:val="000000" w:themeColor="text1"/>
          <w:lang w:val="es-ES_tradnl"/>
        </w:rPr>
        <w:t xml:space="preserve"> et al., 2018). Los factores de riesgo para la salud modificables (por ejemplo, el tabaquismo, la mala alimentación y la inactividad física) son un factor importante en el desarrollo de estas enfermedades y, por lo tanto, son objetivos fundamentales de este tipo de intervenciones (</w:t>
      </w:r>
      <w:proofErr w:type="spellStart"/>
      <w:r w:rsidRPr="0051709F">
        <w:rPr>
          <w:rFonts w:cstheme="minorHAnsi"/>
          <w:color w:val="000000" w:themeColor="text1"/>
        </w:rPr>
        <w:t>Roemer</w:t>
      </w:r>
      <w:proofErr w:type="spellEnd"/>
      <w:r w:rsidRPr="0051709F">
        <w:rPr>
          <w:rFonts w:cstheme="minorHAnsi"/>
          <w:color w:val="000000" w:themeColor="text1"/>
        </w:rPr>
        <w:t>, 2019)</w:t>
      </w:r>
      <w:r w:rsidRPr="0051709F">
        <w:rPr>
          <w:rFonts w:cstheme="minorHAnsi"/>
          <w:color w:val="000000" w:themeColor="text1"/>
          <w:lang w:val="es-ES_tradnl"/>
        </w:rPr>
        <w:t>. Entre todos estos parámetros, la promoción de la actividad física en el lugar de trabajo despierta cada vez más interés porque podría reducir eficazmente el riesgo de padecer enfermedades crónicas, al tiempo que mejora la productividad y reduce los costes sanitarios (</w:t>
      </w:r>
      <w:proofErr w:type="spellStart"/>
      <w:r w:rsidRPr="0051709F">
        <w:rPr>
          <w:rFonts w:cstheme="minorHAnsi"/>
          <w:color w:val="000000" w:themeColor="text1"/>
        </w:rPr>
        <w:t>Held</w:t>
      </w:r>
      <w:proofErr w:type="spellEnd"/>
      <w:r w:rsidRPr="0051709F">
        <w:rPr>
          <w:rFonts w:cstheme="minorHAnsi"/>
          <w:color w:val="000000" w:themeColor="text1"/>
          <w:lang w:val="es-ES_tradnl"/>
        </w:rPr>
        <w:t xml:space="preserve"> et al., 2012). </w:t>
      </w:r>
    </w:p>
    <w:p w14:paraId="52B7FFBE" w14:textId="77777777" w:rsidR="00CD50C9" w:rsidRPr="0051709F" w:rsidRDefault="00CD50C9" w:rsidP="00CD50C9">
      <w:pPr>
        <w:autoSpaceDE w:val="0"/>
        <w:autoSpaceDN w:val="0"/>
        <w:adjustRightInd w:val="0"/>
        <w:jc w:val="both"/>
        <w:rPr>
          <w:rFonts w:cstheme="minorHAnsi"/>
          <w:color w:val="000000" w:themeColor="text1"/>
          <w:lang w:val="es-ES_tradnl"/>
        </w:rPr>
      </w:pPr>
    </w:p>
    <w:p w14:paraId="77DAF5DC" w14:textId="7E663C62" w:rsidR="00CD50C9" w:rsidRPr="0051709F" w:rsidRDefault="00CD50C9" w:rsidP="00CD50C9">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lastRenderedPageBreak/>
        <w:t>En consecuencia, la Organización Mundial de la Salud fomenta la promoción de la actividad física en el lugar de trabajo dentro del Plan de Acción Global sobre Actividad Física, también conocido como GAPPA (Acción 2.5; Acción 3.3), mientras que la promoción de la salud y la actividad física en el lugar de trabajo también se incluye entre los Objetivos de Desarrollo Sostenible (objetivos 3 y 8</w:t>
      </w:r>
      <w:r w:rsidR="00330A24">
        <w:rPr>
          <w:rFonts w:cstheme="minorHAnsi"/>
          <w:color w:val="000000" w:themeColor="text1"/>
          <w:lang w:val="es-ES_tradnl"/>
        </w:rPr>
        <w:t xml:space="preserve">, </w:t>
      </w:r>
      <w:proofErr w:type="spellStart"/>
      <w:r w:rsidR="006D4843">
        <w:rPr>
          <w:rFonts w:cstheme="minorHAnsi"/>
          <w:color w:val="000000" w:themeColor="text1"/>
          <w:lang w:val="es-ES_tradnl"/>
        </w:rPr>
        <w:t>World</w:t>
      </w:r>
      <w:proofErr w:type="spellEnd"/>
      <w:r w:rsidR="006D4843">
        <w:rPr>
          <w:rFonts w:cstheme="minorHAnsi"/>
          <w:color w:val="000000" w:themeColor="text1"/>
          <w:lang w:val="es-ES_tradnl"/>
        </w:rPr>
        <w:t xml:space="preserve"> </w:t>
      </w:r>
      <w:proofErr w:type="spellStart"/>
      <w:r w:rsidR="006D4843">
        <w:rPr>
          <w:rFonts w:cstheme="minorHAnsi"/>
          <w:color w:val="000000" w:themeColor="text1"/>
          <w:lang w:val="es-ES_tradnl"/>
        </w:rPr>
        <w:t>Health</w:t>
      </w:r>
      <w:proofErr w:type="spellEnd"/>
      <w:r w:rsidR="006D4843">
        <w:rPr>
          <w:rFonts w:cstheme="minorHAnsi"/>
          <w:color w:val="000000" w:themeColor="text1"/>
          <w:lang w:val="es-ES_tradnl"/>
        </w:rPr>
        <w:t xml:space="preserve"> </w:t>
      </w:r>
      <w:proofErr w:type="spellStart"/>
      <w:r w:rsidR="006D4843">
        <w:rPr>
          <w:rFonts w:cstheme="minorHAnsi"/>
          <w:color w:val="000000" w:themeColor="text1"/>
          <w:lang w:val="es-ES_tradnl"/>
        </w:rPr>
        <w:t>Organization</w:t>
      </w:r>
      <w:proofErr w:type="spellEnd"/>
      <w:r w:rsidRPr="0051709F">
        <w:rPr>
          <w:rFonts w:cstheme="minorHAnsi"/>
          <w:color w:val="000000" w:themeColor="text1"/>
          <w:lang w:val="es-ES_tradnl"/>
        </w:rPr>
        <w:t>, 2018).</w:t>
      </w:r>
    </w:p>
    <w:p w14:paraId="2616F0F5" w14:textId="77777777" w:rsidR="00CD50C9" w:rsidRPr="0051709F" w:rsidRDefault="00CD50C9" w:rsidP="00CD50C9">
      <w:pPr>
        <w:autoSpaceDE w:val="0"/>
        <w:autoSpaceDN w:val="0"/>
        <w:adjustRightInd w:val="0"/>
        <w:jc w:val="both"/>
        <w:rPr>
          <w:rFonts w:cstheme="minorHAnsi"/>
          <w:color w:val="000000" w:themeColor="text1"/>
          <w:lang w:val="es-ES_tradnl"/>
        </w:rPr>
      </w:pPr>
    </w:p>
    <w:p w14:paraId="5926C08B" w14:textId="1F5F0FE7" w:rsidR="00CD50C9" w:rsidRPr="0051709F" w:rsidRDefault="00CD50C9" w:rsidP="00CD50C9">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t>Como resultado, cada vez es más frecuente encontrar organizaciones con programas en el lugar de trabajo basados en la actividad física (</w:t>
      </w:r>
      <w:proofErr w:type="spellStart"/>
      <w:r w:rsidRPr="0051709F">
        <w:rPr>
          <w:rFonts w:cstheme="minorHAnsi"/>
          <w:color w:val="000000" w:themeColor="text1"/>
        </w:rPr>
        <w:t>Jirathananuwat</w:t>
      </w:r>
      <w:proofErr w:type="spellEnd"/>
      <w:r w:rsidRPr="0051709F">
        <w:rPr>
          <w:rFonts w:cstheme="minorHAnsi"/>
          <w:color w:val="000000" w:themeColor="text1"/>
        </w:rPr>
        <w:t xml:space="preserve">, </w:t>
      </w:r>
      <w:proofErr w:type="spellStart"/>
      <w:r w:rsidRPr="0051709F">
        <w:rPr>
          <w:rFonts w:cstheme="minorHAnsi"/>
          <w:color w:val="000000" w:themeColor="text1"/>
        </w:rPr>
        <w:t>Pongpirul</w:t>
      </w:r>
      <w:proofErr w:type="spellEnd"/>
      <w:r w:rsidRPr="0051709F">
        <w:rPr>
          <w:rFonts w:cstheme="minorHAnsi"/>
          <w:color w:val="000000" w:themeColor="text1"/>
        </w:rPr>
        <w:t>, 2017)</w:t>
      </w:r>
      <w:r w:rsidRPr="0051709F">
        <w:rPr>
          <w:rFonts w:cstheme="minorHAnsi"/>
          <w:color w:val="000000" w:themeColor="text1"/>
          <w:lang w:val="es-ES_tradnl"/>
        </w:rPr>
        <w:t>. Estos programas pueden adaptarse a factores como la población destinataria (p</w:t>
      </w:r>
      <w:r w:rsidR="00847482">
        <w:rPr>
          <w:rFonts w:cstheme="minorHAnsi"/>
          <w:color w:val="000000" w:themeColor="text1"/>
          <w:lang w:val="es-ES_tradnl"/>
        </w:rPr>
        <w:t>or</w:t>
      </w:r>
      <w:r w:rsidRPr="0051709F">
        <w:rPr>
          <w:rFonts w:cstheme="minorHAnsi"/>
          <w:color w:val="000000" w:themeColor="text1"/>
          <w:lang w:val="es-ES_tradnl"/>
        </w:rPr>
        <w:t xml:space="preserve"> ej</w:t>
      </w:r>
      <w:r w:rsidR="00847482">
        <w:rPr>
          <w:rFonts w:cstheme="minorHAnsi"/>
          <w:color w:val="000000" w:themeColor="text1"/>
          <w:lang w:val="es-ES_tradnl"/>
        </w:rPr>
        <w:t>emplo</w:t>
      </w:r>
      <w:r w:rsidRPr="0051709F">
        <w:rPr>
          <w:rFonts w:cstheme="minorHAnsi"/>
          <w:color w:val="000000" w:themeColor="text1"/>
          <w:lang w:val="es-ES_tradnl"/>
        </w:rPr>
        <w:t>, oficinistas, constructores, médicos), la estructura de la actividad física (es decir, no estructurada, semiestructurada o estructurada), el entorno social de la actividad física (es decir, sola o en grupo), el uso de estrategias de cambio de comportamiento (</w:t>
      </w:r>
      <w:proofErr w:type="spellStart"/>
      <w:r w:rsidRPr="0051709F">
        <w:rPr>
          <w:rFonts w:cstheme="minorHAnsi"/>
          <w:color w:val="000000" w:themeColor="text1"/>
        </w:rPr>
        <w:t>Dugdill</w:t>
      </w:r>
      <w:proofErr w:type="spellEnd"/>
      <w:r w:rsidRPr="0051709F">
        <w:rPr>
          <w:rFonts w:cstheme="minorHAnsi"/>
          <w:color w:val="000000" w:themeColor="text1"/>
          <w:lang w:val="es-ES_tradnl"/>
        </w:rPr>
        <w:t xml:space="preserve"> et al., 2008) y, según la </w:t>
      </w:r>
      <w:r w:rsidR="006D4843" w:rsidRPr="006D4843">
        <w:rPr>
          <w:rStyle w:val="rynqvb"/>
          <w:rFonts w:cstheme="minorHAnsi"/>
        </w:rPr>
        <w:t>Organización Mundial de la Salud</w:t>
      </w:r>
      <w:r w:rsidRPr="0051709F">
        <w:rPr>
          <w:rFonts w:cstheme="minorHAnsi"/>
          <w:color w:val="000000" w:themeColor="text1"/>
          <w:lang w:val="es-ES_tradnl"/>
        </w:rPr>
        <w:t>, el tipo de modalidad de actividad física, como el ejercicio aeróbico (EA), la modalidad de ejercicio de fuerza (EF) y el ejercicio de flexibilidad o equilibrio (EF) (</w:t>
      </w:r>
      <w:proofErr w:type="spellStart"/>
      <w:r w:rsidR="006D4843">
        <w:rPr>
          <w:rFonts w:cstheme="minorHAnsi"/>
          <w:color w:val="000000" w:themeColor="text1"/>
          <w:lang w:val="es-ES_tradnl"/>
        </w:rPr>
        <w:t>World</w:t>
      </w:r>
      <w:proofErr w:type="spellEnd"/>
      <w:r w:rsidR="006D4843">
        <w:rPr>
          <w:rFonts w:cstheme="minorHAnsi"/>
          <w:color w:val="000000" w:themeColor="text1"/>
          <w:lang w:val="es-ES_tradnl"/>
        </w:rPr>
        <w:t xml:space="preserve"> </w:t>
      </w:r>
      <w:proofErr w:type="spellStart"/>
      <w:r w:rsidR="006D4843">
        <w:rPr>
          <w:rFonts w:cstheme="minorHAnsi"/>
          <w:color w:val="000000" w:themeColor="text1"/>
          <w:lang w:val="es-ES_tradnl"/>
        </w:rPr>
        <w:t>Health</w:t>
      </w:r>
      <w:proofErr w:type="spellEnd"/>
      <w:r w:rsidR="006D4843">
        <w:rPr>
          <w:rFonts w:cstheme="minorHAnsi"/>
          <w:color w:val="000000" w:themeColor="text1"/>
          <w:lang w:val="es-ES_tradnl"/>
        </w:rPr>
        <w:t xml:space="preserve"> </w:t>
      </w:r>
      <w:proofErr w:type="spellStart"/>
      <w:r w:rsidR="006D4843">
        <w:rPr>
          <w:rFonts w:cstheme="minorHAnsi"/>
          <w:color w:val="000000" w:themeColor="text1"/>
          <w:lang w:val="es-ES_tradnl"/>
        </w:rPr>
        <w:t>Organization</w:t>
      </w:r>
      <w:proofErr w:type="spellEnd"/>
      <w:r w:rsidRPr="0051709F">
        <w:rPr>
          <w:rFonts w:cstheme="minorHAnsi"/>
          <w:color w:val="000000" w:themeColor="text1"/>
          <w:lang w:val="es-ES_tradnl"/>
        </w:rPr>
        <w:t>, 2018).</w:t>
      </w:r>
    </w:p>
    <w:p w14:paraId="3EB570A9" w14:textId="77777777" w:rsidR="00CD50C9" w:rsidRPr="0051709F" w:rsidRDefault="00CD50C9" w:rsidP="00CD50C9">
      <w:pPr>
        <w:autoSpaceDE w:val="0"/>
        <w:autoSpaceDN w:val="0"/>
        <w:adjustRightInd w:val="0"/>
        <w:jc w:val="both"/>
        <w:rPr>
          <w:rFonts w:cstheme="minorHAnsi"/>
          <w:color w:val="000000" w:themeColor="text1"/>
          <w:lang w:val="es-ES_tradnl"/>
        </w:rPr>
      </w:pPr>
    </w:p>
    <w:p w14:paraId="51AFC6E7" w14:textId="1CF1DC00" w:rsidR="00CD50C9" w:rsidRPr="0051709F" w:rsidRDefault="00CD50C9" w:rsidP="00CD50C9">
      <w:pPr>
        <w:autoSpaceDE w:val="0"/>
        <w:autoSpaceDN w:val="0"/>
        <w:adjustRightInd w:val="0"/>
        <w:jc w:val="both"/>
        <w:rPr>
          <w:rFonts w:cstheme="minorHAnsi"/>
          <w:color w:val="000000" w:themeColor="text1"/>
          <w:lang w:val="es-ES_tradnl"/>
        </w:rPr>
      </w:pPr>
      <w:r w:rsidRPr="0051709F">
        <w:rPr>
          <w:rFonts w:cstheme="minorHAnsi"/>
          <w:color w:val="000000" w:themeColor="text1"/>
          <w:lang w:val="es-ES_tradnl"/>
        </w:rPr>
        <w:t>A menudo</w:t>
      </w:r>
      <w:r w:rsidR="00847482">
        <w:rPr>
          <w:rFonts w:cstheme="minorHAnsi"/>
          <w:color w:val="000000" w:themeColor="text1"/>
          <w:lang w:val="es-ES_tradnl"/>
        </w:rPr>
        <w:t>,</w:t>
      </w:r>
      <w:r w:rsidRPr="0051709F">
        <w:rPr>
          <w:rFonts w:cstheme="minorHAnsi"/>
          <w:color w:val="000000" w:themeColor="text1"/>
          <w:lang w:val="es-ES_tradnl"/>
        </w:rPr>
        <w:t xml:space="preserve"> se informa del impacto de estos programas en términos de productividad (es decir, capacidad de trabajo, absentismo, satisfacción laboral) o salud (es decir, aptitud cardiorrespiratoria), con resultados prometedores (</w:t>
      </w:r>
      <w:proofErr w:type="spellStart"/>
      <w:r w:rsidRPr="0051709F">
        <w:rPr>
          <w:rFonts w:cstheme="minorHAnsi"/>
          <w:color w:val="000000" w:themeColor="text1"/>
        </w:rPr>
        <w:t>Mulchandani</w:t>
      </w:r>
      <w:proofErr w:type="spellEnd"/>
      <w:r w:rsidRPr="0051709F">
        <w:rPr>
          <w:rFonts w:cstheme="minorHAnsi"/>
          <w:color w:val="000000" w:themeColor="text1"/>
        </w:rPr>
        <w:t xml:space="preserve"> et al., 2019)</w:t>
      </w:r>
      <w:r w:rsidRPr="0051709F">
        <w:rPr>
          <w:rFonts w:cstheme="minorHAnsi"/>
          <w:color w:val="000000" w:themeColor="text1"/>
          <w:lang w:val="es-ES_tradnl"/>
        </w:rPr>
        <w:t>. De esta forma, diferentes intervenciones han sido eficaces para mejorar variables como la aptitud cardiorrespiratoria y el presentismo, lo que se ha traducido en un rendimiento económico y en una disminución de los costes sanitarios, entre otros (</w:t>
      </w:r>
      <w:proofErr w:type="spellStart"/>
      <w:r w:rsidRPr="0051709F">
        <w:rPr>
          <w:rFonts w:cstheme="minorHAnsi"/>
          <w:color w:val="000000" w:themeColor="text1"/>
        </w:rPr>
        <w:t>Mulchandani</w:t>
      </w:r>
      <w:proofErr w:type="spellEnd"/>
      <w:r w:rsidRPr="0051709F">
        <w:rPr>
          <w:rFonts w:cstheme="minorHAnsi"/>
          <w:color w:val="000000" w:themeColor="text1"/>
        </w:rPr>
        <w:t xml:space="preserve"> et al., 2019</w:t>
      </w:r>
      <w:r w:rsidRPr="0051709F">
        <w:rPr>
          <w:rFonts w:cstheme="minorHAnsi"/>
          <w:color w:val="000000" w:themeColor="text1"/>
          <w:lang w:val="es-ES_tradnl"/>
        </w:rPr>
        <w:t xml:space="preserve">). Por lo tanto, los lugares de trabajo contemporáneos pueden beneficiarse de la implementación de las WPPA de varias maneras. Sin embargo, a pesar de </w:t>
      </w:r>
      <w:r w:rsidR="00847482">
        <w:rPr>
          <w:rFonts w:cstheme="minorHAnsi"/>
          <w:color w:val="000000" w:themeColor="text1"/>
          <w:lang w:val="es-ES_tradnl"/>
        </w:rPr>
        <w:t>l</w:t>
      </w:r>
      <w:r w:rsidR="00847482" w:rsidRPr="0051709F">
        <w:rPr>
          <w:rFonts w:cstheme="minorHAnsi"/>
          <w:color w:val="000000" w:themeColor="text1"/>
          <w:lang w:val="es-ES_tradnl"/>
        </w:rPr>
        <w:t xml:space="preserve">as </w:t>
      </w:r>
      <w:r w:rsidRPr="0051709F">
        <w:rPr>
          <w:rFonts w:cstheme="minorHAnsi"/>
          <w:color w:val="000000" w:themeColor="text1"/>
          <w:lang w:val="es-ES_tradnl"/>
        </w:rPr>
        <w:t>revisiones sobre los WPPA (</w:t>
      </w:r>
      <w:proofErr w:type="spellStart"/>
      <w:r w:rsidRPr="0051709F">
        <w:rPr>
          <w:rFonts w:cstheme="minorHAnsi"/>
          <w:color w:val="000000" w:themeColor="text1"/>
          <w:lang w:val="es-ES_tradnl"/>
        </w:rPr>
        <w:t>Jirathananuwat</w:t>
      </w:r>
      <w:proofErr w:type="spellEnd"/>
      <w:r w:rsidRPr="0051709F">
        <w:rPr>
          <w:rFonts w:cstheme="minorHAnsi"/>
          <w:color w:val="000000" w:themeColor="text1"/>
          <w:lang w:val="es-ES_tradnl"/>
        </w:rPr>
        <w:t xml:space="preserve">, </w:t>
      </w:r>
      <w:proofErr w:type="spellStart"/>
      <w:r w:rsidRPr="0051709F">
        <w:rPr>
          <w:rFonts w:cstheme="minorHAnsi"/>
          <w:color w:val="000000" w:themeColor="text1"/>
          <w:lang w:val="es-ES_tradnl"/>
        </w:rPr>
        <w:t>Pongpirul</w:t>
      </w:r>
      <w:proofErr w:type="spellEnd"/>
      <w:r w:rsidRPr="0051709F">
        <w:rPr>
          <w:rFonts w:cstheme="minorHAnsi"/>
          <w:color w:val="000000" w:themeColor="text1"/>
          <w:lang w:val="es-ES_tradnl"/>
        </w:rPr>
        <w:t xml:space="preserve">, 2017; </w:t>
      </w:r>
      <w:proofErr w:type="spellStart"/>
      <w:r w:rsidRPr="0051709F">
        <w:rPr>
          <w:rFonts w:cstheme="minorHAnsi"/>
          <w:color w:val="000000" w:themeColor="text1"/>
          <w:lang w:val="es-ES_tradnl"/>
        </w:rPr>
        <w:t>Manttari</w:t>
      </w:r>
      <w:proofErr w:type="spellEnd"/>
      <w:r w:rsidRPr="0051709F">
        <w:rPr>
          <w:rFonts w:cstheme="minorHAnsi"/>
          <w:color w:val="000000" w:themeColor="text1"/>
          <w:lang w:val="es-ES_tradnl"/>
        </w:rPr>
        <w:t xml:space="preserve"> et al., 2021; Muir et al., 2019; </w:t>
      </w:r>
      <w:proofErr w:type="spellStart"/>
      <w:r w:rsidRPr="0051709F">
        <w:rPr>
          <w:rFonts w:cstheme="minorHAnsi"/>
          <w:color w:val="000000" w:themeColor="text1"/>
          <w:lang w:val="es-ES_tradnl"/>
        </w:rPr>
        <w:t>Abdin</w:t>
      </w:r>
      <w:proofErr w:type="spellEnd"/>
      <w:r w:rsidRPr="0051709F">
        <w:rPr>
          <w:rFonts w:cstheme="minorHAnsi"/>
          <w:color w:val="000000" w:themeColor="text1"/>
          <w:lang w:val="es-ES_tradnl"/>
        </w:rPr>
        <w:t xml:space="preserve"> et al, 2018), ninguna de ellas ha analizado el impacto de estos programas sobre la productividad y la salud de los empleados al mismo tiempo mediante ensayos controlados aleatorizados. Además, sigue sin conocerse qué tipo de modalidad de actividad física incluida en estos programas es más eficaz para mejorar tanto la productividad como la salud. Por último, conocer el impacto económico de diferentes modelos de intervención proporcionaría información útil para desarrollar propuestas preventivas en las empresas y animar a los trabajadores a adoptar estilos de vida más activos.</w:t>
      </w:r>
    </w:p>
    <w:p w14:paraId="5F6E7F02" w14:textId="77777777" w:rsidR="00CD50C9" w:rsidRPr="0051709F" w:rsidRDefault="00CD50C9" w:rsidP="00CD50C9">
      <w:pPr>
        <w:autoSpaceDE w:val="0"/>
        <w:autoSpaceDN w:val="0"/>
        <w:adjustRightInd w:val="0"/>
        <w:jc w:val="both"/>
        <w:rPr>
          <w:rFonts w:cstheme="minorHAnsi"/>
          <w:lang w:val="es-ES_tradnl"/>
        </w:rPr>
      </w:pPr>
    </w:p>
    <w:p w14:paraId="2D0B4991" w14:textId="3EA59CBC" w:rsidR="00CD50C9" w:rsidRPr="0051709F" w:rsidRDefault="00CD50C9" w:rsidP="00CD50C9">
      <w:pPr>
        <w:jc w:val="both"/>
        <w:rPr>
          <w:rFonts w:cstheme="minorHAnsi"/>
        </w:rPr>
      </w:pPr>
      <w:r w:rsidRPr="0051709F">
        <w:rPr>
          <w:rFonts w:cstheme="minorHAnsi"/>
          <w:lang w:val="es-ES_tradnl"/>
        </w:rPr>
        <w:t>Por otra parte, un</w:t>
      </w:r>
      <w:r w:rsidRPr="0051709F">
        <w:rPr>
          <w:rFonts w:cstheme="minorHAnsi"/>
        </w:rPr>
        <w:t xml:space="preserve"> estudio reciente (</w:t>
      </w:r>
      <w:proofErr w:type="spellStart"/>
      <w:r w:rsidRPr="0051709F">
        <w:rPr>
          <w:rFonts w:cstheme="minorHAnsi"/>
        </w:rPr>
        <w:t>Hafner</w:t>
      </w:r>
      <w:proofErr w:type="spellEnd"/>
      <w:r w:rsidRPr="0051709F">
        <w:rPr>
          <w:rFonts w:cstheme="minorHAnsi"/>
        </w:rPr>
        <w:t xml:space="preserve"> et al., 2020) vincula la inactividad física con la oferta de mano de obra a través del exceso de mortalidad y la reducción de la productividad, y estima los beneficios económicos potenciales de aumentar los niveles nacionales de actividad física hasta el límite inferior del intervalo recomendado por las directrices de la </w:t>
      </w:r>
      <w:r w:rsidR="006D4843">
        <w:rPr>
          <w:rFonts w:cstheme="minorHAnsi"/>
        </w:rPr>
        <w:t>Organización Mundial de la Salud</w:t>
      </w:r>
      <w:r w:rsidRPr="0051709F">
        <w:rPr>
          <w:rFonts w:cstheme="minorHAnsi"/>
        </w:rPr>
        <w:t xml:space="preserve"> para 2020 (Bull et al., 2020).</w:t>
      </w:r>
    </w:p>
    <w:p w14:paraId="25121159" w14:textId="77777777" w:rsidR="00CD50C9" w:rsidRPr="0051709F" w:rsidRDefault="00CD50C9" w:rsidP="00CD50C9">
      <w:pPr>
        <w:jc w:val="both"/>
        <w:rPr>
          <w:rFonts w:cstheme="minorHAnsi"/>
        </w:rPr>
      </w:pPr>
    </w:p>
    <w:p w14:paraId="41305CB9" w14:textId="77777777" w:rsidR="00CD50C9" w:rsidRPr="0051709F" w:rsidRDefault="00CD50C9" w:rsidP="00CD50C9">
      <w:pPr>
        <w:jc w:val="both"/>
        <w:rPr>
          <w:rFonts w:cstheme="minorHAnsi"/>
        </w:rPr>
      </w:pPr>
      <w:r w:rsidRPr="0051709F">
        <w:rPr>
          <w:rFonts w:cstheme="minorHAnsi"/>
        </w:rPr>
        <w:t xml:space="preserve">Así, los autores identificaron que las implicaciones económicas positivas de la mejora de la actividad física se reflejan en un aumento de la oferta efectiva de mano de obra a través de una combinación de dos elementos: </w:t>
      </w:r>
    </w:p>
    <w:p w14:paraId="7761F36E" w14:textId="77777777" w:rsidR="00CD50C9" w:rsidRPr="0051709F" w:rsidRDefault="00CD50C9" w:rsidP="00CD50C9">
      <w:pPr>
        <w:jc w:val="both"/>
        <w:rPr>
          <w:rFonts w:cstheme="minorHAnsi"/>
        </w:rPr>
      </w:pPr>
    </w:p>
    <w:p w14:paraId="03C4B515" w14:textId="77777777" w:rsidR="00CD50C9" w:rsidRPr="0051709F" w:rsidRDefault="00CD50C9" w:rsidP="00E6399B">
      <w:pPr>
        <w:pStyle w:val="Prrafodelista"/>
        <w:numPr>
          <w:ilvl w:val="0"/>
          <w:numId w:val="92"/>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la mejora de la actividad física aumenta el tamaño de la mano de obra gracias a un menor riesgo de mortalidad, y </w:t>
      </w:r>
    </w:p>
    <w:p w14:paraId="2C638C52" w14:textId="3B6EF9AE" w:rsidR="00CD50C9" w:rsidRPr="0051709F" w:rsidRDefault="00CD50C9" w:rsidP="00E6399B">
      <w:pPr>
        <w:pStyle w:val="Prrafodelista"/>
        <w:numPr>
          <w:ilvl w:val="0"/>
          <w:numId w:val="92"/>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lastRenderedPageBreak/>
        <w:t>la mejora de la actividad física aumenta los niveles de productividad de los trabajadores al reducir las bajas por enfermedad y el presentismo.</w:t>
      </w:r>
    </w:p>
    <w:p w14:paraId="020AE748" w14:textId="77777777" w:rsidR="00CD50C9" w:rsidRPr="0051709F" w:rsidRDefault="00CD50C9" w:rsidP="00CD50C9">
      <w:pPr>
        <w:jc w:val="both"/>
        <w:rPr>
          <w:rFonts w:cstheme="minorHAnsi"/>
        </w:rPr>
      </w:pPr>
    </w:p>
    <w:p w14:paraId="77575F30" w14:textId="77777777" w:rsidR="00CD50C9" w:rsidRPr="0051709F" w:rsidRDefault="00CD50C9" w:rsidP="00CD50C9">
      <w:pPr>
        <w:jc w:val="both"/>
        <w:rPr>
          <w:rFonts w:cstheme="minorHAnsi"/>
        </w:rPr>
      </w:pPr>
      <w:r w:rsidRPr="0051709F">
        <w:rPr>
          <w:rFonts w:cstheme="minorHAnsi"/>
        </w:rPr>
        <w:t xml:space="preserve">Se supone que estos vínculos entre la actividad física y la productividad en el trabajo se manifiestan a través de las ausencias por enfermedad y el </w:t>
      </w:r>
      <w:r w:rsidRPr="0051709F">
        <w:rPr>
          <w:rFonts w:cstheme="minorHAnsi"/>
          <w:i/>
          <w:iCs/>
        </w:rPr>
        <w:t>presentismo</w:t>
      </w:r>
      <w:r w:rsidRPr="0051709F">
        <w:rPr>
          <w:rFonts w:cstheme="minorHAnsi"/>
        </w:rPr>
        <w:t xml:space="preserve">, definido generalmente como </w:t>
      </w:r>
      <w:r w:rsidRPr="0051709F">
        <w:rPr>
          <w:rFonts w:cstheme="minorHAnsi"/>
          <w:i/>
          <w:iCs/>
        </w:rPr>
        <w:t>"presentarse a trabajar estando enfermo"</w:t>
      </w:r>
      <w:r w:rsidRPr="0051709F">
        <w:rPr>
          <w:rFonts w:cstheme="minorHAnsi"/>
        </w:rPr>
        <w:t xml:space="preserve"> (Johns, 2010).</w:t>
      </w:r>
    </w:p>
    <w:p w14:paraId="6DEBB0D1" w14:textId="77777777" w:rsidR="00CD50C9" w:rsidRPr="0051709F" w:rsidRDefault="00CD50C9" w:rsidP="00CD50C9">
      <w:pPr>
        <w:jc w:val="both"/>
        <w:rPr>
          <w:rFonts w:cstheme="minorHAnsi"/>
        </w:rPr>
      </w:pPr>
    </w:p>
    <w:p w14:paraId="05EB46ED" w14:textId="727AA971" w:rsidR="00CD50C9" w:rsidRPr="0051709F" w:rsidRDefault="00CD50C9" w:rsidP="00CD50C9">
      <w:pPr>
        <w:jc w:val="both"/>
        <w:rPr>
          <w:rFonts w:cstheme="minorHAnsi"/>
        </w:rPr>
      </w:pPr>
      <w:r w:rsidRPr="0051709F">
        <w:rPr>
          <w:rFonts w:cstheme="minorHAnsi"/>
        </w:rPr>
        <w:t xml:space="preserve">En el estudio de </w:t>
      </w:r>
      <w:proofErr w:type="spellStart"/>
      <w:r w:rsidRPr="0051709F">
        <w:rPr>
          <w:rFonts w:cstheme="minorHAnsi"/>
        </w:rPr>
        <w:t>Hafner</w:t>
      </w:r>
      <w:proofErr w:type="spellEnd"/>
      <w:r w:rsidRPr="0051709F">
        <w:rPr>
          <w:rFonts w:cstheme="minorHAnsi"/>
        </w:rPr>
        <w:t xml:space="preserve"> et al (2020), que implicó el uso de datos propios de empleadores y empleados en el Reino Unido, Australia, Malasia, Hong Kong, Tailandia, Singapur y Sri Lanka, recopilados a través de la encuesta británica </w:t>
      </w:r>
      <w:proofErr w:type="spellStart"/>
      <w:r w:rsidRPr="0051709F">
        <w:rPr>
          <w:rFonts w:cstheme="minorHAnsi"/>
          <w:i/>
          <w:iCs/>
        </w:rPr>
        <w:t>Healthiest</w:t>
      </w:r>
      <w:proofErr w:type="spellEnd"/>
      <w:r w:rsidRPr="0051709F">
        <w:rPr>
          <w:rFonts w:cstheme="minorHAnsi"/>
          <w:i/>
          <w:iCs/>
        </w:rPr>
        <w:t xml:space="preserve"> </w:t>
      </w:r>
      <w:proofErr w:type="spellStart"/>
      <w:r w:rsidRPr="0051709F">
        <w:rPr>
          <w:rFonts w:cstheme="minorHAnsi"/>
          <w:i/>
          <w:iCs/>
        </w:rPr>
        <w:t>Workplace</w:t>
      </w:r>
      <w:proofErr w:type="spellEnd"/>
      <w:r w:rsidRPr="0051709F">
        <w:rPr>
          <w:rFonts w:cstheme="minorHAnsi"/>
          <w:i/>
          <w:iCs/>
        </w:rPr>
        <w:t xml:space="preserve"> </w:t>
      </w:r>
      <w:proofErr w:type="spellStart"/>
      <w:r w:rsidRPr="0051709F">
        <w:rPr>
          <w:rFonts w:cstheme="minorHAnsi"/>
          <w:i/>
          <w:iCs/>
        </w:rPr>
        <w:t>Survey</w:t>
      </w:r>
      <w:proofErr w:type="spellEnd"/>
      <w:r w:rsidRPr="0051709F">
        <w:rPr>
          <w:rFonts w:cstheme="minorHAnsi"/>
        </w:rPr>
        <w:t xml:space="preserve"> de </w:t>
      </w:r>
      <w:proofErr w:type="spellStart"/>
      <w:r w:rsidRPr="0051709F">
        <w:rPr>
          <w:rFonts w:cstheme="minorHAnsi"/>
        </w:rPr>
        <w:t>Vitality</w:t>
      </w:r>
      <w:proofErr w:type="spellEnd"/>
      <w:r w:rsidRPr="0051709F">
        <w:rPr>
          <w:rStyle w:val="Refdenotaalpie"/>
          <w:rFonts w:cstheme="minorHAnsi"/>
        </w:rPr>
        <w:footnoteReference w:id="8"/>
      </w:r>
      <w:r w:rsidRPr="0051709F">
        <w:rPr>
          <w:rFonts w:cstheme="minorHAnsi"/>
        </w:rPr>
        <w:t xml:space="preserve"> y la encuesta asiática </w:t>
      </w:r>
      <w:proofErr w:type="spellStart"/>
      <w:r w:rsidRPr="0051709F">
        <w:rPr>
          <w:rFonts w:cstheme="minorHAnsi"/>
          <w:i/>
          <w:iCs/>
        </w:rPr>
        <w:t>Healthiest</w:t>
      </w:r>
      <w:proofErr w:type="spellEnd"/>
      <w:r w:rsidRPr="0051709F">
        <w:rPr>
          <w:rFonts w:cstheme="minorHAnsi"/>
          <w:i/>
          <w:iCs/>
        </w:rPr>
        <w:t xml:space="preserve"> </w:t>
      </w:r>
      <w:proofErr w:type="spellStart"/>
      <w:r w:rsidRPr="0051709F">
        <w:rPr>
          <w:rFonts w:cstheme="minorHAnsi"/>
          <w:i/>
          <w:iCs/>
        </w:rPr>
        <w:t>Workplace</w:t>
      </w:r>
      <w:proofErr w:type="spellEnd"/>
      <w:r w:rsidRPr="0051709F">
        <w:rPr>
          <w:rFonts w:cstheme="minorHAnsi"/>
          <w:i/>
          <w:iCs/>
        </w:rPr>
        <w:t xml:space="preserve"> </w:t>
      </w:r>
      <w:proofErr w:type="spellStart"/>
      <w:r w:rsidRPr="0051709F">
        <w:rPr>
          <w:rFonts w:cstheme="minorHAnsi"/>
          <w:i/>
          <w:iCs/>
        </w:rPr>
        <w:t>Survey</w:t>
      </w:r>
      <w:proofErr w:type="spellEnd"/>
      <w:r w:rsidRPr="0051709F">
        <w:rPr>
          <w:rFonts w:cstheme="minorHAnsi"/>
          <w:i/>
          <w:iCs/>
        </w:rPr>
        <w:t xml:space="preserve"> </w:t>
      </w:r>
      <w:r w:rsidRPr="0051709F">
        <w:rPr>
          <w:rFonts w:cstheme="minorHAnsi"/>
        </w:rPr>
        <w:t xml:space="preserve">de AIA </w:t>
      </w:r>
      <w:proofErr w:type="spellStart"/>
      <w:r w:rsidRPr="0051709F">
        <w:rPr>
          <w:rFonts w:cstheme="minorHAnsi"/>
        </w:rPr>
        <w:t>Group</w:t>
      </w:r>
      <w:proofErr w:type="spellEnd"/>
      <w:r w:rsidRPr="0051709F">
        <w:rPr>
          <w:rFonts w:cstheme="minorHAnsi"/>
        </w:rPr>
        <w:t xml:space="preserve"> </w:t>
      </w:r>
      <w:proofErr w:type="spellStart"/>
      <w:r w:rsidRPr="0051709F">
        <w:rPr>
          <w:rFonts w:cstheme="minorHAnsi"/>
        </w:rPr>
        <w:t>Vitality</w:t>
      </w:r>
      <w:proofErr w:type="spellEnd"/>
      <w:r w:rsidRPr="0051709F">
        <w:rPr>
          <w:rStyle w:val="Refdenotaalpie"/>
          <w:rFonts w:cstheme="minorHAnsi"/>
        </w:rPr>
        <w:footnoteReference w:id="9"/>
      </w:r>
      <w:r w:rsidRPr="0051709F">
        <w:rPr>
          <w:rFonts w:cstheme="minorHAnsi"/>
        </w:rPr>
        <w:t>, el equipo incluyó dos oleadas de encuestas anuales (2017-2018) para el Reino Unido y tres (2017-2019) para los países asiáticos, que abarcan un total de 120.143 individuos (Reino Unido: 58 410; Asia: 61 733). Los resultados mostraron que la actividad física se asoció con niveles más altos de productividad en el lugar de trabajo, y que los individuos que realizaban entre 600 y 750 MET-minutos de actividad física por semana</w:t>
      </w:r>
      <w:r w:rsidR="00251140">
        <w:rPr>
          <w:rFonts w:cstheme="minorHAnsi"/>
        </w:rPr>
        <w:t>-</w:t>
      </w:r>
      <w:r w:rsidRPr="0051709F">
        <w:rPr>
          <w:rFonts w:cstheme="minorHAnsi"/>
        </w:rPr>
        <w:t xml:space="preserve"> informaron, en promedio, un deterioro laboral 0,8-1,5 puntos porcentuales (</w:t>
      </w:r>
      <w:proofErr w:type="spellStart"/>
      <w:r w:rsidRPr="0051709F">
        <w:rPr>
          <w:rFonts w:cstheme="minorHAnsi"/>
        </w:rPr>
        <w:t>pp</w:t>
      </w:r>
      <w:proofErr w:type="spellEnd"/>
      <w:r w:rsidRPr="0051709F">
        <w:rPr>
          <w:rFonts w:cstheme="minorHAnsi"/>
        </w:rPr>
        <w:t>) menor debido a ausencias y presentismo que los individuos inactivos (aquellos que realizaban menos de los 600 MET). Y la reducción de la pérdida de productividad aumentaba con el nivel de actividad física declarado.</w:t>
      </w:r>
    </w:p>
    <w:p w14:paraId="2E0CB576" w14:textId="77777777" w:rsidR="00CD50C9" w:rsidRPr="0051709F" w:rsidRDefault="00CD50C9" w:rsidP="00CD50C9">
      <w:pPr>
        <w:jc w:val="both"/>
        <w:rPr>
          <w:rFonts w:cstheme="minorHAnsi"/>
        </w:rPr>
      </w:pPr>
    </w:p>
    <w:p w14:paraId="389A2EA8" w14:textId="77777777" w:rsidR="00CD50C9" w:rsidRPr="0051709F" w:rsidRDefault="00CD50C9" w:rsidP="00CD50C9">
      <w:pPr>
        <w:jc w:val="both"/>
        <w:rPr>
          <w:rFonts w:cstheme="minorHAnsi"/>
        </w:rPr>
      </w:pPr>
      <w:r w:rsidRPr="0051709F">
        <w:rPr>
          <w:rFonts w:cstheme="minorHAnsi"/>
        </w:rPr>
        <w:t>Al mismo tiempo, y basándose en sus resultados, los autores discutieron la percepción de que se supone que la actividad física afecta a la productividad tanto directa como indirectamente, a través de una serie de factores de mediación como la mejora de la salud física y mental:</w:t>
      </w:r>
    </w:p>
    <w:p w14:paraId="0DFCC51E" w14:textId="77777777" w:rsidR="00CD50C9" w:rsidRPr="0051709F" w:rsidRDefault="00CD50C9" w:rsidP="00CD50C9">
      <w:pPr>
        <w:jc w:val="both"/>
        <w:rPr>
          <w:rFonts w:cstheme="minorHAnsi"/>
        </w:rPr>
      </w:pPr>
    </w:p>
    <w:p w14:paraId="3522BA75" w14:textId="77777777" w:rsidR="00CD50C9" w:rsidRPr="0051709F" w:rsidRDefault="00CD50C9" w:rsidP="00CD50C9">
      <w:pPr>
        <w:jc w:val="both"/>
        <w:rPr>
          <w:rFonts w:cstheme="minorHAnsi"/>
        </w:rPr>
      </w:pPr>
      <w:r w:rsidRPr="0051709F">
        <w:rPr>
          <w:rFonts w:cstheme="minorHAnsi"/>
          <w:i/>
          <w:iCs/>
        </w:rPr>
        <w:t>"La mejora de la actividad física aporta numerosos beneficios, desde una mejor salud mental y física, menores tasas de mortalidad por cualquier causa y una mayor productividad en el lugar de trabajo hasta una mayor satisfacción vital. Mientras que los beneficios económicos directos asociados a un menor coste de la asistencia sanitaria se han investigado a fondo en la literatura anterior, los beneficios macroeconómicos más amplios presentados en nuestro estudio han estado ausentes del panorama general"</w:t>
      </w:r>
      <w:r w:rsidRPr="0051709F">
        <w:rPr>
          <w:rFonts w:cstheme="minorHAnsi"/>
        </w:rPr>
        <w:t xml:space="preserve"> (</w:t>
      </w:r>
      <w:proofErr w:type="spellStart"/>
      <w:r w:rsidRPr="0051709F">
        <w:rPr>
          <w:rFonts w:cstheme="minorHAnsi"/>
        </w:rPr>
        <w:t>Hafner</w:t>
      </w:r>
      <w:proofErr w:type="spellEnd"/>
      <w:r w:rsidRPr="0051709F">
        <w:rPr>
          <w:rFonts w:cstheme="minorHAnsi"/>
        </w:rPr>
        <w:t xml:space="preserve"> et al., 2020). </w:t>
      </w:r>
    </w:p>
    <w:p w14:paraId="1057FAF1" w14:textId="77777777" w:rsidR="00CD50C9" w:rsidRPr="0051709F" w:rsidRDefault="00CD50C9" w:rsidP="00CD50C9">
      <w:pPr>
        <w:jc w:val="both"/>
        <w:rPr>
          <w:rFonts w:cstheme="minorHAnsi"/>
        </w:rPr>
      </w:pPr>
    </w:p>
    <w:p w14:paraId="1A429A43" w14:textId="1AA5226E" w:rsidR="00CD50C9" w:rsidRPr="0051709F" w:rsidRDefault="00CD50C9" w:rsidP="00CD50C9">
      <w:pPr>
        <w:jc w:val="both"/>
        <w:rPr>
          <w:rFonts w:cstheme="minorHAnsi"/>
        </w:rPr>
      </w:pPr>
      <w:r w:rsidRPr="0051709F">
        <w:rPr>
          <w:rFonts w:cstheme="minorHAnsi"/>
        </w:rPr>
        <w:t xml:space="preserve">De hecho, este análisis de </w:t>
      </w:r>
      <w:proofErr w:type="spellStart"/>
      <w:r w:rsidRPr="0051709F">
        <w:rPr>
          <w:rFonts w:cstheme="minorHAnsi"/>
        </w:rPr>
        <w:t>Hafner</w:t>
      </w:r>
      <w:proofErr w:type="spellEnd"/>
      <w:r w:rsidRPr="0051709F">
        <w:rPr>
          <w:rFonts w:cstheme="minorHAnsi"/>
        </w:rPr>
        <w:t xml:space="preserve"> et al. (2020) sugiere que la mejora de la actividad física en la población, por ejemplo, haciendo que todo el mundo se adhiera al umbral inferior del intervalo de las directrices de la </w:t>
      </w:r>
      <w:r w:rsidR="006D4843">
        <w:rPr>
          <w:rFonts w:cstheme="minorHAnsi"/>
        </w:rPr>
        <w:t>Organización Mundial de la Salud</w:t>
      </w:r>
      <w:r w:rsidR="006D4843" w:rsidRPr="0051709F">
        <w:rPr>
          <w:rFonts w:cstheme="minorHAnsi"/>
        </w:rPr>
        <w:t xml:space="preserve"> </w:t>
      </w:r>
      <w:r w:rsidR="006D4843">
        <w:rPr>
          <w:rFonts w:cstheme="minorHAnsi"/>
        </w:rPr>
        <w:t>para 2020 (</w:t>
      </w:r>
      <w:r w:rsidRPr="0051709F">
        <w:rPr>
          <w:rFonts w:cstheme="minorHAnsi"/>
        </w:rPr>
        <w:t>Bull et al., 2020) podría asociarse a beneficios económicos extraordinarios, "</w:t>
      </w:r>
      <w:r w:rsidRPr="0051709F">
        <w:rPr>
          <w:rFonts w:cstheme="minorHAnsi"/>
          <w:i/>
          <w:iCs/>
        </w:rPr>
        <w:t>añadiendo potencialmente billones de dólares en producción económica añadida durante un periodo de 30 años y proporcionando una serie de otros beneficios a las personas afectadas</w:t>
      </w:r>
      <w:r w:rsidRPr="0051709F">
        <w:rPr>
          <w:rFonts w:cstheme="minorHAnsi"/>
        </w:rPr>
        <w:t>".</w:t>
      </w:r>
    </w:p>
    <w:p w14:paraId="0824C45A" w14:textId="77777777" w:rsidR="00CD50C9" w:rsidRPr="0051709F" w:rsidRDefault="00CD50C9" w:rsidP="00CD50C9">
      <w:pPr>
        <w:jc w:val="both"/>
        <w:rPr>
          <w:rFonts w:cstheme="minorHAnsi"/>
        </w:rPr>
      </w:pPr>
    </w:p>
    <w:p w14:paraId="058D532B" w14:textId="66C34963" w:rsidR="00CD50C9" w:rsidRPr="0051709F" w:rsidRDefault="00CD50C9" w:rsidP="00CD50C9">
      <w:pPr>
        <w:jc w:val="both"/>
        <w:rPr>
          <w:rFonts w:cstheme="minorHAnsi"/>
        </w:rPr>
      </w:pPr>
      <w:r w:rsidRPr="0051709F">
        <w:rPr>
          <w:rFonts w:cstheme="minorHAnsi"/>
        </w:rPr>
        <w:t xml:space="preserve">Un argumento crítico debatido por los autores es la realidad sobre el proceso de lograr tal cambio en la población, </w:t>
      </w:r>
      <w:r w:rsidRPr="0051709F">
        <w:rPr>
          <w:rFonts w:cstheme="minorHAnsi"/>
          <w:i/>
          <w:iCs/>
        </w:rPr>
        <w:t>"por no hablar de que a escala mundial será lento y difícil".</w:t>
      </w:r>
      <w:r w:rsidRPr="0051709F">
        <w:rPr>
          <w:rFonts w:cstheme="minorHAnsi"/>
        </w:rPr>
        <w:t xml:space="preserve"> </w:t>
      </w:r>
      <w:r w:rsidRPr="0051709F">
        <w:rPr>
          <w:rFonts w:cstheme="minorHAnsi"/>
        </w:rPr>
        <w:lastRenderedPageBreak/>
        <w:t xml:space="preserve">El GAPPA adoptó un objetivo de reducción relativa del 15% en la prevalencia mundial de la inactividad física en adultos y adolescentes para 2030, una ampliación de un compromiso anterior de los Estados miembros de la </w:t>
      </w:r>
      <w:r w:rsidR="006D4843">
        <w:rPr>
          <w:rFonts w:cstheme="minorHAnsi"/>
        </w:rPr>
        <w:t>Organización Mundial de la Salud</w:t>
      </w:r>
      <w:r w:rsidR="006D4843" w:rsidRPr="0051709F">
        <w:rPr>
          <w:rFonts w:cstheme="minorHAnsi"/>
        </w:rPr>
        <w:t xml:space="preserve"> </w:t>
      </w:r>
      <w:r w:rsidRPr="0051709F">
        <w:rPr>
          <w:rFonts w:cstheme="minorHAnsi"/>
        </w:rPr>
        <w:t xml:space="preserve">del 10% para 2025. Aunque el objetivo actual del GAPPA está significativamente por debajo del nivel de cambio asumido en </w:t>
      </w:r>
      <w:proofErr w:type="spellStart"/>
      <w:r w:rsidR="00251140">
        <w:rPr>
          <w:rFonts w:cstheme="minorHAnsi"/>
        </w:rPr>
        <w:t>el</w:t>
      </w:r>
      <w:r w:rsidR="00251140" w:rsidRPr="0051709F">
        <w:rPr>
          <w:rFonts w:cstheme="minorHAnsi"/>
        </w:rPr>
        <w:t>o</w:t>
      </w:r>
      <w:proofErr w:type="spellEnd"/>
      <w:r w:rsidR="00251140" w:rsidRPr="0051709F">
        <w:rPr>
          <w:rFonts w:cstheme="minorHAnsi"/>
        </w:rPr>
        <w:t xml:space="preserve"> </w:t>
      </w:r>
      <w:r w:rsidRPr="0051709F">
        <w:rPr>
          <w:rFonts w:cstheme="minorHAnsi"/>
        </w:rPr>
        <w:t xml:space="preserve">estudio, los beneficios asociados seguirían siendo sustanciales: </w:t>
      </w:r>
      <w:r w:rsidRPr="0051709F">
        <w:rPr>
          <w:rFonts w:cstheme="minorHAnsi"/>
          <w:i/>
          <w:iCs/>
        </w:rPr>
        <w:t>“utilizando la metodología aplicada en este trabajo, estimamos que alcanzando el objetivo del GAPPA se podrían añadir anualmente entre 25.000 y 36.500 millones de dólares al PIB mundial para 2030"</w:t>
      </w:r>
      <w:r w:rsidRPr="0051709F">
        <w:rPr>
          <w:rFonts w:cstheme="minorHAnsi"/>
        </w:rPr>
        <w:t>.</w:t>
      </w:r>
    </w:p>
    <w:p w14:paraId="19BC3B04" w14:textId="77777777" w:rsidR="00CD50C9" w:rsidRPr="0051709F" w:rsidRDefault="00CD50C9" w:rsidP="00CD50C9">
      <w:pPr>
        <w:jc w:val="both"/>
        <w:rPr>
          <w:rFonts w:cstheme="minorHAnsi"/>
        </w:rPr>
      </w:pPr>
    </w:p>
    <w:p w14:paraId="6530CA3D" w14:textId="6CE3462F" w:rsidR="00CD50C9" w:rsidRPr="0051709F" w:rsidRDefault="00CD50C9" w:rsidP="00CD50C9">
      <w:pPr>
        <w:jc w:val="both"/>
        <w:rPr>
          <w:rFonts w:cstheme="minorHAnsi"/>
        </w:rPr>
      </w:pPr>
      <w:r w:rsidRPr="0051709F">
        <w:rPr>
          <w:rFonts w:cstheme="minorHAnsi"/>
        </w:rPr>
        <w:t xml:space="preserve">De acuerdo con </w:t>
      </w:r>
      <w:proofErr w:type="spellStart"/>
      <w:r w:rsidRPr="0051709F">
        <w:rPr>
          <w:rFonts w:cstheme="minorHAnsi"/>
        </w:rPr>
        <w:t>Hafner</w:t>
      </w:r>
      <w:proofErr w:type="spellEnd"/>
      <w:r w:rsidRPr="0051709F">
        <w:rPr>
          <w:rFonts w:cstheme="minorHAnsi"/>
        </w:rPr>
        <w:t xml:space="preserve"> et al. (2020), solo otro estudio ha evaluado los beneficios macroeconómicos de conseguir que las personas sean más activas físicamente, analizando específicamente la economía canadiense (</w:t>
      </w:r>
      <w:proofErr w:type="spellStart"/>
      <w:r w:rsidRPr="0051709F">
        <w:rPr>
          <w:rFonts w:cstheme="minorHAnsi"/>
        </w:rPr>
        <w:t>Bounajm</w:t>
      </w:r>
      <w:proofErr w:type="spellEnd"/>
      <w:r w:rsidRPr="0051709F">
        <w:rPr>
          <w:rFonts w:cstheme="minorHAnsi"/>
        </w:rPr>
        <w:t xml:space="preserve">, </w:t>
      </w:r>
      <w:proofErr w:type="spellStart"/>
      <w:r w:rsidRPr="0051709F">
        <w:rPr>
          <w:rFonts w:cstheme="minorHAnsi"/>
        </w:rPr>
        <w:t>Dinh</w:t>
      </w:r>
      <w:proofErr w:type="spellEnd"/>
      <w:r w:rsidRPr="0051709F">
        <w:rPr>
          <w:rFonts w:cstheme="minorHAnsi"/>
        </w:rPr>
        <w:t xml:space="preserve">, </w:t>
      </w:r>
      <w:proofErr w:type="spellStart"/>
      <w:r w:rsidRPr="0051709F">
        <w:rPr>
          <w:rFonts w:cstheme="minorHAnsi"/>
        </w:rPr>
        <w:t>Thériault</w:t>
      </w:r>
      <w:proofErr w:type="spellEnd"/>
      <w:r w:rsidRPr="0051709F">
        <w:rPr>
          <w:rFonts w:cstheme="minorHAnsi"/>
        </w:rPr>
        <w:t>, 2014). Teniendo en cuenta la reducción de la mortalidad prematura, las bajas por enfermedad y la discapacidad, este o</w:t>
      </w:r>
      <w:r w:rsidR="00251140">
        <w:rPr>
          <w:rFonts w:cstheme="minorHAnsi"/>
        </w:rPr>
        <w:t>tro</w:t>
      </w:r>
      <w:r w:rsidRPr="0051709F">
        <w:rPr>
          <w:rFonts w:cstheme="minorHAnsi"/>
        </w:rPr>
        <w:t xml:space="preserve"> estudio estimó que conseguir que el 10% de los canadienses con niveles subóptimos de actividad física hicieran más ejercicio</w:t>
      </w:r>
      <w:r w:rsidR="00251140">
        <w:rPr>
          <w:rFonts w:cstheme="minorHAnsi"/>
        </w:rPr>
        <w:t>,</w:t>
      </w:r>
      <w:r w:rsidRPr="0051709F">
        <w:rPr>
          <w:rFonts w:cstheme="minorHAnsi"/>
        </w:rPr>
        <w:t xml:space="preserve"> aumentaría el PIB de Canadá en 7.500 millones de dólares canadienses acumulados entre 2015 y 2040.</w:t>
      </w:r>
    </w:p>
    <w:p w14:paraId="1BCB726F" w14:textId="77777777" w:rsidR="00CD50C9" w:rsidRPr="0051709F" w:rsidRDefault="00CD50C9" w:rsidP="00CD50C9">
      <w:pPr>
        <w:jc w:val="both"/>
        <w:rPr>
          <w:rFonts w:cstheme="minorHAnsi"/>
        </w:rPr>
      </w:pPr>
    </w:p>
    <w:p w14:paraId="66F1D1DB" w14:textId="22D6A269" w:rsidR="00CD50C9" w:rsidRPr="0051709F" w:rsidRDefault="00CD50C9" w:rsidP="00CD50C9">
      <w:pPr>
        <w:jc w:val="both"/>
        <w:rPr>
          <w:rFonts w:cstheme="minorHAnsi"/>
        </w:rPr>
      </w:pPr>
      <w:r w:rsidRPr="0051709F">
        <w:rPr>
          <w:rFonts w:cstheme="minorHAnsi"/>
        </w:rPr>
        <w:t xml:space="preserve">Un estudio final de PJM </w:t>
      </w:r>
      <w:proofErr w:type="spellStart"/>
      <w:r w:rsidRPr="0051709F">
        <w:rPr>
          <w:rFonts w:cstheme="minorHAnsi"/>
        </w:rPr>
        <w:t>Economics</w:t>
      </w:r>
      <w:proofErr w:type="spellEnd"/>
      <w:r w:rsidRPr="0051709F">
        <w:rPr>
          <w:rFonts w:cstheme="minorHAnsi"/>
        </w:rPr>
        <w:t xml:space="preserve"> (2019) estimó el beneficio potencial de la mejora de la productividad debido a niveles más altos de actividad física para las empresas del Reino Unido en 6</w:t>
      </w:r>
      <w:r w:rsidR="00B5489C">
        <w:rPr>
          <w:rFonts w:cstheme="minorHAnsi"/>
        </w:rPr>
        <w:t>.</w:t>
      </w:r>
      <w:r w:rsidRPr="0051709F">
        <w:rPr>
          <w:rFonts w:cstheme="minorHAnsi"/>
        </w:rPr>
        <w:t>6</w:t>
      </w:r>
      <w:r w:rsidR="00B5489C">
        <w:rPr>
          <w:rFonts w:cstheme="minorHAnsi"/>
        </w:rPr>
        <w:t>00</w:t>
      </w:r>
      <w:r w:rsidRPr="0051709F">
        <w:rPr>
          <w:rFonts w:cstheme="minorHAnsi"/>
        </w:rPr>
        <w:t xml:space="preserve"> millones de libras esterlinas por año, en línea con los hallazgos de </w:t>
      </w:r>
      <w:proofErr w:type="spellStart"/>
      <w:r w:rsidRPr="0051709F">
        <w:rPr>
          <w:rFonts w:cstheme="minorHAnsi"/>
        </w:rPr>
        <w:t>Hafner</w:t>
      </w:r>
      <w:proofErr w:type="spellEnd"/>
      <w:r w:rsidRPr="0051709F">
        <w:rPr>
          <w:rFonts w:cstheme="minorHAnsi"/>
        </w:rPr>
        <w:t xml:space="preserve"> y sus colegas (2020) para el Reino Unido.</w:t>
      </w:r>
    </w:p>
    <w:p w14:paraId="660CADFA" w14:textId="77777777" w:rsidR="00CD50C9" w:rsidRPr="0051709F" w:rsidRDefault="00CD50C9" w:rsidP="00CD50C9">
      <w:pPr>
        <w:jc w:val="both"/>
        <w:rPr>
          <w:rFonts w:cstheme="minorHAnsi"/>
        </w:rPr>
      </w:pPr>
    </w:p>
    <w:p w14:paraId="0F7B2D7C" w14:textId="77777777" w:rsidR="00CD50C9" w:rsidRPr="0051709F" w:rsidRDefault="00CD50C9" w:rsidP="00CD50C9">
      <w:pPr>
        <w:jc w:val="both"/>
        <w:rPr>
          <w:rFonts w:cstheme="minorHAnsi"/>
        </w:rPr>
      </w:pPr>
      <w:r w:rsidRPr="0051709F">
        <w:rPr>
          <w:rFonts w:cstheme="minorHAnsi"/>
        </w:rPr>
        <w:t>Finalmente, otro interesante ensayo clínico aleatorizado de un programa de bienestar en el lugar de trabajo de varios años y multicomponente, desarrollado por investigadores de la Universidad de Harvard (</w:t>
      </w:r>
      <w:proofErr w:type="spellStart"/>
      <w:r w:rsidRPr="0051709F">
        <w:rPr>
          <w:rFonts w:cstheme="minorHAnsi"/>
        </w:rPr>
        <w:t>Song</w:t>
      </w:r>
      <w:proofErr w:type="spellEnd"/>
      <w:r w:rsidRPr="0051709F">
        <w:rPr>
          <w:rFonts w:cstheme="minorHAnsi"/>
        </w:rPr>
        <w:t xml:space="preserve">, </w:t>
      </w:r>
      <w:proofErr w:type="spellStart"/>
      <w:r w:rsidRPr="0051709F">
        <w:rPr>
          <w:rFonts w:cstheme="minorHAnsi"/>
        </w:rPr>
        <w:t>Baicker</w:t>
      </w:r>
      <w:proofErr w:type="spellEnd"/>
      <w:r w:rsidRPr="0051709F">
        <w:rPr>
          <w:rFonts w:cstheme="minorHAnsi"/>
        </w:rPr>
        <w:t>, 2019), e implementado en una población de ingresos medios y bajos, descubrió que los individuos en los lugares de trabajo donde se ofrecía el programa informaban de mejores conductas de salud, incluido el ejercicio regular y el control activo del peso, pero el programa no generó diferencias en las medidas clínicas de salud, el gasto o la utilización de la atención sanitaria, o los resultados de empleo después de 18 meses.</w:t>
      </w:r>
    </w:p>
    <w:p w14:paraId="038CA37A" w14:textId="77777777" w:rsidR="00CD50C9" w:rsidRPr="0051709F" w:rsidRDefault="00CD50C9" w:rsidP="00CD50C9">
      <w:pPr>
        <w:jc w:val="both"/>
        <w:rPr>
          <w:rFonts w:cstheme="minorHAnsi"/>
        </w:rPr>
      </w:pPr>
    </w:p>
    <w:p w14:paraId="45681FFD" w14:textId="77777777" w:rsidR="00CD50C9" w:rsidRPr="0051709F" w:rsidRDefault="00CD50C9" w:rsidP="00CD50C9">
      <w:pPr>
        <w:jc w:val="both"/>
        <w:rPr>
          <w:rFonts w:cstheme="minorHAnsi"/>
        </w:rPr>
      </w:pPr>
      <w:r w:rsidRPr="0051709F">
        <w:rPr>
          <w:rFonts w:cstheme="minorHAnsi"/>
        </w:rPr>
        <w:t>El hecho de que el programa afectara a los comportamientos de salud auto declarados, pero no a los resultados económicos o de salud, puede interpretarse de varias maneras. Dado que los programas de bienestar en el lugar de trabajo se centran en cambiar el comportamiento y que el cambio de comportamiento puede preceder a las mejoras en otros resultados, estos resultados podrían ser coherentes con futuras mejoras en la salud o reducciones en el gasto. Por otra parte, es probable que el cambio de comportamiento sea más fácil de lograr que las mejoras en los resultados clínicos o laborales. Por lo tanto, es posible que no haya efectos detectables en esos resultados, lo que tendría implicaciones para el rendimiento de la inversión en programas de bienestar. La ausencia de efectos significativos sobre las medidas clínicas de salud, el gasto sanitario o los resultados laborales es coherente con otro ensayo basado en un programa de bienestar aplicado en la Universidad de Illinois, que evaluó resultados similares al cabo de 1 año (Jones et al., 2018).</w:t>
      </w:r>
    </w:p>
    <w:p w14:paraId="46A00E3E" w14:textId="77777777" w:rsidR="00CD50C9" w:rsidRPr="0051709F" w:rsidRDefault="00CD50C9" w:rsidP="00CD50C9">
      <w:pPr>
        <w:jc w:val="both"/>
        <w:rPr>
          <w:rFonts w:cstheme="minorHAnsi"/>
          <w:b/>
          <w:bCs/>
        </w:rPr>
      </w:pPr>
    </w:p>
    <w:p w14:paraId="7A76C982" w14:textId="77777777" w:rsidR="00120CD5" w:rsidRDefault="00120CD5" w:rsidP="003906F1">
      <w:pPr>
        <w:pStyle w:val="Ttulo2"/>
        <w:numPr>
          <w:ilvl w:val="0"/>
          <w:numId w:val="0"/>
        </w:numPr>
        <w:rPr>
          <w:rFonts w:asciiTheme="minorHAnsi" w:hAnsiTheme="minorHAnsi" w:cstheme="minorHAnsi"/>
          <w:sz w:val="24"/>
          <w:szCs w:val="24"/>
          <w:lang w:val="es-ES"/>
        </w:rPr>
      </w:pPr>
    </w:p>
    <w:p w14:paraId="054F387E" w14:textId="40A0F8D5" w:rsidR="00CD50C9" w:rsidRPr="00963270" w:rsidRDefault="00CD50C9" w:rsidP="003906F1">
      <w:pPr>
        <w:pStyle w:val="Ttulo2"/>
        <w:numPr>
          <w:ilvl w:val="0"/>
          <w:numId w:val="0"/>
        </w:numPr>
        <w:rPr>
          <w:rFonts w:asciiTheme="minorHAnsi" w:hAnsiTheme="minorHAnsi" w:cstheme="minorHAnsi"/>
          <w:sz w:val="24"/>
          <w:szCs w:val="24"/>
          <w:lang w:val="es-ES"/>
        </w:rPr>
      </w:pPr>
      <w:r w:rsidRPr="00963270">
        <w:rPr>
          <w:rFonts w:asciiTheme="minorHAnsi" w:hAnsiTheme="minorHAnsi" w:cstheme="minorHAnsi"/>
          <w:sz w:val="24"/>
          <w:szCs w:val="24"/>
          <w:lang w:val="es-ES"/>
        </w:rPr>
        <w:t>Pasando a la acción</w:t>
      </w:r>
    </w:p>
    <w:p w14:paraId="4B36F6B1" w14:textId="77777777" w:rsidR="00CD50C9" w:rsidRPr="0051709F" w:rsidRDefault="00CD50C9" w:rsidP="00CD50C9">
      <w:pPr>
        <w:jc w:val="both"/>
        <w:rPr>
          <w:rFonts w:cstheme="minorHAnsi"/>
          <w:b/>
          <w:bCs/>
        </w:rPr>
      </w:pPr>
    </w:p>
    <w:p w14:paraId="16A2B1A1" w14:textId="10DFD159" w:rsidR="00CD50C9" w:rsidRPr="0051709F" w:rsidRDefault="00CD50C9" w:rsidP="00CD50C9">
      <w:pPr>
        <w:autoSpaceDE w:val="0"/>
        <w:autoSpaceDN w:val="0"/>
        <w:adjustRightInd w:val="0"/>
        <w:jc w:val="both"/>
        <w:rPr>
          <w:rFonts w:cstheme="minorHAnsi"/>
          <w:lang w:val="es-ES_tradnl"/>
        </w:rPr>
      </w:pPr>
      <w:r w:rsidRPr="0051709F">
        <w:rPr>
          <w:rFonts w:cstheme="minorHAnsi"/>
          <w:lang w:val="es-ES_tradnl"/>
        </w:rPr>
        <w:t xml:space="preserve">Los programas de promoción de la práctica de la actividad física y deportiva en el lugar de trabajo se definen como </w:t>
      </w:r>
      <w:r w:rsidRPr="0051709F">
        <w:rPr>
          <w:rFonts w:cstheme="minorHAnsi"/>
          <w:i/>
          <w:iCs/>
          <w:lang w:val="es-ES_tradnl"/>
        </w:rPr>
        <w:t>aquellos en los que el empleador favorece y facilita directa o indirectamente que las personas empleadas en su puesto de trabajo puedan llevar a cabo su participación</w:t>
      </w:r>
      <w:r w:rsidRPr="0051709F">
        <w:rPr>
          <w:rFonts w:cstheme="minorHAnsi"/>
          <w:lang w:val="es-ES_tradnl"/>
        </w:rPr>
        <w:t xml:space="preserve">. Según una investigación sobre los hábitos deportivos realizada en 2000, tan solo el 7% de los españoles practican deporte en sus puestos de trabajo. Ahora bien, si revisamos los datos de la última </w:t>
      </w:r>
      <w:r w:rsidRPr="0051709F">
        <w:rPr>
          <w:rFonts w:cstheme="minorHAnsi"/>
          <w:i/>
          <w:iCs/>
          <w:lang w:val="es-ES_tradnl"/>
        </w:rPr>
        <w:t>Encuesta Nacional sobre Hábitos Deportivos de los españoles</w:t>
      </w:r>
      <w:r w:rsidRPr="0051709F">
        <w:rPr>
          <w:rFonts w:cstheme="minorHAnsi"/>
          <w:lang w:val="es-ES_tradnl"/>
        </w:rPr>
        <w:t xml:space="preserve"> (CSD, 2022) estos datos se reducen a </w:t>
      </w:r>
      <w:r w:rsidRPr="0051709F">
        <w:rPr>
          <w:rFonts w:cstheme="minorHAnsi"/>
        </w:rPr>
        <w:t xml:space="preserve">un 2,5% en el caso de práctica deportiva en el centro de trabajo y un 3,6% aprovecha los trayectos al trabajo o centro de enseñanza parea ser activos. </w:t>
      </w:r>
      <w:r w:rsidRPr="0051709F">
        <w:rPr>
          <w:rFonts w:cstheme="minorHAnsi"/>
          <w:lang w:val="es-ES_tradnl"/>
        </w:rPr>
        <w:t>Aunque aún no se conocen estudios empíricos en España sobre los beneficios que una actividad física regular puede aportar en el puesto de trabajo, numerosos estudios llevados a cabo en países anglosajones demuestran que existe una clara correlación entre la práctica deportiva y la mejora de la productividad en el puesto de trabajo.</w:t>
      </w:r>
    </w:p>
    <w:p w14:paraId="7A853258" w14:textId="77777777" w:rsidR="00CD50C9" w:rsidRPr="0051709F" w:rsidRDefault="00CD50C9" w:rsidP="00CD50C9">
      <w:pPr>
        <w:jc w:val="both"/>
        <w:rPr>
          <w:rFonts w:cstheme="minorHAnsi"/>
          <w:lang w:val="es-ES_tradnl"/>
        </w:rPr>
      </w:pPr>
    </w:p>
    <w:p w14:paraId="62E95766" w14:textId="264AAD56" w:rsidR="00CD50C9" w:rsidRPr="0051709F" w:rsidRDefault="00CD50C9" w:rsidP="00CD50C9">
      <w:pPr>
        <w:autoSpaceDE w:val="0"/>
        <w:autoSpaceDN w:val="0"/>
        <w:adjustRightInd w:val="0"/>
        <w:jc w:val="both"/>
        <w:rPr>
          <w:rFonts w:cstheme="minorHAnsi"/>
          <w:lang w:val="es-ES_tradnl"/>
        </w:rPr>
      </w:pPr>
      <w:r w:rsidRPr="0051709F">
        <w:rPr>
          <w:rFonts w:cstheme="minorHAnsi"/>
          <w:b/>
          <w:bCs/>
          <w:lang w:val="es-ES_tradnl"/>
        </w:rPr>
        <w:t>Los centros de trabajo se han convertido en lugares apropiados para crear oportunidades de promoción y mantenimiento de estilos de vida saludables</w:t>
      </w:r>
      <w:r w:rsidRPr="0051709F">
        <w:rPr>
          <w:rFonts w:cstheme="minorHAnsi"/>
          <w:lang w:val="es-ES_tradnl"/>
        </w:rPr>
        <w:t xml:space="preserve">. En las últimas dos décadas, y respondiendo a los ámbitos de intervención aprobados en la 57 Asamblea General de la </w:t>
      </w:r>
      <w:r w:rsidR="006D4843">
        <w:rPr>
          <w:rFonts w:cstheme="minorHAnsi"/>
        </w:rPr>
        <w:t>Organización Mundial de la Salud</w:t>
      </w:r>
      <w:r w:rsidR="006D4843" w:rsidRPr="0051709F">
        <w:rPr>
          <w:rFonts w:cstheme="minorHAnsi"/>
        </w:rPr>
        <w:t xml:space="preserve"> </w:t>
      </w:r>
      <w:r w:rsidRPr="0051709F">
        <w:rPr>
          <w:rFonts w:cstheme="minorHAnsi"/>
          <w:lang w:val="es-ES_tradnl"/>
        </w:rPr>
        <w:t>(2004), se han incrementado de forma progresiva el número de proyectos y programas dirigidos al fomento de la actividad física y el ejercicio saludable en el ámbito laboral.</w:t>
      </w:r>
    </w:p>
    <w:p w14:paraId="2CCAC098" w14:textId="77777777" w:rsidR="00CD50C9" w:rsidRPr="0051709F" w:rsidRDefault="00CD50C9" w:rsidP="00CD50C9">
      <w:pPr>
        <w:jc w:val="both"/>
        <w:rPr>
          <w:rFonts w:cstheme="minorHAnsi"/>
          <w:lang w:val="es-ES_tradnl"/>
        </w:rPr>
      </w:pPr>
    </w:p>
    <w:p w14:paraId="794B4734" w14:textId="1F214E6B" w:rsidR="00CD50C9" w:rsidRPr="0051709F" w:rsidRDefault="00CD50C9" w:rsidP="00CD50C9">
      <w:pPr>
        <w:jc w:val="both"/>
        <w:rPr>
          <w:rFonts w:cstheme="minorHAnsi"/>
          <w:color w:val="000000" w:themeColor="text1"/>
        </w:rPr>
      </w:pPr>
      <w:r w:rsidRPr="0051709F">
        <w:rPr>
          <w:rFonts w:cstheme="minorHAnsi"/>
          <w:color w:val="000000" w:themeColor="text1"/>
          <w:lang w:val="es-ES_tradnl"/>
        </w:rPr>
        <w:t>P</w:t>
      </w:r>
      <w:proofErr w:type="spellStart"/>
      <w:r w:rsidRPr="0051709F">
        <w:rPr>
          <w:rFonts w:cstheme="minorHAnsi"/>
          <w:color w:val="000000" w:themeColor="text1"/>
        </w:rPr>
        <w:t>rogramas</w:t>
      </w:r>
      <w:proofErr w:type="spellEnd"/>
      <w:r w:rsidRPr="0051709F">
        <w:rPr>
          <w:rFonts w:cstheme="minorHAnsi"/>
          <w:color w:val="000000" w:themeColor="text1"/>
        </w:rPr>
        <w:t xml:space="preserve"> de fomento de la movilidad activa para ir al trabajo, como el </w:t>
      </w:r>
      <w:proofErr w:type="spellStart"/>
      <w:r w:rsidRPr="0051709F">
        <w:rPr>
          <w:rFonts w:cstheme="minorHAnsi"/>
          <w:i/>
          <w:iCs/>
          <w:color w:val="000000" w:themeColor="text1"/>
        </w:rPr>
        <w:t>Cycling</w:t>
      </w:r>
      <w:proofErr w:type="spellEnd"/>
      <w:r w:rsidRPr="0051709F">
        <w:rPr>
          <w:rFonts w:cstheme="minorHAnsi"/>
          <w:i/>
          <w:iCs/>
          <w:color w:val="000000" w:themeColor="text1"/>
        </w:rPr>
        <w:t xml:space="preserve"> </w:t>
      </w:r>
      <w:proofErr w:type="spellStart"/>
      <w:r w:rsidRPr="0051709F">
        <w:rPr>
          <w:rFonts w:cstheme="minorHAnsi"/>
          <w:i/>
          <w:iCs/>
          <w:color w:val="000000" w:themeColor="text1"/>
        </w:rPr>
        <w:t>to</w:t>
      </w:r>
      <w:proofErr w:type="spellEnd"/>
      <w:r w:rsidRPr="0051709F">
        <w:rPr>
          <w:rFonts w:cstheme="minorHAnsi"/>
          <w:i/>
          <w:iCs/>
          <w:color w:val="000000" w:themeColor="text1"/>
        </w:rPr>
        <w:t xml:space="preserve"> </w:t>
      </w:r>
      <w:proofErr w:type="spellStart"/>
      <w:r w:rsidRPr="0051709F">
        <w:rPr>
          <w:rFonts w:cstheme="minorHAnsi"/>
          <w:i/>
          <w:iCs/>
          <w:color w:val="000000" w:themeColor="text1"/>
        </w:rPr>
        <w:t>Work</w:t>
      </w:r>
      <w:proofErr w:type="spellEnd"/>
      <w:r w:rsidRPr="0051709F">
        <w:rPr>
          <w:rFonts w:cstheme="minorHAnsi"/>
          <w:color w:val="000000" w:themeColor="text1"/>
        </w:rPr>
        <w:t xml:space="preserve"> (Reino Unido) o el </w:t>
      </w:r>
      <w:proofErr w:type="spellStart"/>
      <w:r w:rsidRPr="0051709F">
        <w:rPr>
          <w:rFonts w:cstheme="minorHAnsi"/>
          <w:i/>
          <w:iCs/>
          <w:color w:val="000000" w:themeColor="text1"/>
        </w:rPr>
        <w:t>Smarter</w:t>
      </w:r>
      <w:proofErr w:type="spellEnd"/>
      <w:r w:rsidRPr="0051709F">
        <w:rPr>
          <w:rFonts w:cstheme="minorHAnsi"/>
          <w:i/>
          <w:iCs/>
          <w:color w:val="000000" w:themeColor="text1"/>
        </w:rPr>
        <w:t xml:space="preserve"> </w:t>
      </w:r>
      <w:proofErr w:type="spellStart"/>
      <w:r w:rsidRPr="0051709F">
        <w:rPr>
          <w:rFonts w:cstheme="minorHAnsi"/>
          <w:i/>
          <w:iCs/>
          <w:color w:val="000000" w:themeColor="text1"/>
        </w:rPr>
        <w:t>Travel</w:t>
      </w:r>
      <w:proofErr w:type="spellEnd"/>
      <w:r w:rsidRPr="0051709F">
        <w:rPr>
          <w:rFonts w:cstheme="minorHAnsi"/>
          <w:i/>
          <w:iCs/>
          <w:color w:val="000000" w:themeColor="text1"/>
        </w:rPr>
        <w:t xml:space="preserve"> </w:t>
      </w:r>
      <w:proofErr w:type="spellStart"/>
      <w:r w:rsidRPr="0051709F">
        <w:rPr>
          <w:rFonts w:cstheme="minorHAnsi"/>
          <w:i/>
          <w:iCs/>
          <w:color w:val="000000" w:themeColor="text1"/>
        </w:rPr>
        <w:t>Workplaces</w:t>
      </w:r>
      <w:proofErr w:type="spellEnd"/>
      <w:r w:rsidRPr="0051709F">
        <w:rPr>
          <w:rFonts w:cstheme="minorHAnsi"/>
          <w:i/>
          <w:iCs/>
          <w:color w:val="000000" w:themeColor="text1"/>
        </w:rPr>
        <w:t xml:space="preserve"> (Irlanda</w:t>
      </w:r>
      <w:r w:rsidRPr="0051709F">
        <w:rPr>
          <w:rFonts w:cstheme="minorHAnsi"/>
          <w:color w:val="000000" w:themeColor="text1"/>
        </w:rPr>
        <w:t>), animan a las empresas y a las instituciones de tercer nivel a poner en marcha planes voluntarios de desplazamiento en el lugar de trabajo y en el campus, o acciones para animar y apoyar al personal y a los estudiantes para que se desplacen a pie, en bicicleta, en transporte público o en coche compartido. Los empresarios a su vez también tienen la oportunidad de fomentar la actividad física durante la jornada laboral.</w:t>
      </w:r>
    </w:p>
    <w:p w14:paraId="57F79ABD" w14:textId="77777777" w:rsidR="00CD50C9" w:rsidRPr="0051709F" w:rsidRDefault="00CD50C9" w:rsidP="00CD50C9">
      <w:pPr>
        <w:jc w:val="both"/>
        <w:rPr>
          <w:rFonts w:cstheme="minorHAnsi"/>
        </w:rPr>
      </w:pPr>
    </w:p>
    <w:p w14:paraId="50F82072" w14:textId="5BCA2228" w:rsidR="00CD50C9" w:rsidRPr="0051709F" w:rsidRDefault="00CD50C9" w:rsidP="00CD50C9">
      <w:pPr>
        <w:jc w:val="both"/>
        <w:rPr>
          <w:rFonts w:cstheme="minorHAnsi"/>
        </w:rPr>
      </w:pPr>
      <w:r w:rsidRPr="0051709F">
        <w:rPr>
          <w:rFonts w:cstheme="minorHAnsi"/>
        </w:rPr>
        <w:t>Según Girá</w:t>
      </w:r>
      <w:r w:rsidR="00B5489C">
        <w:rPr>
          <w:rFonts w:cstheme="minorHAnsi"/>
        </w:rPr>
        <w:t>l</w:t>
      </w:r>
      <w:r w:rsidRPr="0051709F">
        <w:rPr>
          <w:rFonts w:cstheme="minorHAnsi"/>
        </w:rPr>
        <w:t xml:space="preserve">dez y </w:t>
      </w:r>
      <w:proofErr w:type="spellStart"/>
      <w:r w:rsidRPr="0051709F">
        <w:rPr>
          <w:rFonts w:cstheme="minorHAnsi"/>
        </w:rPr>
        <w:t>Tarducci</w:t>
      </w:r>
      <w:proofErr w:type="spellEnd"/>
      <w:r w:rsidRPr="0051709F">
        <w:rPr>
          <w:rFonts w:cstheme="minorHAnsi"/>
        </w:rPr>
        <w:t xml:space="preserve"> (2018), </w:t>
      </w:r>
      <w:r w:rsidRPr="0051709F">
        <w:rPr>
          <w:rFonts w:cstheme="minorHAnsi"/>
          <w:i/>
          <w:iCs/>
        </w:rPr>
        <w:t>“fomentar estilos de vida más activos entre las personas trabajadoras es uno de los principales retos a los que tenemos que enfrentarnos como sociedad en las próximas décadas”</w:t>
      </w:r>
      <w:r w:rsidRPr="0051709F">
        <w:rPr>
          <w:rFonts w:cstheme="minorHAnsi"/>
        </w:rPr>
        <w:t>. Para ello, construir entornos más activos y saludables en el mundo de la empresa con el fin de combatir el sedentarismo y la inactividad física supone trabajar para alcanzar tres objetivos fundamentales:</w:t>
      </w:r>
    </w:p>
    <w:p w14:paraId="5A01A2CF" w14:textId="77777777" w:rsidR="00CD50C9" w:rsidRPr="0051709F" w:rsidRDefault="00CD50C9" w:rsidP="00CD50C9">
      <w:pPr>
        <w:jc w:val="both"/>
        <w:rPr>
          <w:rFonts w:cstheme="minorHAnsi"/>
        </w:rPr>
      </w:pPr>
    </w:p>
    <w:p w14:paraId="0BCFC089" w14:textId="77777777" w:rsidR="00CD50C9" w:rsidRPr="0051709F" w:rsidRDefault="00CD50C9" w:rsidP="00E6399B">
      <w:pPr>
        <w:pStyle w:val="Prrafodelista"/>
        <w:numPr>
          <w:ilvl w:val="0"/>
          <w:numId w:val="9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Conseguir una reducción en el tiempo que las personas pasan sentadas durante su jornada laboral;</w:t>
      </w:r>
    </w:p>
    <w:p w14:paraId="3C19F95F" w14:textId="77777777" w:rsidR="00CD50C9" w:rsidRPr="0051709F" w:rsidRDefault="00CD50C9" w:rsidP="00E6399B">
      <w:pPr>
        <w:pStyle w:val="Prrafodelista"/>
        <w:numPr>
          <w:ilvl w:val="0"/>
          <w:numId w:val="9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Aumentar el nivel de actividad física de las personas, tanto en el trabajo como en los desplazamientos y las actividades de ocio;</w:t>
      </w:r>
    </w:p>
    <w:p w14:paraId="4B8094CB" w14:textId="77777777" w:rsidR="00CD50C9" w:rsidRPr="0051709F" w:rsidRDefault="00CD50C9" w:rsidP="00E6399B">
      <w:pPr>
        <w:pStyle w:val="Prrafodelista"/>
        <w:numPr>
          <w:ilvl w:val="0"/>
          <w:numId w:val="9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Ayudar a las personas a conseguir una condición física saludable, de forma especial en el caso de las personas trabajadoras más jóvenes que utilizan nuevas tecnologías y que están más expuestas a la inactividad y a horas sentadas en el trabajo.</w:t>
      </w:r>
    </w:p>
    <w:p w14:paraId="1ED8FD13" w14:textId="77777777" w:rsidR="00CD50C9" w:rsidRPr="0051709F" w:rsidRDefault="00CD50C9" w:rsidP="00CD50C9">
      <w:pPr>
        <w:autoSpaceDE w:val="0"/>
        <w:autoSpaceDN w:val="0"/>
        <w:adjustRightInd w:val="0"/>
        <w:jc w:val="both"/>
        <w:rPr>
          <w:rFonts w:cstheme="minorHAnsi"/>
        </w:rPr>
      </w:pPr>
    </w:p>
    <w:p w14:paraId="057186C4" w14:textId="748D36B7" w:rsidR="00CD50C9" w:rsidRPr="0051709F" w:rsidRDefault="00CD50C9" w:rsidP="00CD50C9">
      <w:pPr>
        <w:jc w:val="both"/>
        <w:rPr>
          <w:rFonts w:cstheme="minorHAnsi"/>
        </w:rPr>
      </w:pPr>
      <w:r w:rsidRPr="0051709F">
        <w:rPr>
          <w:rFonts w:cstheme="minorHAnsi"/>
        </w:rPr>
        <w:lastRenderedPageBreak/>
        <w:t xml:space="preserve">Pues bien, si analizamos en qué situación se encuentran las empresas españolas respecto a este reto hoy en día, es muy interesante destacar de nuevo el trabajo de </w:t>
      </w:r>
      <w:proofErr w:type="spellStart"/>
      <w:r w:rsidRPr="0051709F">
        <w:rPr>
          <w:rFonts w:cstheme="minorHAnsi"/>
        </w:rPr>
        <w:t>Ara</w:t>
      </w:r>
      <w:proofErr w:type="spellEnd"/>
      <w:r w:rsidRPr="0051709F">
        <w:rPr>
          <w:rFonts w:cstheme="minorHAnsi"/>
        </w:rPr>
        <w:t xml:space="preserve"> et al. (2021). En su informe, una muestra de 34 empresas, provenientes del </w:t>
      </w:r>
      <w:r w:rsidRPr="0051709F">
        <w:rPr>
          <w:rFonts w:cstheme="minorHAnsi"/>
          <w:i/>
          <w:iCs/>
        </w:rPr>
        <w:t xml:space="preserve">Círculo de Empresarios </w:t>
      </w:r>
      <w:r w:rsidR="00AA4814">
        <w:rPr>
          <w:rFonts w:cstheme="minorHAnsi"/>
          <w:i/>
          <w:iCs/>
        </w:rPr>
        <w:t>d</w:t>
      </w:r>
      <w:r w:rsidRPr="0051709F">
        <w:rPr>
          <w:rFonts w:cstheme="minorHAnsi"/>
          <w:i/>
          <w:iCs/>
        </w:rPr>
        <w:t>e la Información</w:t>
      </w:r>
      <w:r w:rsidRPr="0051709F">
        <w:rPr>
          <w:rFonts w:cstheme="minorHAnsi"/>
        </w:rPr>
        <w:t xml:space="preserve">, completaron un cuestionario online para evaluar sus programas de promoción de actividad física entre sus trabajadores/as. Los autores del estudio destacan en su apartado final las siguientes conclusiones, tras el análisis de los resultados: </w:t>
      </w:r>
    </w:p>
    <w:p w14:paraId="6F4BBDE7" w14:textId="77777777" w:rsidR="00CD50C9" w:rsidRPr="0051709F" w:rsidRDefault="00CD50C9" w:rsidP="00CD50C9">
      <w:pPr>
        <w:jc w:val="both"/>
        <w:rPr>
          <w:rFonts w:cstheme="minorHAnsi"/>
        </w:rPr>
      </w:pPr>
    </w:p>
    <w:p w14:paraId="47C149AB"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Una gran mayoría de empresas consultadas afirmó aplicar algún tipo de estrategia de promoción de la actividad física para sus trabajadores. Además, dichas intervenciones se encontraban generalmente implantadas desde hace al menos dos años. A pesar de ello, solo un porcentaje muy reducido contemplaba intervenciones específicas para trabajadores con un mayor riesgo de sufrir enfermedades, como son los mayores de 50 años o personas con algún tipo de discapacidad. </w:t>
      </w:r>
    </w:p>
    <w:p w14:paraId="5D33FD9C"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De entre las estrategias de promoción de actividad física implementadas, las empresas consultadas reportaron mayoritariamente fomentar la participación de sus empleados en eventos deportivos o en charlas y talleres sobre estilos de vida saludable y facilitar el uso de instalaciones deportivas externas. Por el contrario, una minoría afirmó contar con un educador físico-deportivo o aplicar estrategias de reducción de tiempo sedentario durante el trabajo. </w:t>
      </w:r>
    </w:p>
    <w:p w14:paraId="2E95375E"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En referencia al departamento encargado de monitorizar dichas estrategias, la mayoría refirió al área de recursos humanos como el departamento competente. Aunque también se indicaron otros departamentos como el financiero, el de dirección u otros destinados específicamente a la responsabilidad social corporativa. </w:t>
      </w:r>
    </w:p>
    <w:p w14:paraId="2D79E7FE"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Gran parte de las empresas (41%) afirmó no realizar ningún tipo de evaluación de las estrategias de fomento de la actividad física aplicadas en la empresa. Sin embargo, de entre aquellas que sí lo hacían, se utilizaban diferentes indicadores como son el número de participantes (22%), el tiempo de permanencia en dichas actividades (15%) o el nivel de demanda de los empleados (11%). </w:t>
      </w:r>
    </w:p>
    <w:p w14:paraId="38C5C2C1"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En cuanto a los incentivos recibidos para su implementación, la gran mayoría de empresas (71%) afirmó no recibir ninguno. Sin embargo, más del 50% de las empresas estarían interesadas en recibir algún tipo de incentivo para poder implantar o mejorar la aplicación de estrategias de promoción de actividad física entre sus trabajadores.</w:t>
      </w:r>
    </w:p>
    <w:p w14:paraId="15CD4AE5" w14:textId="77777777" w:rsidR="00CD50C9" w:rsidRPr="0051709F" w:rsidRDefault="00CD50C9" w:rsidP="00E6399B">
      <w:pPr>
        <w:pStyle w:val="Prrafodelista"/>
        <w:numPr>
          <w:ilvl w:val="0"/>
          <w:numId w:val="96"/>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Al ser preguntadas por las barreras u obstáculos encontrados, cerca de un 80% declaró no haberse encontrado ninguno. Por otro lado, el resto de las empresas referenciaron falta de presupuesto, falta de compromiso o demanda de los trabajadores como los impedimentos más habituales para su implementación.</w:t>
      </w:r>
    </w:p>
    <w:p w14:paraId="7FBEF26D" w14:textId="77777777" w:rsidR="00CD50C9" w:rsidRPr="0051709F" w:rsidRDefault="00CD50C9" w:rsidP="00CD50C9">
      <w:pPr>
        <w:jc w:val="both"/>
        <w:rPr>
          <w:rFonts w:cstheme="minorHAnsi"/>
        </w:rPr>
      </w:pPr>
    </w:p>
    <w:p w14:paraId="5B674B7D" w14:textId="77777777" w:rsidR="00CD50C9" w:rsidRPr="0051709F" w:rsidRDefault="00CD50C9" w:rsidP="00CD50C9">
      <w:pPr>
        <w:jc w:val="both"/>
        <w:rPr>
          <w:rFonts w:cstheme="minorHAnsi"/>
          <w:lang w:val="es-ES_tradnl"/>
        </w:rPr>
      </w:pPr>
      <w:r w:rsidRPr="0051709F">
        <w:rPr>
          <w:rFonts w:cstheme="minorHAnsi"/>
          <w:lang w:val="es-ES_tradnl"/>
        </w:rPr>
        <w:t>El Plan A+D (CSD, 2010) proponía en su área de intervenciones de promoción de la práctica deportiva en el ámbito empresarial un análisis de los incentivos fiscales a empresas de acuerdo con la normativa legal vigente en su momento.</w:t>
      </w:r>
    </w:p>
    <w:p w14:paraId="24C7D90C" w14:textId="77777777" w:rsidR="00CD50C9" w:rsidRPr="0051709F" w:rsidRDefault="00CD50C9" w:rsidP="00CD50C9">
      <w:pPr>
        <w:autoSpaceDE w:val="0"/>
        <w:autoSpaceDN w:val="0"/>
        <w:adjustRightInd w:val="0"/>
        <w:jc w:val="both"/>
        <w:rPr>
          <w:rFonts w:cstheme="minorHAnsi"/>
          <w:lang w:val="es-ES_tradnl"/>
        </w:rPr>
      </w:pPr>
    </w:p>
    <w:p w14:paraId="21DE64A6" w14:textId="6878F0AE" w:rsidR="00CD50C9" w:rsidRPr="0051709F" w:rsidRDefault="00CD50C9" w:rsidP="00CD50C9">
      <w:pPr>
        <w:autoSpaceDE w:val="0"/>
        <w:autoSpaceDN w:val="0"/>
        <w:adjustRightInd w:val="0"/>
        <w:jc w:val="both"/>
        <w:rPr>
          <w:rFonts w:cstheme="minorHAnsi"/>
          <w:lang w:val="es-ES_tradnl"/>
        </w:rPr>
      </w:pPr>
      <w:r w:rsidRPr="0051709F">
        <w:rPr>
          <w:rFonts w:cstheme="minorHAnsi"/>
          <w:lang w:val="es-ES_tradnl"/>
        </w:rPr>
        <w:t>En el citado plan se identificaba que en ese momento no existían deducciones o beneficios fiscales p</w:t>
      </w:r>
      <w:r w:rsidR="00A2776D">
        <w:rPr>
          <w:rFonts w:cstheme="minorHAnsi"/>
          <w:lang w:val="es-ES_tradnl"/>
        </w:rPr>
        <w:t>a</w:t>
      </w:r>
      <w:r w:rsidRPr="0051709F">
        <w:rPr>
          <w:rFonts w:cstheme="minorHAnsi"/>
          <w:lang w:val="es-ES_tradnl"/>
        </w:rPr>
        <w:t>r</w:t>
      </w:r>
      <w:r w:rsidR="00A2776D">
        <w:rPr>
          <w:rFonts w:cstheme="minorHAnsi"/>
          <w:lang w:val="es-ES_tradnl"/>
        </w:rPr>
        <w:t>a</w:t>
      </w:r>
      <w:r w:rsidRPr="0051709F">
        <w:rPr>
          <w:rFonts w:cstheme="minorHAnsi"/>
          <w:lang w:val="es-ES_tradnl"/>
        </w:rPr>
        <w:t xml:space="preserve"> el fomento de la práctica de la actividad física en el ámbito de </w:t>
      </w:r>
      <w:r w:rsidRPr="0051709F">
        <w:rPr>
          <w:rFonts w:cstheme="minorHAnsi"/>
          <w:lang w:val="es-ES_tradnl"/>
        </w:rPr>
        <w:lastRenderedPageBreak/>
        <w:t>las organizaciones empresariales. En ese contexto se planteaba que esas acciones estarían recogidas bajo la figura de mecenazgo, regulado en la Ley 49/2002, de 23 de diciembre, donde en el Titulo III se recogían los incentivos fiscales a que se organizaran, promovieran, protagonizaran o participaran en el mundo del deporte, por cuatro mecanismos posibles:</w:t>
      </w:r>
    </w:p>
    <w:p w14:paraId="6BC7EC20" w14:textId="77777777" w:rsidR="00CD50C9" w:rsidRPr="0051709F" w:rsidRDefault="00CD50C9" w:rsidP="00CD50C9">
      <w:pPr>
        <w:autoSpaceDE w:val="0"/>
        <w:autoSpaceDN w:val="0"/>
        <w:adjustRightInd w:val="0"/>
        <w:jc w:val="both"/>
        <w:rPr>
          <w:rFonts w:cstheme="minorHAnsi"/>
          <w:lang w:val="es-ES_tradnl"/>
        </w:rPr>
      </w:pPr>
    </w:p>
    <w:p w14:paraId="6FBA6DD3" w14:textId="77777777" w:rsidR="00CD50C9" w:rsidRPr="0051709F" w:rsidRDefault="00CD50C9" w:rsidP="00E6399B">
      <w:pPr>
        <w:pStyle w:val="Prrafodelista"/>
        <w:numPr>
          <w:ilvl w:val="0"/>
          <w:numId w:val="101"/>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Donativos, donaciones y aportaciones. De esta medida se deducían seis conclusiones generales:</w:t>
      </w:r>
    </w:p>
    <w:p w14:paraId="5E142E90"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Primera: La realización de donativos no goza de beneficios para las empresas como persona jurídica mercantil, solo a las personas físicas.</w:t>
      </w:r>
    </w:p>
    <w:p w14:paraId="474B2E57"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Segunda: El régimen de deducción en la cuota íntegra por donativos es diferente según Comunidades Autónomas de régimen común o foral.</w:t>
      </w:r>
    </w:p>
    <w:p w14:paraId="2A3DAC41"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Tercera: Los donativos son el mecanismo más sencillo y altruista de fomentar el deporte.</w:t>
      </w:r>
    </w:p>
    <w:p w14:paraId="1B05FBA1"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Cuarta: Propuesta de reforma de la Ley de IRPF para liberalizar parcialmente la deducción por donativos.</w:t>
      </w:r>
    </w:p>
    <w:p w14:paraId="4F9303F0"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Quinta: Plantear la posible creación de deducciones autonómicas propias que fomenten la participación privada en el mundo del deporte.</w:t>
      </w:r>
    </w:p>
    <w:p w14:paraId="560AEDB8"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Sexta: Exención de la eventual ganancia patrimonial que se genere por la donación en el donante.</w:t>
      </w:r>
    </w:p>
    <w:p w14:paraId="7C4E9C62" w14:textId="77777777" w:rsidR="00CD50C9" w:rsidRPr="0051709F" w:rsidRDefault="00CD50C9" w:rsidP="00E6399B">
      <w:pPr>
        <w:pStyle w:val="Prrafodelista"/>
        <w:numPr>
          <w:ilvl w:val="0"/>
          <w:numId w:val="100"/>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Séptima: Solventar los problemas de personalidad jurídica exigidas al receptor de la donación que se plantea con las actividades físicas y deportivas en el ámbito laboral.</w:t>
      </w:r>
    </w:p>
    <w:p w14:paraId="6ED2550F" w14:textId="77777777" w:rsidR="00CD50C9" w:rsidRPr="0051709F" w:rsidRDefault="00CD50C9" w:rsidP="00CD50C9">
      <w:pPr>
        <w:autoSpaceDE w:val="0"/>
        <w:autoSpaceDN w:val="0"/>
        <w:adjustRightInd w:val="0"/>
        <w:jc w:val="both"/>
        <w:rPr>
          <w:rFonts w:cstheme="minorHAnsi"/>
          <w:lang w:val="es-ES_tradnl"/>
        </w:rPr>
      </w:pPr>
    </w:p>
    <w:p w14:paraId="16160B3A" w14:textId="77777777" w:rsidR="00CD50C9" w:rsidRPr="0051709F" w:rsidRDefault="00CD50C9" w:rsidP="00E6399B">
      <w:pPr>
        <w:pStyle w:val="Prrafodelista"/>
        <w:numPr>
          <w:ilvl w:val="0"/>
          <w:numId w:val="101"/>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 xml:space="preserve"> Convenios de colaboración empresarial en actividades de interés general.</w:t>
      </w:r>
    </w:p>
    <w:p w14:paraId="66B95D66" w14:textId="77777777" w:rsidR="00CD50C9" w:rsidRPr="0051709F" w:rsidRDefault="00CD50C9" w:rsidP="00CD50C9">
      <w:pPr>
        <w:autoSpaceDE w:val="0"/>
        <w:autoSpaceDN w:val="0"/>
        <w:adjustRightInd w:val="0"/>
        <w:ind w:left="360"/>
        <w:jc w:val="both"/>
        <w:rPr>
          <w:rFonts w:cstheme="minorHAnsi"/>
          <w:lang w:val="es-ES_tradnl"/>
        </w:rPr>
      </w:pPr>
      <w:r w:rsidRPr="0051709F">
        <w:rPr>
          <w:rFonts w:cstheme="minorHAnsi"/>
          <w:lang w:val="es-ES_tradnl"/>
        </w:rPr>
        <w:t>Este tipo de convenios sería una excelente medida para fomentar las actividades deportivas en el ámbito laboral, pero tiene dos posibles obstáculos:</w:t>
      </w:r>
    </w:p>
    <w:p w14:paraId="70410E22" w14:textId="77777777" w:rsidR="00CD50C9" w:rsidRPr="0051709F" w:rsidRDefault="00CD50C9" w:rsidP="00E6399B">
      <w:pPr>
        <w:pStyle w:val="Prrafodelista"/>
        <w:numPr>
          <w:ilvl w:val="0"/>
          <w:numId w:val="99"/>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La necesidad de que el beneficiario de la ayuda económica sea una entidad sin ánimo de lucro, dentro de la cual forman parte las federaciones deportivas.</w:t>
      </w:r>
    </w:p>
    <w:p w14:paraId="0AC826C4" w14:textId="77777777" w:rsidR="00CD50C9" w:rsidRPr="0051709F" w:rsidRDefault="00CD50C9" w:rsidP="00E6399B">
      <w:pPr>
        <w:pStyle w:val="Prrafodelista"/>
        <w:numPr>
          <w:ilvl w:val="0"/>
          <w:numId w:val="99"/>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Se excluye del ámbito de aplicación del incentivo a los empresarios que cuantifiquen sus rendimientos de la actividad bajo estimación objetiva.</w:t>
      </w:r>
    </w:p>
    <w:p w14:paraId="3B83DCC8" w14:textId="77777777" w:rsidR="00CD50C9" w:rsidRPr="0051709F" w:rsidRDefault="00CD50C9" w:rsidP="00CD50C9">
      <w:pPr>
        <w:autoSpaceDE w:val="0"/>
        <w:autoSpaceDN w:val="0"/>
        <w:adjustRightInd w:val="0"/>
        <w:jc w:val="both"/>
        <w:rPr>
          <w:rFonts w:cstheme="minorHAnsi"/>
          <w:lang w:val="es-ES_tradnl"/>
        </w:rPr>
      </w:pPr>
    </w:p>
    <w:p w14:paraId="4CB9CB9B" w14:textId="77777777" w:rsidR="00CD50C9" w:rsidRPr="0051709F" w:rsidRDefault="00CD50C9" w:rsidP="00E6399B">
      <w:pPr>
        <w:pStyle w:val="Prrafodelista"/>
        <w:numPr>
          <w:ilvl w:val="0"/>
          <w:numId w:val="101"/>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Gastos en actividades de interés general.</w:t>
      </w:r>
    </w:p>
    <w:p w14:paraId="0EC4E92E" w14:textId="77777777" w:rsidR="00CD50C9" w:rsidRPr="0051709F" w:rsidRDefault="00CD50C9" w:rsidP="00CD50C9">
      <w:pPr>
        <w:autoSpaceDE w:val="0"/>
        <w:autoSpaceDN w:val="0"/>
        <w:adjustRightInd w:val="0"/>
        <w:ind w:left="360"/>
        <w:jc w:val="both"/>
        <w:rPr>
          <w:rFonts w:cstheme="minorHAnsi"/>
          <w:lang w:val="es-ES_tradnl"/>
        </w:rPr>
      </w:pPr>
      <w:r w:rsidRPr="0051709F">
        <w:rPr>
          <w:rFonts w:cstheme="minorHAnsi"/>
          <w:lang w:val="es-ES_tradnl"/>
        </w:rPr>
        <w:t>En este caso el empresario es quien realiza directamente la actividad de interés general. Pero este tipo de medidas es solamente aplicable a los contribuyentes del Impuesto de Sociedades, del Impuesto de las Rentas de las personas No Residentes que operen mediante establecimiento permanente o del IRPF.</w:t>
      </w:r>
    </w:p>
    <w:p w14:paraId="33324475" w14:textId="77777777" w:rsidR="00CD50C9" w:rsidRPr="0051709F" w:rsidRDefault="00CD50C9" w:rsidP="00CD50C9">
      <w:pPr>
        <w:autoSpaceDE w:val="0"/>
        <w:autoSpaceDN w:val="0"/>
        <w:adjustRightInd w:val="0"/>
        <w:jc w:val="both"/>
        <w:rPr>
          <w:rFonts w:cstheme="minorHAnsi"/>
          <w:lang w:val="es-ES_tradnl"/>
        </w:rPr>
      </w:pPr>
    </w:p>
    <w:p w14:paraId="2A78FF91" w14:textId="77777777" w:rsidR="00CD50C9" w:rsidRPr="0051709F" w:rsidRDefault="00CD50C9" w:rsidP="00E6399B">
      <w:pPr>
        <w:pStyle w:val="Prrafodelista"/>
        <w:numPr>
          <w:ilvl w:val="0"/>
          <w:numId w:val="101"/>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Programas de apoyo a acontecimientos de excepcional interés.</w:t>
      </w:r>
    </w:p>
    <w:p w14:paraId="7EF126F4" w14:textId="4845730A" w:rsidR="00CD50C9" w:rsidRPr="0051709F" w:rsidRDefault="00CD50C9" w:rsidP="00CD50C9">
      <w:pPr>
        <w:autoSpaceDE w:val="0"/>
        <w:autoSpaceDN w:val="0"/>
        <w:adjustRightInd w:val="0"/>
        <w:ind w:left="360"/>
        <w:jc w:val="both"/>
        <w:rPr>
          <w:rFonts w:cstheme="minorHAnsi"/>
          <w:lang w:val="es-ES_tradnl"/>
        </w:rPr>
      </w:pPr>
      <w:r w:rsidRPr="0051709F">
        <w:rPr>
          <w:rFonts w:cstheme="minorHAnsi"/>
          <w:lang w:val="es-ES_tradnl"/>
        </w:rPr>
        <w:t xml:space="preserve">En este caso, la aplicación de los beneficios fiscales </w:t>
      </w:r>
      <w:r w:rsidR="00330A24" w:rsidRPr="0051709F">
        <w:rPr>
          <w:rFonts w:cstheme="minorHAnsi"/>
          <w:lang w:val="es-ES_tradnl"/>
        </w:rPr>
        <w:t>está</w:t>
      </w:r>
      <w:r w:rsidRPr="0051709F">
        <w:rPr>
          <w:rFonts w:cstheme="minorHAnsi"/>
          <w:lang w:val="es-ES_tradnl"/>
        </w:rPr>
        <w:t xml:space="preserve"> sujeta a la Ley por la que se apruebe el programa de apoyo al acontecimiento de excepcional interés público correspondiente. Los beneficios se agrupan por:</w:t>
      </w:r>
    </w:p>
    <w:p w14:paraId="04705136" w14:textId="77777777" w:rsidR="00CD50C9" w:rsidRPr="0051709F" w:rsidRDefault="00CD50C9" w:rsidP="00E6399B">
      <w:pPr>
        <w:pStyle w:val="Prrafodelista"/>
        <w:numPr>
          <w:ilvl w:val="0"/>
          <w:numId w:val="98"/>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Deducciones en los impuestos que gravan la renta por inversiones y gastos realizados.</w:t>
      </w:r>
    </w:p>
    <w:p w14:paraId="63E82DC0" w14:textId="77777777" w:rsidR="00CD50C9" w:rsidRPr="0051709F" w:rsidRDefault="00CD50C9" w:rsidP="00E6399B">
      <w:pPr>
        <w:pStyle w:val="Prrafodelista"/>
        <w:numPr>
          <w:ilvl w:val="0"/>
          <w:numId w:val="98"/>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Deducciones en los impuestos que gravan la renta por donaciones efectuadas.</w:t>
      </w:r>
    </w:p>
    <w:p w14:paraId="5D30143C" w14:textId="77777777" w:rsidR="00CD50C9" w:rsidRPr="0051709F" w:rsidRDefault="00CD50C9" w:rsidP="00E6399B">
      <w:pPr>
        <w:pStyle w:val="Prrafodelista"/>
        <w:numPr>
          <w:ilvl w:val="0"/>
          <w:numId w:val="98"/>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 xml:space="preserve">Bonificaciones en el impuesto sobre Transmisiones Patrimoniales y Actos Jurídicos Documentados, impuestos locales y determinadas tasas. En el ámbito </w:t>
      </w:r>
      <w:r w:rsidRPr="0051709F">
        <w:rPr>
          <w:rFonts w:asciiTheme="minorHAnsi" w:hAnsiTheme="minorHAnsi" w:cstheme="minorHAnsi"/>
          <w:sz w:val="24"/>
          <w:szCs w:val="24"/>
          <w:lang w:val="es-ES_tradnl"/>
        </w:rPr>
        <w:lastRenderedPageBreak/>
        <w:t>laboral, este tipo de deducciones son sólo para acontecimientos deportivos extraordinarios de nivel internacional.</w:t>
      </w:r>
    </w:p>
    <w:p w14:paraId="18853ACF" w14:textId="77777777" w:rsidR="00CD50C9" w:rsidRPr="0051709F" w:rsidRDefault="00CD50C9" w:rsidP="00CD50C9">
      <w:pPr>
        <w:autoSpaceDE w:val="0"/>
        <w:autoSpaceDN w:val="0"/>
        <w:adjustRightInd w:val="0"/>
        <w:jc w:val="both"/>
        <w:rPr>
          <w:rFonts w:cstheme="minorHAnsi"/>
          <w:lang w:val="es-ES_tradnl"/>
        </w:rPr>
      </w:pPr>
    </w:p>
    <w:p w14:paraId="4A2DD816" w14:textId="77777777" w:rsidR="00CD50C9" w:rsidRPr="0051709F" w:rsidRDefault="00CD50C9" w:rsidP="00CD50C9">
      <w:pPr>
        <w:autoSpaceDE w:val="0"/>
        <w:autoSpaceDN w:val="0"/>
        <w:adjustRightInd w:val="0"/>
        <w:jc w:val="both"/>
        <w:rPr>
          <w:rFonts w:cstheme="minorHAnsi"/>
          <w:lang w:val="es-ES_tradnl"/>
        </w:rPr>
      </w:pPr>
      <w:r w:rsidRPr="0051709F">
        <w:rPr>
          <w:rFonts w:cstheme="minorHAnsi"/>
          <w:lang w:val="es-ES_tradnl"/>
        </w:rPr>
        <w:t>Del citado análisis (Plan A+D, CSD, 2010) sus autores extrajeron las siguientes dos conclusiones generales:</w:t>
      </w:r>
    </w:p>
    <w:p w14:paraId="5BC7A95E" w14:textId="77777777" w:rsidR="00CD50C9" w:rsidRPr="0051709F" w:rsidRDefault="00CD50C9" w:rsidP="00CD50C9">
      <w:pPr>
        <w:autoSpaceDE w:val="0"/>
        <w:autoSpaceDN w:val="0"/>
        <w:adjustRightInd w:val="0"/>
        <w:jc w:val="both"/>
        <w:rPr>
          <w:rFonts w:cstheme="minorHAnsi"/>
          <w:lang w:val="es-ES_tradnl"/>
        </w:rPr>
      </w:pPr>
    </w:p>
    <w:p w14:paraId="15B97223" w14:textId="77777777" w:rsidR="00CD50C9" w:rsidRPr="0051709F" w:rsidRDefault="00CD50C9" w:rsidP="00E6399B">
      <w:pPr>
        <w:pStyle w:val="Prrafodelista"/>
        <w:numPr>
          <w:ilvl w:val="0"/>
          <w:numId w:val="97"/>
        </w:numPr>
        <w:autoSpaceDE w:val="0"/>
        <w:autoSpaceDN w:val="0"/>
        <w:adjustRightInd w:val="0"/>
        <w:jc w:val="both"/>
        <w:rPr>
          <w:rFonts w:asciiTheme="minorHAnsi" w:hAnsiTheme="minorHAnsi" w:cstheme="minorHAnsi"/>
          <w:b/>
          <w:bCs/>
          <w:sz w:val="24"/>
          <w:szCs w:val="24"/>
          <w:lang w:val="es-ES_tradnl"/>
        </w:rPr>
      </w:pPr>
      <w:r w:rsidRPr="0051709F">
        <w:rPr>
          <w:rFonts w:asciiTheme="minorHAnsi" w:hAnsiTheme="minorHAnsi" w:cstheme="minorHAnsi"/>
          <w:sz w:val="24"/>
          <w:szCs w:val="24"/>
          <w:lang w:val="es-ES_tradnl"/>
        </w:rPr>
        <w:t xml:space="preserve">La mayor parte de los beneficios fiscales analizados para las actividades físicas y deportivas en la empresa, no son de aplicación, con la salvedad de los gastos en actividades de interés general, por lo que se requeriría una </w:t>
      </w:r>
      <w:r w:rsidRPr="0051709F">
        <w:rPr>
          <w:rFonts w:asciiTheme="minorHAnsi" w:hAnsiTheme="minorHAnsi" w:cstheme="minorHAnsi"/>
          <w:b/>
          <w:bCs/>
          <w:sz w:val="24"/>
          <w:szCs w:val="24"/>
          <w:lang w:val="es-ES_tradnl"/>
        </w:rPr>
        <w:t>reforma urgente de la normativa vigente.</w:t>
      </w:r>
    </w:p>
    <w:p w14:paraId="065C6D47" w14:textId="77777777" w:rsidR="00CD50C9" w:rsidRPr="0051709F" w:rsidRDefault="00CD50C9" w:rsidP="00E6399B">
      <w:pPr>
        <w:pStyle w:val="Prrafodelista"/>
        <w:numPr>
          <w:ilvl w:val="0"/>
          <w:numId w:val="97"/>
        </w:numPr>
        <w:autoSpaceDE w:val="0"/>
        <w:autoSpaceDN w:val="0"/>
        <w:adjustRightInd w:val="0"/>
        <w:jc w:val="both"/>
        <w:rPr>
          <w:rFonts w:asciiTheme="minorHAnsi" w:hAnsiTheme="minorHAnsi" w:cstheme="minorHAnsi"/>
          <w:sz w:val="24"/>
          <w:szCs w:val="24"/>
          <w:lang w:val="es-ES_tradnl"/>
        </w:rPr>
      </w:pPr>
      <w:r w:rsidRPr="0051709F">
        <w:rPr>
          <w:rFonts w:asciiTheme="minorHAnsi" w:hAnsiTheme="minorHAnsi" w:cstheme="minorHAnsi"/>
          <w:sz w:val="24"/>
          <w:szCs w:val="24"/>
          <w:lang w:val="es-ES_tradnl"/>
        </w:rPr>
        <w:t xml:space="preserve">Las deducciones fiscales se ven condicionadas por el requisito de la personalidad jurídica del beneficiario, acción </w:t>
      </w:r>
      <w:proofErr w:type="gramStart"/>
      <w:r w:rsidRPr="0051709F">
        <w:rPr>
          <w:rFonts w:asciiTheme="minorHAnsi" w:hAnsiTheme="minorHAnsi" w:cstheme="minorHAnsi"/>
          <w:sz w:val="24"/>
          <w:szCs w:val="24"/>
          <w:lang w:val="es-ES_tradnl"/>
        </w:rPr>
        <w:t>a</w:t>
      </w:r>
      <w:proofErr w:type="gramEnd"/>
      <w:r w:rsidRPr="0051709F">
        <w:rPr>
          <w:rFonts w:asciiTheme="minorHAnsi" w:hAnsiTheme="minorHAnsi" w:cstheme="minorHAnsi"/>
          <w:sz w:val="24"/>
          <w:szCs w:val="24"/>
          <w:lang w:val="es-ES_tradnl"/>
        </w:rPr>
        <w:t xml:space="preserve"> tener en cuenta al poner en marcha las acciones del citado Plan A+D en este ámbito laboral.</w:t>
      </w:r>
    </w:p>
    <w:p w14:paraId="22D8F7FD" w14:textId="77777777" w:rsidR="00CD50C9" w:rsidRPr="0051709F" w:rsidRDefault="00CD50C9" w:rsidP="00CD50C9">
      <w:pPr>
        <w:jc w:val="both"/>
        <w:rPr>
          <w:rFonts w:cstheme="minorHAnsi"/>
          <w:b/>
          <w:bCs/>
          <w:lang w:val="es-ES_tradnl"/>
        </w:rPr>
      </w:pPr>
    </w:p>
    <w:p w14:paraId="18B319D6" w14:textId="49354296" w:rsidR="00CD50C9" w:rsidRPr="0051709F" w:rsidRDefault="00AC7F57" w:rsidP="00CD50C9">
      <w:pPr>
        <w:jc w:val="both"/>
        <w:rPr>
          <w:rFonts w:cstheme="minorHAnsi"/>
          <w:lang w:val="es-ES_tradnl"/>
        </w:rPr>
      </w:pPr>
      <w:r>
        <w:rPr>
          <w:rFonts w:cstheme="minorHAnsi"/>
          <w:lang w:val="es-ES_tradnl"/>
        </w:rPr>
        <w:t xml:space="preserve">Para </w:t>
      </w:r>
      <w:r w:rsidR="00CD50C9" w:rsidRPr="0051709F">
        <w:rPr>
          <w:rFonts w:cstheme="minorHAnsi"/>
          <w:lang w:val="es-ES_tradnl"/>
        </w:rPr>
        <w:t>poner en marcha medidas sostenibles y efectivas de promoción de la actividad física y el deporte en el contexto laboral</w:t>
      </w:r>
      <w:r>
        <w:rPr>
          <w:rFonts w:cstheme="minorHAnsi"/>
          <w:lang w:val="es-ES_tradnl"/>
        </w:rPr>
        <w:t xml:space="preserve">, resulta de </w:t>
      </w:r>
      <w:r w:rsidRPr="0051709F">
        <w:rPr>
          <w:rFonts w:cstheme="minorHAnsi"/>
          <w:lang w:val="es-ES_tradnl"/>
        </w:rPr>
        <w:t>interés</w:t>
      </w:r>
      <w:r w:rsidR="00CD50C9" w:rsidRPr="0051709F">
        <w:rPr>
          <w:rFonts w:cstheme="minorHAnsi"/>
          <w:lang w:val="es-ES_tradnl"/>
        </w:rPr>
        <w:t xml:space="preserve"> </w:t>
      </w:r>
      <w:r>
        <w:rPr>
          <w:rFonts w:cstheme="minorHAnsi"/>
          <w:lang w:val="es-ES_tradnl"/>
        </w:rPr>
        <w:t>l</w:t>
      </w:r>
      <w:r w:rsidR="00CD50C9" w:rsidRPr="0051709F">
        <w:rPr>
          <w:rFonts w:cstheme="minorHAnsi"/>
          <w:lang w:val="es-ES_tradnl"/>
        </w:rPr>
        <w:t xml:space="preserve">as planteadas por </w:t>
      </w:r>
      <w:proofErr w:type="spellStart"/>
      <w:r w:rsidR="00CD50C9" w:rsidRPr="0051709F">
        <w:rPr>
          <w:rFonts w:cstheme="minorHAnsi"/>
          <w:lang w:val="es-ES_tradnl"/>
        </w:rPr>
        <w:t>Ara</w:t>
      </w:r>
      <w:proofErr w:type="spellEnd"/>
      <w:r w:rsidR="00CD50C9" w:rsidRPr="0051709F">
        <w:rPr>
          <w:rFonts w:cstheme="minorHAnsi"/>
          <w:lang w:val="es-ES_tradnl"/>
        </w:rPr>
        <w:t xml:space="preserve"> y Pérez (2017) en un informe específico desarrollado para el </w:t>
      </w:r>
      <w:r w:rsidR="00CD50C9" w:rsidRPr="0051709F">
        <w:rPr>
          <w:rFonts w:cstheme="minorHAnsi"/>
        </w:rPr>
        <w:t>Instituto Nacional de Seguridad, Salud y Bienestar en el Trabajo (INSSBT), titulado “</w:t>
      </w:r>
      <w:r w:rsidR="00CD50C9" w:rsidRPr="0051709F">
        <w:rPr>
          <w:rFonts w:cstheme="minorHAnsi"/>
          <w:i/>
          <w:iCs/>
        </w:rPr>
        <w:t>Beneficios del fomento de la actividad física y la práctica deportiva, en términos de mejora de la salud, el bienestar y la productividad empresarial”</w:t>
      </w:r>
      <w:r w:rsidR="00CD50C9" w:rsidRPr="0051709F">
        <w:rPr>
          <w:rFonts w:cstheme="minorHAnsi"/>
        </w:rPr>
        <w:t>.</w:t>
      </w:r>
    </w:p>
    <w:p w14:paraId="29F2E10A" w14:textId="77777777" w:rsidR="00CD50C9" w:rsidRPr="0051709F" w:rsidRDefault="00CD50C9" w:rsidP="00CD50C9">
      <w:pPr>
        <w:jc w:val="both"/>
        <w:rPr>
          <w:rFonts w:cstheme="minorHAnsi"/>
          <w:b/>
          <w:bCs/>
          <w:lang w:val="es-ES_tradnl"/>
        </w:rPr>
      </w:pPr>
    </w:p>
    <w:p w14:paraId="65AFFC3F" w14:textId="0A006123" w:rsidR="00CD50C9" w:rsidRPr="0051709F" w:rsidRDefault="00CD50C9" w:rsidP="00CD50C9">
      <w:pPr>
        <w:jc w:val="both"/>
        <w:rPr>
          <w:rFonts w:cstheme="minorHAnsi"/>
          <w:lang w:val="es-ES_tradnl"/>
        </w:rPr>
      </w:pPr>
      <w:r w:rsidRPr="0051709F">
        <w:rPr>
          <w:rFonts w:cstheme="minorHAnsi"/>
          <w:lang w:val="es-ES_tradnl"/>
        </w:rPr>
        <w:t xml:space="preserve">En este informe, y tras un análisis detallado de la literatura sobre esos beneficios concretos, y basándose en los resultados obtenidos en un estudio específico con un grupo de empresas españolas, se plantean una serie de </w:t>
      </w:r>
      <w:r w:rsidRPr="0051709F">
        <w:rPr>
          <w:rFonts w:cstheme="minorHAnsi"/>
          <w:b/>
          <w:bCs/>
          <w:lang w:val="es-ES_tradnl"/>
        </w:rPr>
        <w:t>propuestas y recomendaciones concretas tanto para las empresas como para las administraciones públicas</w:t>
      </w:r>
      <w:r w:rsidRPr="0051709F">
        <w:rPr>
          <w:rFonts w:cstheme="minorHAnsi"/>
          <w:lang w:val="es-ES_tradnl"/>
        </w:rPr>
        <w:t xml:space="preserve">. Hay que destacar que sus autores destacan que </w:t>
      </w:r>
      <w:r w:rsidRPr="0051709F">
        <w:rPr>
          <w:rFonts w:cstheme="minorHAnsi"/>
          <w:i/>
          <w:iCs/>
          <w:lang w:val="es-ES_tradnl"/>
        </w:rPr>
        <w:t xml:space="preserve">“… </w:t>
      </w:r>
      <w:r w:rsidR="00330A24" w:rsidRPr="0051709F">
        <w:rPr>
          <w:rFonts w:cstheme="minorHAnsi"/>
          <w:i/>
          <w:iCs/>
        </w:rPr>
        <w:t>estas</w:t>
      </w:r>
      <w:r w:rsidRPr="0051709F">
        <w:rPr>
          <w:rFonts w:cstheme="minorHAnsi"/>
          <w:i/>
          <w:iCs/>
        </w:rPr>
        <w:t xml:space="preserve"> recomendaciones no serán efectivas sin la acción coordinada de los trabajadores, de las empresas y de las administraciones públicas”</w:t>
      </w:r>
      <w:r w:rsidRPr="0051709F">
        <w:rPr>
          <w:rFonts w:cstheme="minorHAnsi"/>
        </w:rPr>
        <w:t xml:space="preserve"> (Ara, Pérez, 2017).</w:t>
      </w:r>
    </w:p>
    <w:p w14:paraId="2B6CDEE5" w14:textId="77777777" w:rsidR="00CD50C9" w:rsidRPr="0051709F" w:rsidRDefault="00CD50C9" w:rsidP="00CD50C9">
      <w:pPr>
        <w:jc w:val="both"/>
        <w:rPr>
          <w:rFonts w:cstheme="minorHAnsi"/>
          <w:lang w:val="es-ES_tradnl"/>
        </w:rPr>
      </w:pPr>
    </w:p>
    <w:p w14:paraId="0AAFC126" w14:textId="3DAA5ECE" w:rsidR="00CD50C9" w:rsidRPr="0051709F" w:rsidRDefault="00CD50C9" w:rsidP="00CD50C9">
      <w:pPr>
        <w:jc w:val="both"/>
        <w:rPr>
          <w:rFonts w:cstheme="minorHAnsi"/>
        </w:rPr>
      </w:pPr>
      <w:r w:rsidRPr="0051709F">
        <w:rPr>
          <w:rFonts w:cstheme="minorHAnsi"/>
          <w:b/>
          <w:bCs/>
        </w:rPr>
        <w:t>Recomendaciones para las empresas</w:t>
      </w:r>
      <w:r w:rsidR="00AC7F57">
        <w:rPr>
          <w:rFonts w:cstheme="minorHAnsi"/>
          <w:b/>
          <w:bCs/>
        </w:rPr>
        <w:t>,</w:t>
      </w:r>
      <w:r w:rsidRPr="0051709F">
        <w:rPr>
          <w:rFonts w:cstheme="minorHAnsi"/>
        </w:rPr>
        <w:t xml:space="preserve"> diferenciando entre aquellas medidas centradas en la implantación de los programas de aquellas orientadas a facilitar la evaluación de estas (Ara, Pérez, 2017)</w:t>
      </w:r>
      <w:r w:rsidR="00AC7F57">
        <w:rPr>
          <w:rFonts w:cstheme="minorHAnsi"/>
        </w:rPr>
        <w:t>.</w:t>
      </w:r>
    </w:p>
    <w:p w14:paraId="13918D00" w14:textId="77777777" w:rsidR="00CD50C9" w:rsidRPr="0051709F" w:rsidRDefault="00CD50C9" w:rsidP="00CD50C9">
      <w:pPr>
        <w:jc w:val="both"/>
        <w:rPr>
          <w:rFonts w:cstheme="minorHAnsi"/>
        </w:rPr>
      </w:pPr>
    </w:p>
    <w:p w14:paraId="51DAE355" w14:textId="77777777" w:rsidR="00CD50C9" w:rsidRPr="0051709F" w:rsidRDefault="00CD50C9" w:rsidP="00CD50C9">
      <w:pPr>
        <w:jc w:val="both"/>
        <w:rPr>
          <w:rFonts w:cstheme="minorHAnsi"/>
          <w:i/>
          <w:iCs/>
        </w:rPr>
      </w:pPr>
      <w:r w:rsidRPr="0051709F">
        <w:rPr>
          <w:rFonts w:cstheme="minorHAnsi"/>
          <w:i/>
          <w:iCs/>
        </w:rPr>
        <w:t xml:space="preserve">A la hora de implantar programas de AF: </w:t>
      </w:r>
    </w:p>
    <w:p w14:paraId="555025C5" w14:textId="77777777" w:rsidR="00CD50C9" w:rsidRPr="0051709F" w:rsidRDefault="00CD50C9" w:rsidP="00CD50C9">
      <w:pPr>
        <w:jc w:val="both"/>
        <w:rPr>
          <w:rFonts w:cstheme="minorHAnsi"/>
        </w:rPr>
      </w:pPr>
    </w:p>
    <w:p w14:paraId="7EC5D400" w14:textId="4C03D6CF"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Consolidar el catálogo de programas de fomento de la AF y la lucha contra el sedentarismo, incluyendo no solo los programas más habituales (ver informe Ara y Pérez, 2017) sino también otros programas que incluyan la sustitución de tiempo sedentario por tiempo activo (i.e. la oficina dinámica, las rutas saludables dentro de la empresa, el transporte activo,</w:t>
      </w:r>
      <w:r w:rsidR="00AC7F57">
        <w:rPr>
          <w:rFonts w:asciiTheme="minorHAnsi" w:hAnsiTheme="minorHAnsi" w:cstheme="minorHAnsi"/>
          <w:sz w:val="24"/>
          <w:szCs w:val="24"/>
          <w:lang w:val="es-ES"/>
        </w:rPr>
        <w:t xml:space="preserve"> etc.</w:t>
      </w:r>
      <w:r w:rsidRPr="0051709F">
        <w:rPr>
          <w:rFonts w:asciiTheme="minorHAnsi" w:hAnsiTheme="minorHAnsi" w:cstheme="minorHAnsi"/>
          <w:sz w:val="24"/>
          <w:szCs w:val="24"/>
          <w:lang w:val="es-ES"/>
        </w:rPr>
        <w:t xml:space="preserve">) e incorporando en la medida de lo posible la utilización de nuevas tecnologías que cuantifiquen de forma objetiva los niveles de AF y sedentarismo de los trabajadores y favorezcan su motivación por un estilo de vida saludable. </w:t>
      </w:r>
    </w:p>
    <w:p w14:paraId="0662F140" w14:textId="291CB5FE"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Promover iniciativas para el transporte activo</w:t>
      </w:r>
      <w:r w:rsidR="00AC7F57">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w:t>
      </w:r>
      <w:r w:rsidR="00AC7F57">
        <w:rPr>
          <w:rFonts w:asciiTheme="minorHAnsi" w:hAnsiTheme="minorHAnsi" w:cstheme="minorHAnsi"/>
          <w:sz w:val="24"/>
          <w:szCs w:val="24"/>
          <w:lang w:val="es-ES"/>
        </w:rPr>
        <w:t>como el</w:t>
      </w:r>
      <w:r w:rsidRPr="0051709F">
        <w:rPr>
          <w:rFonts w:asciiTheme="minorHAnsi" w:hAnsiTheme="minorHAnsi" w:cstheme="minorHAnsi"/>
          <w:sz w:val="24"/>
          <w:szCs w:val="24"/>
          <w:lang w:val="es-ES"/>
        </w:rPr>
        <w:t xml:space="preserve"> uso de la bicicleta como medio de transporte al trabajo</w:t>
      </w:r>
      <w:r w:rsidR="00AC7F57">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en la línea </w:t>
      </w:r>
      <w:r w:rsidR="00AC7F57">
        <w:rPr>
          <w:rFonts w:asciiTheme="minorHAnsi" w:hAnsiTheme="minorHAnsi" w:cstheme="minorHAnsi"/>
          <w:sz w:val="24"/>
          <w:szCs w:val="24"/>
          <w:lang w:val="es-ES"/>
        </w:rPr>
        <w:t>con</w:t>
      </w:r>
      <w:r w:rsidR="00AC7F57"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lang w:val="es-ES"/>
        </w:rPr>
        <w:t xml:space="preserve">otras propuestas que se realizan desde otros países de la Unión Europea. </w:t>
      </w:r>
    </w:p>
    <w:p w14:paraId="1CCDD16F" w14:textId="77777777"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lastRenderedPageBreak/>
        <w:t>Favorecer la flexibilidad horaria de la jornada laboral (al entrar, durante las pausas de descanso/comidas y al salir). Este aspecto es imprescindible para lograr que los empleados puedan conciliar la práctica de AF y la lucha contra el sedentarismo en el ámbito laboral.</w:t>
      </w:r>
    </w:p>
    <w:p w14:paraId="1EE8571C" w14:textId="7B40E93A"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Detectar y utilizar los activos de los que disponen las empresas en relación con la práctica de AF. Tanto externos en su entorno (centros deportivos, parques, rutas saludables) como internos (departamentos de salud, deportistas, embajadores, </w:t>
      </w:r>
      <w:r w:rsidR="00372F2A">
        <w:rPr>
          <w:rFonts w:asciiTheme="minorHAnsi" w:hAnsiTheme="minorHAnsi" w:cstheme="minorHAnsi"/>
          <w:sz w:val="24"/>
          <w:szCs w:val="24"/>
          <w:lang w:val="es-ES"/>
        </w:rPr>
        <w:t xml:space="preserve">o </w:t>
      </w:r>
      <w:r w:rsidRPr="0051709F">
        <w:rPr>
          <w:rFonts w:asciiTheme="minorHAnsi" w:hAnsiTheme="minorHAnsi" w:cstheme="minorHAnsi"/>
          <w:sz w:val="24"/>
          <w:szCs w:val="24"/>
          <w:lang w:val="es-ES"/>
        </w:rPr>
        <w:t>motivadores). Utilización de recursos existentes (</w:t>
      </w:r>
      <w:proofErr w:type="gramStart"/>
      <w:r w:rsidRPr="0051709F">
        <w:rPr>
          <w:rFonts w:asciiTheme="minorHAnsi" w:hAnsiTheme="minorHAnsi" w:cstheme="minorHAnsi"/>
          <w:sz w:val="24"/>
          <w:szCs w:val="24"/>
          <w:lang w:val="es-ES"/>
        </w:rPr>
        <w:t>app</w:t>
      </w:r>
      <w:proofErr w:type="gramEnd"/>
      <w:r w:rsidRPr="0051709F">
        <w:rPr>
          <w:rFonts w:asciiTheme="minorHAnsi" w:hAnsiTheme="minorHAnsi" w:cstheme="minorHAnsi"/>
          <w:sz w:val="24"/>
          <w:szCs w:val="24"/>
          <w:lang w:val="es-ES"/>
        </w:rPr>
        <w:t xml:space="preserve"> que calculan los pasos/minutos entre las paradas de bus) y que en muchas ocasiones no tienen coste. </w:t>
      </w:r>
    </w:p>
    <w:p w14:paraId="52628119" w14:textId="77777777"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Promover la colaboración entre grupos empresariales en este tipo de programas, especialmente entre aquellas empresas que comparten la misma zona o tienen espacios comunes. </w:t>
      </w:r>
    </w:p>
    <w:p w14:paraId="27FF7134" w14:textId="0E58DF67"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Disponer de profesionales preparados y capacitados para permitir el seguimiento y trazabilidad de los programas</w:t>
      </w:r>
      <w:r w:rsidR="00372F2A">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garantizando la sostenibilidad de las acciones desarrolladas. </w:t>
      </w:r>
    </w:p>
    <w:p w14:paraId="0DA6988F" w14:textId="610EE7ED" w:rsidR="00CD50C9" w:rsidRPr="0051709F" w:rsidRDefault="00CD50C9" w:rsidP="00E6399B">
      <w:pPr>
        <w:pStyle w:val="Prrafodelista"/>
        <w:numPr>
          <w:ilvl w:val="0"/>
          <w:numId w:val="103"/>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Creación de un Foro de </w:t>
      </w:r>
      <w:r w:rsidR="00372F2A">
        <w:rPr>
          <w:rFonts w:asciiTheme="minorHAnsi" w:hAnsiTheme="minorHAnsi" w:cstheme="minorHAnsi"/>
          <w:sz w:val="24"/>
          <w:szCs w:val="24"/>
          <w:lang w:val="es-ES"/>
        </w:rPr>
        <w:t>e</w:t>
      </w:r>
      <w:r w:rsidRPr="0051709F">
        <w:rPr>
          <w:rFonts w:asciiTheme="minorHAnsi" w:hAnsiTheme="minorHAnsi" w:cstheme="minorHAnsi"/>
          <w:sz w:val="24"/>
          <w:szCs w:val="24"/>
          <w:lang w:val="es-ES"/>
        </w:rPr>
        <w:t xml:space="preserve">mpresarios o </w:t>
      </w:r>
      <w:r w:rsidR="00372F2A" w:rsidRPr="0051709F">
        <w:rPr>
          <w:rFonts w:asciiTheme="minorHAnsi" w:hAnsiTheme="minorHAnsi" w:cstheme="minorHAnsi"/>
          <w:sz w:val="24"/>
          <w:szCs w:val="24"/>
          <w:lang w:val="es-ES"/>
        </w:rPr>
        <w:t>directores</w:t>
      </w:r>
      <w:r w:rsidRPr="0051709F">
        <w:rPr>
          <w:rFonts w:asciiTheme="minorHAnsi" w:hAnsiTheme="minorHAnsi" w:cstheme="minorHAnsi"/>
          <w:sz w:val="24"/>
          <w:szCs w:val="24"/>
          <w:lang w:val="es-ES"/>
        </w:rPr>
        <w:t xml:space="preserve"> de </w:t>
      </w:r>
      <w:r w:rsidR="00372F2A">
        <w:rPr>
          <w:rFonts w:asciiTheme="minorHAnsi" w:hAnsiTheme="minorHAnsi" w:cstheme="minorHAnsi"/>
          <w:sz w:val="24"/>
          <w:szCs w:val="24"/>
          <w:lang w:val="es-ES"/>
        </w:rPr>
        <w:t>e</w:t>
      </w:r>
      <w:r w:rsidRPr="0051709F">
        <w:rPr>
          <w:rFonts w:asciiTheme="minorHAnsi" w:hAnsiTheme="minorHAnsi" w:cstheme="minorHAnsi"/>
          <w:sz w:val="24"/>
          <w:szCs w:val="24"/>
          <w:lang w:val="es-ES"/>
        </w:rPr>
        <w:t>mpresas</w:t>
      </w:r>
      <w:r w:rsidR="00372F2A">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con el fin de llevar a cabo acciones que permitan sensibilizar a este colectivo sobre la importancia de implantar este tipo de programas en la empresa. </w:t>
      </w:r>
    </w:p>
    <w:p w14:paraId="4B37500F" w14:textId="77777777" w:rsidR="00CD50C9" w:rsidRPr="0051709F" w:rsidRDefault="00CD50C9" w:rsidP="00CD50C9">
      <w:pPr>
        <w:jc w:val="both"/>
        <w:rPr>
          <w:rFonts w:cstheme="minorHAnsi"/>
        </w:rPr>
      </w:pPr>
    </w:p>
    <w:p w14:paraId="24072C70" w14:textId="77777777" w:rsidR="00CD50C9" w:rsidRPr="0051709F" w:rsidRDefault="00CD50C9" w:rsidP="00CD50C9">
      <w:pPr>
        <w:jc w:val="both"/>
        <w:rPr>
          <w:rFonts w:cstheme="minorHAnsi"/>
          <w:i/>
          <w:iCs/>
        </w:rPr>
      </w:pPr>
      <w:r w:rsidRPr="0051709F">
        <w:rPr>
          <w:rFonts w:cstheme="minorHAnsi"/>
          <w:i/>
          <w:iCs/>
        </w:rPr>
        <w:t xml:space="preserve">A la hora de evaluar programas de AF: </w:t>
      </w:r>
    </w:p>
    <w:p w14:paraId="42408820" w14:textId="77777777" w:rsidR="00CD50C9" w:rsidRPr="0051709F" w:rsidRDefault="00CD50C9" w:rsidP="00CD50C9">
      <w:pPr>
        <w:jc w:val="both"/>
        <w:rPr>
          <w:rFonts w:cstheme="minorHAnsi"/>
        </w:rPr>
      </w:pPr>
    </w:p>
    <w:p w14:paraId="40B2F962" w14:textId="77777777" w:rsidR="00CD50C9" w:rsidRPr="0051709F" w:rsidRDefault="00CD50C9" w:rsidP="00E6399B">
      <w:pPr>
        <w:pStyle w:val="Prrafodelista"/>
        <w:numPr>
          <w:ilvl w:val="0"/>
          <w:numId w:val="10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Resaltar la importancia de llevar a cabo evaluaciones completas de los programas, teniendo en cuenta no solo aspectos relativos a la salud y calidad de vida de las personas que participen, sino también de los aspectos relacionados con los índices de absentismo, la asistencia sanitaria y la productividad. </w:t>
      </w:r>
    </w:p>
    <w:p w14:paraId="2D160290" w14:textId="77777777" w:rsidR="00CD50C9" w:rsidRPr="0051709F" w:rsidRDefault="00CD50C9" w:rsidP="00E6399B">
      <w:pPr>
        <w:pStyle w:val="Prrafodelista"/>
        <w:numPr>
          <w:ilvl w:val="0"/>
          <w:numId w:val="10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Incluir en la historia clínica de los trabajadores información relativa a la AF, el sedentarismo y el transporte activo mediante instrumentos sencillos y validados. </w:t>
      </w:r>
    </w:p>
    <w:p w14:paraId="406D1F9C" w14:textId="77777777" w:rsidR="00CD50C9" w:rsidRPr="0051709F" w:rsidRDefault="00CD50C9" w:rsidP="00E6399B">
      <w:pPr>
        <w:pStyle w:val="Prrafodelista"/>
        <w:numPr>
          <w:ilvl w:val="0"/>
          <w:numId w:val="10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Establecer los mecanismos necesarios para la óptima comunicación entre departamentos para realizar una vigilancia de la salud colectiva que incluya cruzar datos que contribuyan a mejorar la implantación y la correcta evaluación de los programas (coste-beneficio). </w:t>
      </w:r>
    </w:p>
    <w:p w14:paraId="35628095" w14:textId="77777777" w:rsidR="00CD50C9" w:rsidRPr="0051709F" w:rsidRDefault="00CD50C9" w:rsidP="00E6399B">
      <w:pPr>
        <w:pStyle w:val="Prrafodelista"/>
        <w:numPr>
          <w:ilvl w:val="0"/>
          <w:numId w:val="104"/>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Aumentar las medidas de apoyo a la generación de conocimiento en este ámbito específico, promoviendo proyectos de investigación y convenios de colaboración con los centros de investigación y universidades públicas/privadas del entorno que permitan la transferencia entre las empresas y dichas instituciones.</w:t>
      </w:r>
    </w:p>
    <w:p w14:paraId="1EEBB6F6" w14:textId="77777777" w:rsidR="00CD50C9" w:rsidRPr="0051709F" w:rsidRDefault="00CD50C9" w:rsidP="00CD50C9">
      <w:pPr>
        <w:jc w:val="both"/>
        <w:rPr>
          <w:rFonts w:cstheme="minorHAnsi"/>
          <w:lang w:val="es-ES_tradnl"/>
        </w:rPr>
      </w:pPr>
    </w:p>
    <w:p w14:paraId="53D6C53F" w14:textId="5499BA03" w:rsidR="00CD50C9" w:rsidRPr="0051709F" w:rsidRDefault="00CD50C9" w:rsidP="00CD50C9">
      <w:pPr>
        <w:autoSpaceDE w:val="0"/>
        <w:autoSpaceDN w:val="0"/>
        <w:adjustRightInd w:val="0"/>
        <w:jc w:val="both"/>
        <w:rPr>
          <w:rFonts w:cstheme="minorHAnsi"/>
        </w:rPr>
      </w:pPr>
      <w:r w:rsidRPr="0051709F">
        <w:rPr>
          <w:rFonts w:cstheme="minorHAnsi"/>
          <w:b/>
          <w:bCs/>
        </w:rPr>
        <w:t>Recomendaciones para administraciones públicas</w:t>
      </w:r>
      <w:r w:rsidRPr="0051709F">
        <w:rPr>
          <w:rFonts w:cstheme="minorHAnsi"/>
        </w:rPr>
        <w:t xml:space="preserve"> (Ara, Pérez, 2017)</w:t>
      </w:r>
      <w:r w:rsidR="00372F2A">
        <w:rPr>
          <w:rFonts w:cstheme="minorHAnsi"/>
        </w:rPr>
        <w:t>.</w:t>
      </w:r>
    </w:p>
    <w:p w14:paraId="7159DF78" w14:textId="77777777" w:rsidR="00CD50C9" w:rsidRPr="0051709F" w:rsidRDefault="00CD50C9" w:rsidP="00CD50C9">
      <w:pPr>
        <w:autoSpaceDE w:val="0"/>
        <w:autoSpaceDN w:val="0"/>
        <w:adjustRightInd w:val="0"/>
        <w:jc w:val="both"/>
        <w:rPr>
          <w:rFonts w:cstheme="minorHAnsi"/>
        </w:rPr>
      </w:pPr>
    </w:p>
    <w:p w14:paraId="1FDEF9C7" w14:textId="77777777"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Elaboración y difusión de una campaña a nivel nacional sobre la promoción y el fomento de la práctica de AF y la lucha contra el sedentarismo en el ámbito laboral. </w:t>
      </w:r>
    </w:p>
    <w:p w14:paraId="48211272" w14:textId="77777777"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Desarrollar una Guía oficial dirigida a empresas que se planteen poner en marcha este tipo de programas y que recoja las orientaciones específicas sobre los mejores indicadores de salud, bienestar, productividad/absentismo y el entorno que deben incluir estos programas. Dicha Guía debería contar con una ficha técnica sencilla con los requisitos mínimos de los programas de promoción de AF </w:t>
      </w:r>
      <w:r w:rsidRPr="0051709F">
        <w:rPr>
          <w:rFonts w:asciiTheme="minorHAnsi" w:hAnsiTheme="minorHAnsi" w:cstheme="minorHAnsi"/>
          <w:sz w:val="24"/>
          <w:szCs w:val="24"/>
          <w:lang w:val="es-ES"/>
        </w:rPr>
        <w:lastRenderedPageBreak/>
        <w:t xml:space="preserve">y lucha contra el sedentarismo en el ámbito laboral, que sirva de referente a aquellas empresas que deseen consultarla. </w:t>
      </w:r>
    </w:p>
    <w:p w14:paraId="37CD805F" w14:textId="13E44964"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Aumentar la competencia en “Prescripción de Ejercicio Físico” en el colectivo sanitario de las empresas, incorporando herramientas nuevas a través de la Escuela Nacional de Medicina del Trabajo (i.e. curso “on-line” gratuito para personal sanitario del Ministerio de Educación, Cultura y Deporte) que incluye un módulo específico para la prescripción de AF en el ámbito laboral.</w:t>
      </w:r>
    </w:p>
    <w:p w14:paraId="61C297FF" w14:textId="37E03016"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Impulsar la participación de todas las administraciones públicas (estatal, autonómica y local), con especial mención a los municipios, para que, a través de la red de tejido empresarial más próximo, puedan estimular este tipo de programas. </w:t>
      </w:r>
    </w:p>
    <w:p w14:paraId="014E0987" w14:textId="0B6CF912"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Coordinar la gestión del uso de instalaciones deportivas públicas con aquellas empresas interesadas en promover la práctica de </w:t>
      </w:r>
      <w:r w:rsidR="00372F2A">
        <w:rPr>
          <w:rFonts w:asciiTheme="minorHAnsi" w:hAnsiTheme="minorHAnsi" w:cstheme="minorHAnsi"/>
          <w:sz w:val="24"/>
          <w:szCs w:val="24"/>
          <w:lang w:val="es-ES"/>
        </w:rPr>
        <w:t xml:space="preserve">la </w:t>
      </w:r>
      <w:r w:rsidRPr="0051709F">
        <w:rPr>
          <w:rFonts w:asciiTheme="minorHAnsi" w:hAnsiTheme="minorHAnsi" w:cstheme="minorHAnsi"/>
          <w:sz w:val="24"/>
          <w:szCs w:val="24"/>
          <w:lang w:val="es-ES"/>
        </w:rPr>
        <w:t xml:space="preserve">AF entre sus empleados, favoreciendo en la medida de lo posible incluir a la familia de los empleados en este tipo de acciones con el fin de extender la mejora de la salud más allá del propio trabajador y favorecer la conciliación laboral y personal (i.e. a través de la Red de Municipios Saludables). </w:t>
      </w:r>
    </w:p>
    <w:p w14:paraId="29D02522" w14:textId="04380982" w:rsidR="00CD50C9" w:rsidRPr="0051709F"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Estudiar y poner en marcha incentivos económicos o fiscales como </w:t>
      </w:r>
      <w:r w:rsidR="00372F2A">
        <w:rPr>
          <w:rFonts w:asciiTheme="minorHAnsi" w:hAnsiTheme="minorHAnsi" w:cstheme="minorHAnsi"/>
          <w:sz w:val="24"/>
          <w:szCs w:val="24"/>
          <w:lang w:val="es-ES"/>
        </w:rPr>
        <w:t>la</w:t>
      </w:r>
      <w:r w:rsidRPr="0051709F">
        <w:rPr>
          <w:rFonts w:asciiTheme="minorHAnsi" w:hAnsiTheme="minorHAnsi" w:cstheme="minorHAnsi"/>
          <w:sz w:val="24"/>
          <w:szCs w:val="24"/>
          <w:lang w:val="es-ES"/>
        </w:rPr>
        <w:t xml:space="preserve"> </w:t>
      </w:r>
      <w:r w:rsidR="00372F2A">
        <w:rPr>
          <w:rFonts w:asciiTheme="minorHAnsi" w:hAnsiTheme="minorHAnsi" w:cstheme="minorHAnsi"/>
          <w:sz w:val="24"/>
          <w:szCs w:val="24"/>
          <w:lang w:val="es-ES"/>
        </w:rPr>
        <w:t>i</w:t>
      </w:r>
      <w:r w:rsidRPr="0051709F">
        <w:rPr>
          <w:rFonts w:asciiTheme="minorHAnsi" w:hAnsiTheme="minorHAnsi" w:cstheme="minorHAnsi"/>
          <w:sz w:val="24"/>
          <w:szCs w:val="24"/>
          <w:lang w:val="es-ES"/>
        </w:rPr>
        <w:t>nclusión de los programas de promoción de la AF y lucha contra el Sedentarismo como una parte de la responsabilidad social corporativa (RSC) de las empresas, incluyendo posibles desgravaciones fiscales para estos programas.</w:t>
      </w:r>
    </w:p>
    <w:p w14:paraId="34C1D1CB" w14:textId="497FCDCC" w:rsidR="00CD50C9" w:rsidRPr="00963270" w:rsidRDefault="00CD50C9" w:rsidP="00E6399B">
      <w:pPr>
        <w:pStyle w:val="Prrafodelista"/>
        <w:numPr>
          <w:ilvl w:val="0"/>
          <w:numId w:val="102"/>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Apoyar y promocionar las políticas de “transporte activo” al trabajo.</w:t>
      </w:r>
    </w:p>
    <w:p w14:paraId="0A9A3A6B" w14:textId="77777777" w:rsidR="00CD50C9" w:rsidRPr="0051709F" w:rsidRDefault="00CD50C9" w:rsidP="00CD50C9">
      <w:pPr>
        <w:jc w:val="both"/>
        <w:rPr>
          <w:rFonts w:cstheme="minorHAnsi"/>
          <w:b/>
          <w:bCs/>
        </w:rPr>
      </w:pPr>
    </w:p>
    <w:p w14:paraId="25853D61" w14:textId="77777777" w:rsidR="001B7B67" w:rsidRDefault="001B7B67" w:rsidP="003906F1">
      <w:pPr>
        <w:pStyle w:val="Ttulo1"/>
        <w:rPr>
          <w:rFonts w:asciiTheme="minorHAnsi" w:hAnsiTheme="minorHAnsi" w:cstheme="minorHAnsi"/>
          <w:sz w:val="24"/>
          <w:szCs w:val="24"/>
        </w:rPr>
      </w:pPr>
    </w:p>
    <w:p w14:paraId="00C3BA06" w14:textId="77777777" w:rsidR="001B7B67" w:rsidRDefault="001B7B67" w:rsidP="003906F1">
      <w:pPr>
        <w:pStyle w:val="Ttulo1"/>
        <w:rPr>
          <w:rFonts w:asciiTheme="minorHAnsi" w:hAnsiTheme="minorHAnsi" w:cstheme="minorHAnsi"/>
          <w:sz w:val="24"/>
          <w:szCs w:val="24"/>
        </w:rPr>
      </w:pPr>
    </w:p>
    <w:p w14:paraId="5286CC51" w14:textId="77777777" w:rsidR="001B7B67" w:rsidRDefault="001B7B67" w:rsidP="003906F1">
      <w:pPr>
        <w:pStyle w:val="Ttulo1"/>
        <w:rPr>
          <w:rFonts w:asciiTheme="minorHAnsi" w:hAnsiTheme="minorHAnsi" w:cstheme="minorHAnsi"/>
          <w:sz w:val="24"/>
          <w:szCs w:val="24"/>
        </w:rPr>
      </w:pPr>
    </w:p>
    <w:p w14:paraId="2FA37AED" w14:textId="77777777" w:rsidR="001B7B67" w:rsidRDefault="001B7B67" w:rsidP="003906F1">
      <w:pPr>
        <w:pStyle w:val="Ttulo1"/>
        <w:rPr>
          <w:rFonts w:asciiTheme="minorHAnsi" w:hAnsiTheme="minorHAnsi" w:cstheme="minorHAnsi"/>
          <w:sz w:val="24"/>
          <w:szCs w:val="24"/>
        </w:rPr>
      </w:pPr>
    </w:p>
    <w:p w14:paraId="4448C689" w14:textId="77777777" w:rsidR="001B7B67" w:rsidRDefault="001B7B67" w:rsidP="003906F1">
      <w:pPr>
        <w:pStyle w:val="Ttulo1"/>
        <w:rPr>
          <w:rFonts w:asciiTheme="minorHAnsi" w:hAnsiTheme="minorHAnsi" w:cstheme="minorHAnsi"/>
          <w:sz w:val="24"/>
          <w:szCs w:val="24"/>
        </w:rPr>
      </w:pPr>
    </w:p>
    <w:p w14:paraId="7E7FC85F" w14:textId="77777777" w:rsidR="001B7B67" w:rsidRDefault="001B7B67" w:rsidP="003906F1">
      <w:pPr>
        <w:pStyle w:val="Ttulo1"/>
        <w:rPr>
          <w:rFonts w:asciiTheme="minorHAnsi" w:hAnsiTheme="minorHAnsi" w:cstheme="minorHAnsi"/>
          <w:sz w:val="24"/>
          <w:szCs w:val="24"/>
        </w:rPr>
      </w:pPr>
    </w:p>
    <w:p w14:paraId="5F83D724" w14:textId="77777777" w:rsidR="001B7B67" w:rsidRDefault="001B7B67" w:rsidP="003906F1">
      <w:pPr>
        <w:pStyle w:val="Ttulo1"/>
        <w:rPr>
          <w:rFonts w:asciiTheme="minorHAnsi" w:hAnsiTheme="minorHAnsi" w:cstheme="minorHAnsi"/>
          <w:sz w:val="24"/>
          <w:szCs w:val="24"/>
        </w:rPr>
      </w:pPr>
    </w:p>
    <w:p w14:paraId="64B62D5C" w14:textId="77777777" w:rsidR="001B7B67" w:rsidRDefault="001B7B67" w:rsidP="003906F1">
      <w:pPr>
        <w:pStyle w:val="Ttulo1"/>
        <w:rPr>
          <w:rFonts w:asciiTheme="minorHAnsi" w:hAnsiTheme="minorHAnsi" w:cstheme="minorHAnsi"/>
          <w:sz w:val="24"/>
          <w:szCs w:val="24"/>
        </w:rPr>
      </w:pPr>
    </w:p>
    <w:p w14:paraId="0DF8FF5A" w14:textId="77777777" w:rsidR="001B7B67" w:rsidRDefault="001B7B67" w:rsidP="003906F1">
      <w:pPr>
        <w:pStyle w:val="Ttulo1"/>
        <w:rPr>
          <w:rFonts w:asciiTheme="minorHAnsi" w:hAnsiTheme="minorHAnsi" w:cstheme="minorHAnsi"/>
          <w:sz w:val="24"/>
          <w:szCs w:val="24"/>
        </w:rPr>
      </w:pPr>
    </w:p>
    <w:p w14:paraId="63467E7E" w14:textId="77777777" w:rsidR="001B7B67" w:rsidRDefault="001B7B67" w:rsidP="003906F1">
      <w:pPr>
        <w:pStyle w:val="Ttulo1"/>
        <w:rPr>
          <w:rFonts w:asciiTheme="minorHAnsi" w:hAnsiTheme="minorHAnsi" w:cstheme="minorHAnsi"/>
          <w:sz w:val="24"/>
          <w:szCs w:val="24"/>
        </w:rPr>
      </w:pPr>
    </w:p>
    <w:p w14:paraId="2D9235C4" w14:textId="77777777" w:rsidR="001B7B67" w:rsidRDefault="001B7B67" w:rsidP="003906F1">
      <w:pPr>
        <w:pStyle w:val="Ttulo1"/>
        <w:rPr>
          <w:rFonts w:asciiTheme="minorHAnsi" w:hAnsiTheme="minorHAnsi" w:cstheme="minorHAnsi"/>
          <w:sz w:val="24"/>
          <w:szCs w:val="24"/>
        </w:rPr>
      </w:pPr>
    </w:p>
    <w:p w14:paraId="40A27021" w14:textId="77777777" w:rsidR="00120CD5" w:rsidRDefault="00120CD5" w:rsidP="00120CD5">
      <w:pPr>
        <w:pStyle w:val="Ttulo1"/>
        <w:jc w:val="right"/>
        <w:rPr>
          <w:rFonts w:asciiTheme="minorHAnsi" w:hAnsiTheme="minorHAnsi" w:cstheme="minorHAnsi"/>
        </w:rPr>
      </w:pPr>
    </w:p>
    <w:p w14:paraId="530D4E05" w14:textId="77777777" w:rsidR="00120CD5" w:rsidRDefault="00120CD5" w:rsidP="00120CD5">
      <w:pPr>
        <w:pStyle w:val="Ttulo1"/>
        <w:jc w:val="right"/>
        <w:rPr>
          <w:rFonts w:asciiTheme="minorHAnsi" w:hAnsiTheme="minorHAnsi" w:cstheme="minorHAnsi"/>
        </w:rPr>
      </w:pPr>
    </w:p>
    <w:p w14:paraId="2FBA9BD9" w14:textId="77777777" w:rsidR="00120CD5" w:rsidRDefault="00120CD5" w:rsidP="00120CD5">
      <w:pPr>
        <w:pStyle w:val="Ttulo1"/>
        <w:jc w:val="right"/>
        <w:rPr>
          <w:rFonts w:asciiTheme="minorHAnsi" w:hAnsiTheme="minorHAnsi" w:cstheme="minorHAnsi"/>
        </w:rPr>
      </w:pPr>
    </w:p>
    <w:p w14:paraId="18941C27" w14:textId="77777777" w:rsidR="00120CD5" w:rsidRDefault="00120CD5" w:rsidP="00120CD5">
      <w:pPr>
        <w:pStyle w:val="Ttulo1"/>
        <w:jc w:val="right"/>
        <w:rPr>
          <w:rFonts w:asciiTheme="minorHAnsi" w:hAnsiTheme="minorHAnsi" w:cstheme="minorHAnsi"/>
        </w:rPr>
      </w:pPr>
    </w:p>
    <w:p w14:paraId="10699944" w14:textId="75BC526E" w:rsidR="00120CD5" w:rsidRPr="00120CD5" w:rsidRDefault="00120CD5" w:rsidP="00120CD5">
      <w:pPr>
        <w:pStyle w:val="Ttulo1"/>
        <w:jc w:val="right"/>
        <w:rPr>
          <w:rFonts w:asciiTheme="minorHAnsi" w:hAnsiTheme="minorHAnsi" w:cstheme="minorHAnsi"/>
        </w:rPr>
      </w:pPr>
      <w:r w:rsidRPr="00120CD5">
        <w:rPr>
          <w:rFonts w:asciiTheme="minorHAnsi" w:hAnsiTheme="minorHAnsi" w:cstheme="minorHAnsi"/>
        </w:rPr>
        <w:t>#</w:t>
      </w:r>
      <w:r w:rsidR="00330A24">
        <w:rPr>
          <w:rFonts w:asciiTheme="minorHAnsi" w:hAnsiTheme="minorHAnsi" w:cstheme="minorHAnsi"/>
        </w:rPr>
        <w:t>5</w:t>
      </w:r>
      <w:r w:rsidRPr="00120CD5">
        <w:rPr>
          <w:rFonts w:asciiTheme="minorHAnsi" w:hAnsiTheme="minorHAnsi" w:cstheme="minorHAnsi"/>
        </w:rPr>
        <w:t>.</w:t>
      </w:r>
      <w:r w:rsidR="00330A24">
        <w:rPr>
          <w:rFonts w:asciiTheme="minorHAnsi" w:hAnsiTheme="minorHAnsi" w:cstheme="minorHAnsi"/>
        </w:rPr>
        <w:t>6</w:t>
      </w:r>
      <w:r w:rsidRPr="00120CD5">
        <w:rPr>
          <w:rFonts w:asciiTheme="minorHAnsi" w:hAnsiTheme="minorHAnsi" w:cstheme="minorHAnsi"/>
        </w:rPr>
        <w:t xml:space="preserve"> Área de acción 5: </w:t>
      </w:r>
    </w:p>
    <w:p w14:paraId="18EBCCAD" w14:textId="2917C83D" w:rsidR="00120CD5" w:rsidRPr="00120CD5" w:rsidRDefault="00120CD5" w:rsidP="00120CD5">
      <w:pPr>
        <w:pStyle w:val="Ttulo1"/>
        <w:jc w:val="right"/>
        <w:rPr>
          <w:rFonts w:asciiTheme="minorHAnsi" w:hAnsiTheme="minorHAnsi" w:cstheme="minorHAnsi"/>
        </w:rPr>
      </w:pPr>
      <w:r w:rsidRPr="00120CD5">
        <w:rPr>
          <w:rFonts w:asciiTheme="minorHAnsi" w:hAnsiTheme="minorHAnsi" w:cstheme="minorHAnsi"/>
        </w:rPr>
        <w:t xml:space="preserve">Deporte y actividad física en la inclusión social </w:t>
      </w:r>
    </w:p>
    <w:p w14:paraId="7EA5CDBF" w14:textId="77777777" w:rsidR="001B7B67" w:rsidRDefault="001B7B67" w:rsidP="003906F1">
      <w:pPr>
        <w:pStyle w:val="Ttulo1"/>
        <w:rPr>
          <w:rFonts w:asciiTheme="minorHAnsi" w:hAnsiTheme="minorHAnsi" w:cstheme="minorHAnsi"/>
          <w:sz w:val="24"/>
          <w:szCs w:val="24"/>
        </w:rPr>
      </w:pPr>
    </w:p>
    <w:p w14:paraId="7226CD64" w14:textId="77777777" w:rsidR="001B7B67" w:rsidRDefault="001B7B67" w:rsidP="003906F1">
      <w:pPr>
        <w:pStyle w:val="Ttulo1"/>
        <w:rPr>
          <w:rFonts w:asciiTheme="minorHAnsi" w:hAnsiTheme="minorHAnsi" w:cstheme="minorHAnsi"/>
          <w:sz w:val="24"/>
          <w:szCs w:val="24"/>
        </w:rPr>
      </w:pPr>
    </w:p>
    <w:p w14:paraId="5241EE39" w14:textId="77777777" w:rsidR="001B7B67" w:rsidRDefault="001B7B67" w:rsidP="003906F1">
      <w:pPr>
        <w:pStyle w:val="Ttulo1"/>
        <w:rPr>
          <w:rFonts w:asciiTheme="minorHAnsi" w:hAnsiTheme="minorHAnsi" w:cstheme="minorHAnsi"/>
          <w:sz w:val="24"/>
          <w:szCs w:val="24"/>
        </w:rPr>
      </w:pPr>
    </w:p>
    <w:p w14:paraId="72E5A247" w14:textId="77777777" w:rsidR="001B7B67" w:rsidRDefault="001B7B67" w:rsidP="003906F1">
      <w:pPr>
        <w:pStyle w:val="Ttulo1"/>
        <w:rPr>
          <w:rFonts w:asciiTheme="minorHAnsi" w:hAnsiTheme="minorHAnsi" w:cstheme="minorHAnsi"/>
          <w:sz w:val="24"/>
          <w:szCs w:val="24"/>
        </w:rPr>
      </w:pPr>
    </w:p>
    <w:p w14:paraId="1279CA75" w14:textId="77777777" w:rsidR="001B7B67" w:rsidRDefault="001B7B67" w:rsidP="003906F1">
      <w:pPr>
        <w:pStyle w:val="Ttulo1"/>
        <w:rPr>
          <w:rFonts w:asciiTheme="minorHAnsi" w:hAnsiTheme="minorHAnsi" w:cstheme="minorHAnsi"/>
          <w:sz w:val="24"/>
          <w:szCs w:val="24"/>
        </w:rPr>
      </w:pPr>
    </w:p>
    <w:p w14:paraId="15666433" w14:textId="77777777" w:rsidR="001B7B67" w:rsidRDefault="001B7B67" w:rsidP="003906F1">
      <w:pPr>
        <w:pStyle w:val="Ttulo1"/>
        <w:rPr>
          <w:rFonts w:asciiTheme="minorHAnsi" w:hAnsiTheme="minorHAnsi" w:cstheme="minorHAnsi"/>
          <w:sz w:val="24"/>
          <w:szCs w:val="24"/>
        </w:rPr>
      </w:pPr>
    </w:p>
    <w:p w14:paraId="79006EBD" w14:textId="77777777" w:rsidR="00A62860" w:rsidRDefault="00A62860" w:rsidP="003906F1">
      <w:pPr>
        <w:pStyle w:val="Ttulo1"/>
        <w:rPr>
          <w:rFonts w:asciiTheme="minorHAnsi" w:hAnsiTheme="minorHAnsi" w:cstheme="minorHAnsi"/>
          <w:sz w:val="28"/>
          <w:szCs w:val="28"/>
        </w:rPr>
      </w:pPr>
    </w:p>
    <w:p w14:paraId="00C0AE69" w14:textId="77777777" w:rsidR="00A62860" w:rsidRDefault="00A62860" w:rsidP="003906F1">
      <w:pPr>
        <w:pStyle w:val="Ttulo1"/>
        <w:rPr>
          <w:rFonts w:asciiTheme="minorHAnsi" w:hAnsiTheme="minorHAnsi" w:cstheme="minorHAnsi"/>
          <w:sz w:val="28"/>
          <w:szCs w:val="28"/>
        </w:rPr>
      </w:pPr>
    </w:p>
    <w:p w14:paraId="600D8A47" w14:textId="77777777" w:rsidR="00A62860" w:rsidRDefault="00A62860" w:rsidP="003906F1">
      <w:pPr>
        <w:pStyle w:val="Ttulo1"/>
        <w:rPr>
          <w:rFonts w:asciiTheme="minorHAnsi" w:hAnsiTheme="minorHAnsi" w:cstheme="minorHAnsi"/>
          <w:sz w:val="28"/>
          <w:szCs w:val="28"/>
        </w:rPr>
      </w:pPr>
    </w:p>
    <w:p w14:paraId="6E08AA91" w14:textId="3F89C43D" w:rsidR="00380C49" w:rsidRPr="001B7B67" w:rsidRDefault="00380C49" w:rsidP="003906F1">
      <w:pPr>
        <w:pStyle w:val="Ttulo1"/>
        <w:rPr>
          <w:rFonts w:asciiTheme="minorHAnsi" w:hAnsiTheme="minorHAnsi" w:cstheme="minorHAnsi"/>
          <w:sz w:val="28"/>
          <w:szCs w:val="28"/>
        </w:rPr>
      </w:pPr>
      <w:r w:rsidRPr="001B7B67">
        <w:rPr>
          <w:rFonts w:asciiTheme="minorHAnsi" w:hAnsiTheme="minorHAnsi" w:cstheme="minorHAnsi"/>
          <w:sz w:val="28"/>
          <w:szCs w:val="28"/>
        </w:rPr>
        <w:t>#</w:t>
      </w:r>
      <w:r w:rsidR="00330A24">
        <w:rPr>
          <w:rFonts w:asciiTheme="minorHAnsi" w:hAnsiTheme="minorHAnsi" w:cstheme="minorHAnsi"/>
          <w:sz w:val="28"/>
          <w:szCs w:val="28"/>
        </w:rPr>
        <w:t>5</w:t>
      </w:r>
      <w:r w:rsidRPr="001B7B67">
        <w:rPr>
          <w:rFonts w:asciiTheme="minorHAnsi" w:hAnsiTheme="minorHAnsi" w:cstheme="minorHAnsi"/>
          <w:sz w:val="28"/>
          <w:szCs w:val="28"/>
        </w:rPr>
        <w:t>.</w:t>
      </w:r>
      <w:r w:rsidR="00330A24">
        <w:rPr>
          <w:rFonts w:asciiTheme="minorHAnsi" w:hAnsiTheme="minorHAnsi" w:cstheme="minorHAnsi"/>
          <w:sz w:val="28"/>
          <w:szCs w:val="28"/>
        </w:rPr>
        <w:t>6</w:t>
      </w:r>
      <w:r w:rsidRPr="001B7B67">
        <w:rPr>
          <w:rFonts w:asciiTheme="minorHAnsi" w:hAnsiTheme="minorHAnsi" w:cstheme="minorHAnsi"/>
          <w:sz w:val="28"/>
          <w:szCs w:val="28"/>
        </w:rPr>
        <w:t xml:space="preserve"> Área de acción </w:t>
      </w:r>
      <w:r w:rsidR="001B7B67" w:rsidRPr="001B7B67">
        <w:rPr>
          <w:rFonts w:asciiTheme="minorHAnsi" w:hAnsiTheme="minorHAnsi" w:cstheme="minorHAnsi"/>
          <w:sz w:val="28"/>
          <w:szCs w:val="28"/>
        </w:rPr>
        <w:t>5</w:t>
      </w:r>
      <w:r w:rsidRPr="001B7B67">
        <w:rPr>
          <w:rFonts w:asciiTheme="minorHAnsi" w:hAnsiTheme="minorHAnsi" w:cstheme="minorHAnsi"/>
          <w:sz w:val="28"/>
          <w:szCs w:val="28"/>
        </w:rPr>
        <w:t xml:space="preserve">: Deporte y actividad física en la inclusión social </w:t>
      </w:r>
    </w:p>
    <w:p w14:paraId="4020F221" w14:textId="77777777" w:rsidR="00DE2181" w:rsidRPr="0051709F" w:rsidRDefault="00DE2181" w:rsidP="00DE2181">
      <w:pPr>
        <w:rPr>
          <w:rFonts w:cstheme="minorHAnsi"/>
          <w:lang w:val="es-ES_tradnl"/>
        </w:rPr>
      </w:pPr>
    </w:p>
    <w:p w14:paraId="071E7F0F" w14:textId="30205162" w:rsidR="002773E8" w:rsidRPr="0051709F" w:rsidRDefault="002773E8" w:rsidP="002773E8">
      <w:pPr>
        <w:ind w:left="20" w:right="20"/>
        <w:jc w:val="center"/>
        <w:rPr>
          <w:rFonts w:eastAsia="Open Sans" w:cstheme="minorHAnsi"/>
          <w:bCs/>
          <w:i/>
          <w:iCs/>
          <w:color w:val="222222"/>
          <w:highlight w:val="white"/>
        </w:rPr>
      </w:pPr>
      <w:r w:rsidRPr="0051709F">
        <w:rPr>
          <w:rFonts w:eastAsia="Open Sans" w:cstheme="minorHAnsi"/>
          <w:bCs/>
          <w:i/>
          <w:iCs/>
          <w:color w:val="222222"/>
          <w:highlight w:val="white"/>
        </w:rPr>
        <w:t>“La actividad física y el deporte como aceleradores de la inclusión social deberían asegurar la accesibilidad, motivación e intereses de todas las personas sin importar de dónde vienen, cómo son o cuánto dinero tienen”</w:t>
      </w:r>
      <w:r w:rsidR="00A62860">
        <w:rPr>
          <w:rFonts w:eastAsia="Open Sans" w:cstheme="minorHAnsi"/>
          <w:bCs/>
          <w:i/>
          <w:iCs/>
          <w:color w:val="222222"/>
          <w:highlight w:val="white"/>
        </w:rPr>
        <w:t xml:space="preserve"> (Gasol </w:t>
      </w:r>
      <w:proofErr w:type="spellStart"/>
      <w:r w:rsidR="00A62860">
        <w:rPr>
          <w:rFonts w:eastAsia="Open Sans" w:cstheme="minorHAnsi"/>
          <w:bCs/>
          <w:i/>
          <w:iCs/>
          <w:color w:val="222222"/>
          <w:highlight w:val="white"/>
        </w:rPr>
        <w:t>Foundation</w:t>
      </w:r>
      <w:proofErr w:type="spellEnd"/>
      <w:r w:rsidR="00A62860">
        <w:rPr>
          <w:rFonts w:eastAsia="Open Sans" w:cstheme="minorHAnsi"/>
          <w:bCs/>
          <w:i/>
          <w:iCs/>
          <w:color w:val="222222"/>
          <w:highlight w:val="white"/>
        </w:rPr>
        <w:t>)</w:t>
      </w:r>
    </w:p>
    <w:p w14:paraId="051381B1" w14:textId="77777777" w:rsidR="002773E8" w:rsidRPr="0051709F" w:rsidRDefault="002773E8" w:rsidP="002773E8">
      <w:pPr>
        <w:rPr>
          <w:rFonts w:eastAsia="Open Sans" w:cstheme="minorHAnsi"/>
          <w:b/>
          <w:color w:val="222222"/>
          <w:highlight w:val="white"/>
        </w:rPr>
      </w:pPr>
    </w:p>
    <w:p w14:paraId="6F2DE247" w14:textId="064A2996" w:rsidR="002773E8" w:rsidRPr="0051709F" w:rsidRDefault="002773E8" w:rsidP="003906F1">
      <w:pPr>
        <w:pStyle w:val="Ttulo2"/>
        <w:numPr>
          <w:ilvl w:val="0"/>
          <w:numId w:val="0"/>
        </w:numPr>
        <w:ind w:left="576" w:hanging="576"/>
        <w:rPr>
          <w:rFonts w:asciiTheme="minorHAnsi" w:eastAsia="Open Sans" w:hAnsiTheme="minorHAnsi" w:cstheme="minorHAnsi"/>
          <w:sz w:val="24"/>
          <w:szCs w:val="24"/>
          <w:highlight w:val="white"/>
          <w:lang w:val="es-ES"/>
        </w:rPr>
      </w:pPr>
      <w:r w:rsidRPr="0051709F">
        <w:rPr>
          <w:rFonts w:asciiTheme="minorHAnsi" w:eastAsia="Open Sans" w:hAnsiTheme="minorHAnsi" w:cstheme="minorHAnsi"/>
          <w:sz w:val="24"/>
          <w:szCs w:val="24"/>
          <w:highlight w:val="white"/>
          <w:lang w:val="es-ES"/>
        </w:rPr>
        <w:t>Inactividad física, sedentarismo y desigualdades sociales</w:t>
      </w:r>
    </w:p>
    <w:p w14:paraId="04F4000C" w14:textId="77777777" w:rsidR="00CD77D1" w:rsidRDefault="00CD77D1" w:rsidP="002773E8">
      <w:pPr>
        <w:rPr>
          <w:rFonts w:eastAsia="Open Sans" w:cstheme="minorHAnsi"/>
          <w:b/>
          <w:color w:val="222222"/>
          <w:highlight w:val="white"/>
        </w:rPr>
      </w:pPr>
    </w:p>
    <w:p w14:paraId="4E4EB155" w14:textId="5CF382F6" w:rsidR="002773E8" w:rsidRPr="00A62860" w:rsidRDefault="002773E8" w:rsidP="002773E8">
      <w:pPr>
        <w:rPr>
          <w:rFonts w:eastAsia="Open Sans" w:cstheme="minorHAnsi"/>
          <w:bCs/>
          <w:i/>
          <w:iCs/>
          <w:color w:val="222222"/>
        </w:rPr>
      </w:pPr>
      <w:r w:rsidRPr="00A62860">
        <w:rPr>
          <w:rFonts w:eastAsia="Open Sans" w:cstheme="minorHAnsi"/>
          <w:bCs/>
          <w:i/>
          <w:iCs/>
          <w:color w:val="222222"/>
        </w:rPr>
        <w:t>Contexto mundial</w:t>
      </w:r>
    </w:p>
    <w:p w14:paraId="3BF5E751" w14:textId="77777777" w:rsidR="002773E8" w:rsidRPr="00A62860" w:rsidRDefault="002773E8" w:rsidP="002773E8">
      <w:pPr>
        <w:jc w:val="both"/>
        <w:rPr>
          <w:rFonts w:eastAsia="Open Sans" w:cstheme="minorHAnsi"/>
          <w:b/>
          <w:color w:val="222222"/>
        </w:rPr>
      </w:pPr>
    </w:p>
    <w:p w14:paraId="63B7D54E" w14:textId="027EA448" w:rsidR="002773E8" w:rsidRPr="00A62860" w:rsidRDefault="002773E8" w:rsidP="002773E8">
      <w:pPr>
        <w:jc w:val="both"/>
        <w:rPr>
          <w:rFonts w:eastAsia="Open Sans" w:cstheme="minorHAnsi"/>
          <w:color w:val="222222"/>
        </w:rPr>
      </w:pPr>
      <w:r w:rsidRPr="00A62860">
        <w:rPr>
          <w:rFonts w:eastAsia="Open Sans" w:cstheme="minorHAnsi"/>
          <w:color w:val="222222"/>
        </w:rPr>
        <w:t xml:space="preserve">Este </w:t>
      </w:r>
      <w:r w:rsidR="00270E70" w:rsidRPr="00A62860">
        <w:rPr>
          <w:rFonts w:eastAsia="Open Sans" w:cstheme="minorHAnsi"/>
          <w:color w:val="222222"/>
        </w:rPr>
        <w:t>ámbito</w:t>
      </w:r>
      <w:r w:rsidR="00CD77D1" w:rsidRPr="00A62860">
        <w:rPr>
          <w:rFonts w:eastAsia="Open Sans" w:cstheme="minorHAnsi"/>
          <w:color w:val="222222"/>
        </w:rPr>
        <w:t xml:space="preserve"> de intervención </w:t>
      </w:r>
      <w:r w:rsidRPr="00A62860">
        <w:rPr>
          <w:rFonts w:eastAsia="Open Sans" w:cstheme="minorHAnsi"/>
          <w:color w:val="222222"/>
        </w:rPr>
        <w:t xml:space="preserve">se centra en la evidencia científica existente alrededor del uso del deporte y la actividad física como aceleradores de la inclusión social y en la propuesta de medidas específicas dirigidas a lograr dicho objetivo. Los ejes de desigualdad (a partir de ahora ED) que en mayor o menor medida se asocian con la inactividad física son: </w:t>
      </w:r>
    </w:p>
    <w:p w14:paraId="1F7C892D" w14:textId="77777777" w:rsidR="002773E8" w:rsidRPr="00A62860" w:rsidRDefault="002773E8" w:rsidP="002773E8">
      <w:pPr>
        <w:jc w:val="both"/>
        <w:rPr>
          <w:rFonts w:eastAsia="Open Sans" w:cstheme="minorHAnsi"/>
          <w:color w:val="222222"/>
        </w:rPr>
      </w:pPr>
    </w:p>
    <w:p w14:paraId="1E7F0B19"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Edad</w:t>
      </w:r>
    </w:p>
    <w:p w14:paraId="0AD977EE"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Género</w:t>
      </w:r>
    </w:p>
    <w:p w14:paraId="53DAA1A1"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Nivel socioeconómico</w:t>
      </w:r>
    </w:p>
    <w:p w14:paraId="057771DD"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Procedencia</w:t>
      </w:r>
    </w:p>
    <w:p w14:paraId="5257CCA1"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 xml:space="preserve">Enfermedades crónicas y cuidadoras/es </w:t>
      </w:r>
    </w:p>
    <w:p w14:paraId="0D520FD0" w14:textId="77777777"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Diversidad funcional</w:t>
      </w:r>
    </w:p>
    <w:p w14:paraId="20355171" w14:textId="4625BB3F" w:rsidR="002773E8" w:rsidRPr="00A62860" w:rsidRDefault="002773E8" w:rsidP="00E6399B">
      <w:pPr>
        <w:numPr>
          <w:ilvl w:val="0"/>
          <w:numId w:val="71"/>
        </w:numPr>
        <w:jc w:val="both"/>
        <w:rPr>
          <w:rFonts w:eastAsia="Open Sans" w:cstheme="minorHAnsi"/>
          <w:color w:val="222222"/>
        </w:rPr>
      </w:pPr>
      <w:r w:rsidRPr="00A62860">
        <w:rPr>
          <w:rFonts w:eastAsia="Open Sans" w:cstheme="minorHAnsi"/>
          <w:color w:val="222222"/>
        </w:rPr>
        <w:t>Colectivo LGTBI</w:t>
      </w:r>
      <w:r w:rsidR="00CD77D1" w:rsidRPr="00A62860">
        <w:rPr>
          <w:rFonts w:eastAsia="Open Sans" w:cstheme="minorHAnsi"/>
          <w:color w:val="222222"/>
        </w:rPr>
        <w:t>.</w:t>
      </w:r>
    </w:p>
    <w:p w14:paraId="72860999" w14:textId="77777777" w:rsidR="002773E8" w:rsidRPr="00A62860" w:rsidRDefault="002773E8" w:rsidP="002773E8">
      <w:pPr>
        <w:jc w:val="both"/>
        <w:rPr>
          <w:rFonts w:eastAsia="Open Sans" w:cstheme="minorHAnsi"/>
          <w:color w:val="222222"/>
        </w:rPr>
      </w:pPr>
    </w:p>
    <w:p w14:paraId="12B305AA" w14:textId="240C5620" w:rsidR="00C82306" w:rsidRPr="00A62860" w:rsidRDefault="002773E8" w:rsidP="002773E8">
      <w:pPr>
        <w:jc w:val="both"/>
        <w:rPr>
          <w:rFonts w:eastAsia="Open Sans" w:cstheme="minorHAnsi"/>
          <w:color w:val="222222"/>
        </w:rPr>
      </w:pPr>
      <w:r w:rsidRPr="00A62860">
        <w:rPr>
          <w:rFonts w:eastAsia="Open Sans" w:cstheme="minorHAnsi"/>
          <w:color w:val="222222"/>
        </w:rPr>
        <w:t xml:space="preserve">La práctica regular de actividad física y deporte tiene múltiples beneficios para la salud de las personas a nivel físico, psicológico y social. </w:t>
      </w:r>
      <w:r w:rsidR="00A62860">
        <w:rPr>
          <w:rFonts w:eastAsia="Open Sans" w:cstheme="minorHAnsi"/>
          <w:color w:val="222222"/>
        </w:rPr>
        <w:t>En los apartados iniciales del presente documento hemos podido analizar en profundidad esos</w:t>
      </w:r>
      <w:r w:rsidRPr="00A62860">
        <w:rPr>
          <w:rFonts w:eastAsia="Open Sans" w:cstheme="minorHAnsi"/>
          <w:color w:val="222222"/>
        </w:rPr>
        <w:t xml:space="preserve"> beneficios</w:t>
      </w:r>
      <w:r w:rsidR="00A62860">
        <w:rPr>
          <w:rFonts w:eastAsia="Open Sans" w:cstheme="minorHAnsi"/>
          <w:color w:val="222222"/>
        </w:rPr>
        <w:t xml:space="preserve">, </w:t>
      </w:r>
      <w:r w:rsidRPr="00A62860">
        <w:rPr>
          <w:rFonts w:eastAsia="Open Sans" w:cstheme="minorHAnsi"/>
          <w:color w:val="222222"/>
        </w:rPr>
        <w:t xml:space="preserve">que permiten abordar los 7 ejes de desigualdad expuestos anteriormente. </w:t>
      </w:r>
    </w:p>
    <w:p w14:paraId="54D34782" w14:textId="77777777" w:rsidR="00C82306" w:rsidRPr="00A62860" w:rsidRDefault="00C82306" w:rsidP="002773E8">
      <w:pPr>
        <w:jc w:val="both"/>
        <w:rPr>
          <w:rFonts w:eastAsia="Open Sans" w:cstheme="minorHAnsi"/>
          <w:color w:val="000000"/>
        </w:rPr>
      </w:pPr>
    </w:p>
    <w:p w14:paraId="1B2B242D" w14:textId="2A87AD66" w:rsidR="002773E8" w:rsidRPr="00A62860" w:rsidRDefault="00A62860" w:rsidP="002773E8">
      <w:pPr>
        <w:jc w:val="both"/>
        <w:rPr>
          <w:rFonts w:eastAsia="Open Sans" w:cstheme="minorHAnsi"/>
          <w:color w:val="222222"/>
        </w:rPr>
      </w:pPr>
      <w:r w:rsidRPr="00A62860">
        <w:rPr>
          <w:rFonts w:eastAsia="Open Sans" w:cstheme="minorHAnsi"/>
          <w:color w:val="000000"/>
        </w:rPr>
        <w:t>En este sentido, es importante destacar que, a</w:t>
      </w:r>
      <w:r w:rsidR="002773E8" w:rsidRPr="00A62860">
        <w:rPr>
          <w:rFonts w:eastAsia="Open Sans" w:cstheme="minorHAnsi"/>
          <w:color w:val="000000"/>
        </w:rPr>
        <w:t xml:space="preserve"> </w:t>
      </w:r>
      <w:r w:rsidR="002773E8" w:rsidRPr="00A62860">
        <w:rPr>
          <w:rFonts w:eastAsia="Open Sans" w:cstheme="minorHAnsi"/>
          <w:b/>
          <w:bCs/>
          <w:color w:val="000000"/>
        </w:rPr>
        <w:t>nivel social</w:t>
      </w:r>
      <w:r w:rsidR="002773E8" w:rsidRPr="00A62860">
        <w:rPr>
          <w:rFonts w:eastAsia="Open Sans" w:cstheme="minorHAnsi"/>
          <w:color w:val="000000"/>
        </w:rPr>
        <w:t>,</w:t>
      </w:r>
      <w:r w:rsidR="002773E8" w:rsidRPr="00A62860">
        <w:rPr>
          <w:rFonts w:eastAsia="Open Sans" w:cstheme="minorHAnsi"/>
        </w:rPr>
        <w:t xml:space="preserve"> </w:t>
      </w:r>
      <w:r w:rsidRPr="00A62860">
        <w:rPr>
          <w:rFonts w:eastAsia="Open Sans" w:cstheme="minorHAnsi"/>
        </w:rPr>
        <w:t xml:space="preserve">la </w:t>
      </w:r>
      <w:r>
        <w:rPr>
          <w:rFonts w:eastAsia="Open Sans" w:cstheme="minorHAnsi"/>
        </w:rPr>
        <w:t xml:space="preserve">práctica de </w:t>
      </w:r>
      <w:r w:rsidRPr="00A62860">
        <w:rPr>
          <w:rFonts w:eastAsia="Open Sans" w:cstheme="minorHAnsi"/>
        </w:rPr>
        <w:t xml:space="preserve">actividad física </w:t>
      </w:r>
      <w:r>
        <w:rPr>
          <w:rFonts w:eastAsia="Open Sans" w:cstheme="minorHAnsi"/>
        </w:rPr>
        <w:t xml:space="preserve">y/o deporte </w:t>
      </w:r>
      <w:r w:rsidR="002773E8" w:rsidRPr="00A62860">
        <w:rPr>
          <w:rFonts w:eastAsia="Open Sans" w:cstheme="minorHAnsi"/>
        </w:rPr>
        <w:t>cumple con un importante papel cohesionador de las comunidades, pudiendo ofrecer a las personas que viven en situación de desigualdad un entorno asequible, motivador y seguro. Dicho entorno permite satisfacer las necesidades de relación social, que normalmente son más elevadas entre los colectivos que viven en situación de desigualdad, influyendo así en cascada sobre su bienestar psicológico y físico</w:t>
      </w:r>
      <w:r w:rsidR="002773E8" w:rsidRPr="00A62860">
        <w:rPr>
          <w:rFonts w:eastAsia="Open Sans" w:cstheme="minorHAnsi"/>
          <w:color w:val="000000"/>
        </w:rPr>
        <w:t xml:space="preserve"> </w:t>
      </w:r>
      <w:sdt>
        <w:sdtPr>
          <w:rPr>
            <w:rFonts w:eastAsia="Open Sans" w:cstheme="minorHAnsi"/>
            <w:color w:val="000000"/>
          </w:rPr>
          <w:tag w:val="MENDELEY_CITATION_v3_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"/>
          <w:id w:val="-1974440969"/>
          <w:placeholder>
            <w:docPart w:val="21D90D542C3ED34893FDA384F2F87056"/>
          </w:placeholder>
        </w:sdtPr>
        <w:sdtContent>
          <w:r w:rsidR="002773E8" w:rsidRPr="00A62860">
            <w:rPr>
              <w:rFonts w:eastAsia="Open Sans" w:cstheme="minorHAnsi"/>
              <w:color w:val="000000"/>
            </w:rPr>
            <w:t>(</w:t>
          </w:r>
          <w:proofErr w:type="spellStart"/>
          <w:r w:rsidR="002773E8" w:rsidRPr="00A62860">
            <w:rPr>
              <w:rFonts w:eastAsia="Open Sans" w:cstheme="minorHAnsi"/>
              <w:color w:val="000000"/>
            </w:rPr>
            <w:t>World</w:t>
          </w:r>
          <w:proofErr w:type="spellEnd"/>
          <w:r w:rsidR="002773E8" w:rsidRPr="00A62860">
            <w:rPr>
              <w:rFonts w:eastAsia="Open Sans" w:cstheme="minorHAnsi"/>
              <w:color w:val="000000"/>
            </w:rPr>
            <w:t xml:space="preserve"> </w:t>
          </w:r>
          <w:proofErr w:type="spellStart"/>
          <w:r w:rsidR="002773E8" w:rsidRPr="00A62860">
            <w:rPr>
              <w:rFonts w:eastAsia="Open Sans" w:cstheme="minorHAnsi"/>
              <w:color w:val="000000"/>
            </w:rPr>
            <w:t>Health</w:t>
          </w:r>
          <w:proofErr w:type="spellEnd"/>
          <w:r w:rsidR="002773E8" w:rsidRPr="00A62860">
            <w:rPr>
              <w:rFonts w:eastAsia="Open Sans" w:cstheme="minorHAnsi"/>
              <w:color w:val="000000"/>
            </w:rPr>
            <w:t xml:space="preserve"> </w:t>
          </w:r>
          <w:proofErr w:type="spellStart"/>
          <w:r w:rsidR="002773E8" w:rsidRPr="00A62860">
            <w:rPr>
              <w:rFonts w:eastAsia="Open Sans" w:cstheme="minorHAnsi"/>
              <w:color w:val="000000"/>
            </w:rPr>
            <w:t>Organization</w:t>
          </w:r>
          <w:proofErr w:type="spellEnd"/>
          <w:r w:rsidR="002773E8" w:rsidRPr="00A62860">
            <w:rPr>
              <w:rFonts w:eastAsia="Open Sans" w:cstheme="minorHAnsi"/>
              <w:color w:val="000000"/>
            </w:rPr>
            <w:t>, 2018)</w:t>
          </w:r>
        </w:sdtContent>
      </w:sdt>
      <w:r w:rsidR="002773E8" w:rsidRPr="00A62860">
        <w:rPr>
          <w:rFonts w:eastAsia="Open Sans" w:cstheme="minorHAnsi"/>
          <w:color w:val="000000"/>
        </w:rPr>
        <w:t>.</w:t>
      </w:r>
    </w:p>
    <w:p w14:paraId="51B6A6E3" w14:textId="77777777" w:rsidR="002773E8" w:rsidRPr="007B667D" w:rsidRDefault="002773E8" w:rsidP="002773E8">
      <w:pPr>
        <w:jc w:val="both"/>
        <w:rPr>
          <w:rFonts w:eastAsia="Open Sans" w:cstheme="minorHAnsi"/>
          <w:color w:val="222222"/>
          <w:highlight w:val="yellow"/>
        </w:rPr>
      </w:pPr>
    </w:p>
    <w:p w14:paraId="672D4241" w14:textId="300D7BEB" w:rsidR="002773E8" w:rsidRPr="00A62860" w:rsidRDefault="00A62860" w:rsidP="002773E8">
      <w:pPr>
        <w:jc w:val="both"/>
        <w:rPr>
          <w:rFonts w:eastAsia="Open Sans" w:cstheme="minorHAnsi"/>
          <w:color w:val="222222"/>
        </w:rPr>
      </w:pPr>
      <w:r>
        <w:rPr>
          <w:rFonts w:eastAsia="Open Sans" w:cstheme="minorHAnsi"/>
          <w:color w:val="222222"/>
        </w:rPr>
        <w:t>Por otra parte, l</w:t>
      </w:r>
      <w:r w:rsidR="002773E8" w:rsidRPr="00A62860">
        <w:rPr>
          <w:rFonts w:eastAsia="Open Sans" w:cstheme="minorHAnsi"/>
          <w:color w:val="222222"/>
        </w:rPr>
        <w:t xml:space="preserve">os niveles de práctica de actividad física se ven claramente influenciados por los valores culturales (ED4). En la mayoría de los países se observa una clara tendencia en la falta de acceso, seguridad, asequibilidad e idoneidad de programas y espacios para el fomento de la práctica de actividad física dirigidos a niñas, mujeres, gente mayor, población en situación de vulnerabilidad, personas con diversidad funcional o personas que viven con enfermedades crónicas, correspondientes con todos los ejes de desigualdad mencionados al principio. </w:t>
      </w:r>
      <w:sdt>
        <w:sdtPr>
          <w:rPr>
            <w:rFonts w:eastAsia="Open Sans" w:cstheme="minorHAnsi"/>
            <w:color w:val="000000"/>
          </w:rPr>
          <w:tag w:val="MENDELEY_CITATION_v3_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"/>
          <w:id w:val="-1655521738"/>
          <w:placeholder>
            <w:docPart w:val="B62044B0AEE982468526D76406A053AC"/>
          </w:placeholder>
        </w:sdtPr>
        <w:sdtContent>
          <w:r w:rsidR="002773E8" w:rsidRPr="00A62860">
            <w:rPr>
              <w:rFonts w:eastAsia="Open Sans" w:cstheme="minorHAnsi"/>
              <w:color w:val="000000"/>
            </w:rPr>
            <w:t>(</w:t>
          </w:r>
          <w:proofErr w:type="spellStart"/>
          <w:r w:rsidR="002773E8" w:rsidRPr="00A62860">
            <w:rPr>
              <w:rFonts w:eastAsia="Open Sans" w:cstheme="minorHAnsi"/>
              <w:color w:val="000000"/>
            </w:rPr>
            <w:t>World</w:t>
          </w:r>
          <w:proofErr w:type="spellEnd"/>
          <w:r w:rsidR="002773E8" w:rsidRPr="00A62860">
            <w:rPr>
              <w:rFonts w:eastAsia="Open Sans" w:cstheme="minorHAnsi"/>
              <w:color w:val="000000"/>
            </w:rPr>
            <w:t xml:space="preserve"> </w:t>
          </w:r>
          <w:proofErr w:type="spellStart"/>
          <w:r w:rsidR="002773E8" w:rsidRPr="00A62860">
            <w:rPr>
              <w:rFonts w:eastAsia="Open Sans" w:cstheme="minorHAnsi"/>
              <w:color w:val="000000"/>
            </w:rPr>
            <w:t>Health</w:t>
          </w:r>
          <w:proofErr w:type="spellEnd"/>
          <w:r w:rsidR="002773E8" w:rsidRPr="00A62860">
            <w:rPr>
              <w:rFonts w:eastAsia="Open Sans" w:cstheme="minorHAnsi"/>
              <w:color w:val="000000"/>
            </w:rPr>
            <w:t xml:space="preserve"> </w:t>
          </w:r>
          <w:proofErr w:type="spellStart"/>
          <w:r w:rsidR="002773E8" w:rsidRPr="00A62860">
            <w:rPr>
              <w:rFonts w:eastAsia="Open Sans" w:cstheme="minorHAnsi"/>
              <w:color w:val="000000"/>
            </w:rPr>
            <w:t>Organization</w:t>
          </w:r>
          <w:proofErr w:type="spellEnd"/>
          <w:r w:rsidR="002773E8" w:rsidRPr="00A62860">
            <w:rPr>
              <w:rFonts w:eastAsia="Open Sans" w:cstheme="minorHAnsi"/>
              <w:color w:val="000000"/>
            </w:rPr>
            <w:t>, 2018)</w:t>
          </w:r>
        </w:sdtContent>
      </w:sdt>
    </w:p>
    <w:p w14:paraId="40DAF201" w14:textId="77777777" w:rsidR="00C82306" w:rsidRPr="007B667D" w:rsidRDefault="00C82306" w:rsidP="002773E8">
      <w:pPr>
        <w:jc w:val="both"/>
        <w:rPr>
          <w:rFonts w:eastAsia="Open Sans" w:cstheme="minorHAnsi"/>
          <w:color w:val="222222"/>
          <w:highlight w:val="yellow"/>
        </w:rPr>
      </w:pPr>
    </w:p>
    <w:p w14:paraId="56C8B4AC" w14:textId="5E532BB5" w:rsidR="002773E8" w:rsidRPr="00A62860" w:rsidRDefault="00A62860" w:rsidP="002773E8">
      <w:pPr>
        <w:jc w:val="both"/>
        <w:rPr>
          <w:rFonts w:eastAsia="Open Sans" w:cstheme="minorHAnsi"/>
          <w:color w:val="222222"/>
        </w:rPr>
      </w:pPr>
      <w:r>
        <w:rPr>
          <w:rFonts w:eastAsia="Open Sans" w:cstheme="minorHAnsi"/>
          <w:color w:val="222222"/>
        </w:rPr>
        <w:lastRenderedPageBreak/>
        <w:t xml:space="preserve">Además, </w:t>
      </w:r>
      <w:r w:rsidR="0036336C">
        <w:rPr>
          <w:rFonts w:eastAsia="Open Sans" w:cstheme="minorHAnsi"/>
          <w:color w:val="222222"/>
        </w:rPr>
        <w:t>sabemos que l</w:t>
      </w:r>
      <w:r w:rsidR="002773E8" w:rsidRPr="00A62860">
        <w:rPr>
          <w:rFonts w:eastAsia="Open Sans" w:cstheme="minorHAnsi"/>
          <w:color w:val="222222"/>
        </w:rPr>
        <w:t xml:space="preserve">as principales causas de inactividad física y el incremento de comportamientos sedentarios basados en el uso de pantallas en la población mundial se deben a múltiples factores con una asociación significativa con la no realización de actividad física como son la falta de apoyo social, de espacio físico, de tiempo, de motivación, de habilidades deportivas y de interés en la actividad física, intolerancia a la actividad, estar jubilado/a (ED1), vivir en un país de bajos ingresos (ED4), pereza, no tener un trabajo / estudio (ED3), bajo nivel socioeconómico (ED3), bajo nivel de conocimiento sobre la actividad física, género femenino (ED2), vivir en un área urbana (ED4), autopercepción negativa de la salud (ED5), utilizar el transporte público, estar en el grupo de mayor edad (ED1) en el estudio y percibir discapacidad física (ED6). </w:t>
      </w:r>
      <w:sdt>
        <w:sdtPr>
          <w:rPr>
            <w:rFonts w:eastAsia="Open Sans" w:cstheme="minorHAnsi"/>
            <w:color w:val="000000"/>
          </w:rPr>
          <w:tag w:val="MENDELEY_CITATION_v3_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"/>
          <w:id w:val="1463152850"/>
          <w:placeholder>
            <w:docPart w:val="B62044B0AEE982468526D76406A053AC"/>
          </w:placeholder>
        </w:sdtPr>
        <w:sdtContent>
          <w:r w:rsidR="002773E8" w:rsidRPr="00A62860">
            <w:rPr>
              <w:rFonts w:eastAsia="Open Sans" w:cstheme="minorHAnsi"/>
              <w:color w:val="000000"/>
            </w:rPr>
            <w:t>(</w:t>
          </w:r>
          <w:proofErr w:type="spellStart"/>
          <w:r w:rsidR="002773E8" w:rsidRPr="00A62860">
            <w:rPr>
              <w:rFonts w:eastAsia="Open Sans" w:cstheme="minorHAnsi"/>
              <w:color w:val="000000"/>
            </w:rPr>
            <w:t>Guthold</w:t>
          </w:r>
          <w:proofErr w:type="spellEnd"/>
          <w:r w:rsidR="002773E8" w:rsidRPr="00A62860">
            <w:rPr>
              <w:rFonts w:eastAsia="Open Sans" w:cstheme="minorHAnsi"/>
              <w:color w:val="000000"/>
            </w:rPr>
            <w:t xml:space="preserve"> et al., 2018)</w:t>
          </w:r>
        </w:sdtContent>
      </w:sdt>
      <w:r w:rsidR="002773E8" w:rsidRPr="00A62860">
        <w:rPr>
          <w:rFonts w:eastAsia="Open Sans" w:cstheme="minorHAnsi"/>
          <w:color w:val="222222"/>
        </w:rPr>
        <w:t xml:space="preserve"> De hecho, vivir con una enfermedad crónica también se asocia con una menor actividad física, no solo en la persona que vive con la enfermedad sino también en las personas cuidadoras de su entorno familiar (ED5).</w:t>
      </w:r>
      <w:sdt>
        <w:sdtPr>
          <w:rPr>
            <w:rFonts w:eastAsia="Open Sans" w:cstheme="minorHAnsi"/>
            <w:color w:val="000000"/>
          </w:rPr>
          <w:tag w:val="MENDELEY_CITATION_v3_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"/>
          <w:id w:val="-1094159875"/>
          <w:placeholder>
            <w:docPart w:val="B62044B0AEE982468526D76406A053AC"/>
          </w:placeholder>
        </w:sdtPr>
        <w:sdtContent>
          <w:r w:rsidR="002773E8" w:rsidRPr="00A62860">
            <w:rPr>
              <w:rFonts w:eastAsia="Open Sans" w:cstheme="minorHAnsi"/>
              <w:color w:val="000000"/>
            </w:rPr>
            <w:t>(Hirano et al., 2011)</w:t>
          </w:r>
        </w:sdtContent>
      </w:sdt>
      <w:r w:rsidR="002773E8" w:rsidRPr="00A62860">
        <w:rPr>
          <w:rFonts w:eastAsia="Open Sans" w:cstheme="minorHAnsi"/>
          <w:color w:val="222222"/>
        </w:rPr>
        <w:t xml:space="preserve"> </w:t>
      </w:r>
    </w:p>
    <w:p w14:paraId="7B683E2C" w14:textId="77777777" w:rsidR="00C82306" w:rsidRPr="00A62860" w:rsidRDefault="00C82306" w:rsidP="002773E8">
      <w:pPr>
        <w:jc w:val="both"/>
        <w:rPr>
          <w:rFonts w:eastAsia="Open Sans" w:cstheme="minorHAnsi"/>
          <w:color w:val="222222"/>
        </w:rPr>
      </w:pPr>
    </w:p>
    <w:p w14:paraId="6CC81302" w14:textId="77777777" w:rsidR="002773E8" w:rsidRPr="00A62860" w:rsidRDefault="002773E8" w:rsidP="002773E8">
      <w:pPr>
        <w:jc w:val="both"/>
        <w:rPr>
          <w:rFonts w:eastAsia="Open Sans" w:cstheme="minorHAnsi"/>
          <w:color w:val="222222"/>
        </w:rPr>
      </w:pPr>
      <w:r w:rsidRPr="00A62860">
        <w:rPr>
          <w:rFonts w:eastAsia="Open Sans" w:cstheme="minorHAnsi"/>
          <w:color w:val="222222"/>
        </w:rPr>
        <w:t xml:space="preserve">En cuanto al colectivo LGTBI (ED7), la evidencia internacional muestra que su nivel de actividad física y práctica deportiva es menor (en población juvenil de USA la práctica deportiva es casi la mitad) respecto a la población heterosexual </w:t>
      </w:r>
      <w:sdt>
        <w:sdtPr>
          <w:rPr>
            <w:rFonts w:eastAsia="Open Sans" w:cstheme="minorHAnsi"/>
            <w:color w:val="000000"/>
          </w:rPr>
          <w:tag w:val="MENDELEY_CITATION_v3_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"/>
          <w:id w:val="26458282"/>
          <w:placeholder>
            <w:docPart w:val="B62044B0AEE982468526D76406A053AC"/>
          </w:placeholder>
        </w:sdtPr>
        <w:sdtContent>
          <w:r w:rsidRPr="00A62860">
            <w:rPr>
              <w:rFonts w:eastAsia="Open Sans" w:cstheme="minorHAnsi"/>
              <w:color w:val="000000"/>
            </w:rPr>
            <w:t>(</w:t>
          </w:r>
          <w:proofErr w:type="spellStart"/>
          <w:r w:rsidRPr="00A62860">
            <w:rPr>
              <w:rFonts w:eastAsia="Open Sans" w:cstheme="minorHAnsi"/>
              <w:color w:val="000000"/>
            </w:rPr>
            <w:t>Kann</w:t>
          </w:r>
          <w:proofErr w:type="spellEnd"/>
          <w:r w:rsidRPr="00A62860">
            <w:rPr>
              <w:rFonts w:eastAsia="Open Sans" w:cstheme="minorHAnsi"/>
              <w:color w:val="000000"/>
            </w:rPr>
            <w:t xml:space="preserve"> L et al., 2018)</w:t>
          </w:r>
        </w:sdtContent>
      </w:sdt>
      <w:r w:rsidRPr="00A62860">
        <w:rPr>
          <w:rFonts w:eastAsia="Open Sans" w:cstheme="minorHAnsi"/>
          <w:color w:val="222222"/>
        </w:rPr>
        <w:t xml:space="preserve">. Este fenómeno puede ser explicado debido a que dicho colectivo suele estar expuesto en mayor medida al </w:t>
      </w:r>
      <w:proofErr w:type="spellStart"/>
      <w:proofErr w:type="gramStart"/>
      <w:r w:rsidRPr="00A62860">
        <w:rPr>
          <w:rFonts w:eastAsia="Open Sans" w:cstheme="minorHAnsi"/>
          <w:color w:val="222222"/>
        </w:rPr>
        <w:t>bullying</w:t>
      </w:r>
      <w:proofErr w:type="spellEnd"/>
      <w:proofErr w:type="gramEnd"/>
      <w:r w:rsidRPr="00A62860">
        <w:rPr>
          <w:rFonts w:eastAsia="Open Sans" w:cstheme="minorHAnsi"/>
          <w:color w:val="222222"/>
        </w:rPr>
        <w:t xml:space="preserve"> y a la exclusión social cuando tratan de involucrarse en el ámbito deportivo y en la educación física escolar </w:t>
      </w:r>
      <w:sdt>
        <w:sdtPr>
          <w:rPr>
            <w:rFonts w:eastAsia="Open Sans" w:cstheme="minorHAnsi"/>
            <w:color w:val="000000"/>
          </w:rPr>
          <w:tag w:val="MENDELEY_CITATION_v3_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"/>
          <w:id w:val="-1647273139"/>
          <w:placeholder>
            <w:docPart w:val="B62044B0AEE982468526D76406A053AC"/>
          </w:placeholder>
        </w:sdtPr>
        <w:sdtContent>
          <w:r w:rsidRPr="00A62860">
            <w:rPr>
              <w:rFonts w:eastAsia="Open Sans" w:cstheme="minorHAnsi"/>
              <w:color w:val="000000"/>
            </w:rPr>
            <w:t>(</w:t>
          </w:r>
          <w:proofErr w:type="spellStart"/>
          <w:r w:rsidRPr="00A62860">
            <w:rPr>
              <w:rFonts w:eastAsia="Open Sans" w:cstheme="minorHAnsi"/>
              <w:color w:val="000000"/>
            </w:rPr>
            <w:t>Storr</w:t>
          </w:r>
          <w:proofErr w:type="spellEnd"/>
          <w:r w:rsidRPr="00A62860">
            <w:rPr>
              <w:rFonts w:eastAsia="Open Sans" w:cstheme="minorHAnsi"/>
              <w:color w:val="000000"/>
            </w:rPr>
            <w:t xml:space="preserve"> et al., 2022)</w:t>
          </w:r>
        </w:sdtContent>
      </w:sdt>
      <w:r w:rsidRPr="00A62860">
        <w:rPr>
          <w:rFonts w:eastAsia="Open Sans" w:cstheme="minorHAnsi"/>
          <w:color w:val="222222"/>
        </w:rPr>
        <w:t xml:space="preserve">. De hecho, experiencias negativas en la infancia y la juventud a las que están expuestas, acaban teniendo efectos sobre la probabilidad de practicar actividad física regular en etapas posteriores de la vida.  </w:t>
      </w:r>
    </w:p>
    <w:p w14:paraId="528E1C7A" w14:textId="77777777" w:rsidR="002773E8" w:rsidRPr="007B667D" w:rsidRDefault="002773E8" w:rsidP="002773E8">
      <w:pPr>
        <w:jc w:val="both"/>
        <w:rPr>
          <w:rFonts w:eastAsia="Open Sans" w:cstheme="minorHAnsi"/>
          <w:color w:val="222222"/>
          <w:highlight w:val="yellow"/>
        </w:rPr>
      </w:pPr>
    </w:p>
    <w:p w14:paraId="30E74BC3" w14:textId="62577285" w:rsidR="002773E8" w:rsidRPr="0036336C" w:rsidRDefault="0036336C" w:rsidP="002773E8">
      <w:pPr>
        <w:jc w:val="both"/>
        <w:rPr>
          <w:rFonts w:eastAsia="Open Sans" w:cstheme="minorHAnsi"/>
          <w:color w:val="222222"/>
        </w:rPr>
      </w:pPr>
      <w:r w:rsidRPr="0036336C">
        <w:rPr>
          <w:rFonts w:eastAsia="Open Sans" w:cstheme="minorHAnsi"/>
          <w:color w:val="222222"/>
        </w:rPr>
        <w:t>Pero de e</w:t>
      </w:r>
      <w:r w:rsidR="002773E8" w:rsidRPr="0036336C">
        <w:rPr>
          <w:rFonts w:eastAsia="Open Sans" w:cstheme="minorHAnsi"/>
          <w:color w:val="222222"/>
        </w:rPr>
        <w:t xml:space="preserve">ntre todos estos factores de inactividad física algunas revisiones sistemáticas destacan que </w:t>
      </w:r>
      <w:r w:rsidR="002773E8" w:rsidRPr="0036336C">
        <w:rPr>
          <w:rFonts w:eastAsia="Open Sans" w:cstheme="minorHAnsi"/>
          <w:b/>
          <w:bCs/>
          <w:i/>
          <w:iCs/>
          <w:color w:val="222222"/>
        </w:rPr>
        <w:t>el factor principal a nivel mundial de inactividad física está en vivir en una zona con un bajo nivel socioeconómico</w:t>
      </w:r>
      <w:r w:rsidR="002773E8" w:rsidRPr="0036336C">
        <w:rPr>
          <w:rFonts w:eastAsia="Open Sans" w:cstheme="minorHAnsi"/>
          <w:color w:val="222222"/>
        </w:rPr>
        <w:t xml:space="preserve"> (ED3). </w:t>
      </w:r>
      <w:sdt>
        <w:sdtPr>
          <w:rPr>
            <w:rFonts w:eastAsia="Open Sans" w:cstheme="minorHAnsi"/>
            <w:color w:val="000000"/>
          </w:rPr>
          <w:tag w:val="MENDELEY_CITATION_v3_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"/>
          <w:id w:val="-1449917114"/>
          <w:placeholder>
            <w:docPart w:val="B62044B0AEE982468526D76406A053AC"/>
          </w:placeholder>
        </w:sdtPr>
        <w:sdtContent>
          <w:r w:rsidR="002773E8" w:rsidRPr="0036336C">
            <w:rPr>
              <w:rFonts w:eastAsia="Open Sans" w:cstheme="minorHAnsi"/>
              <w:color w:val="000000"/>
            </w:rPr>
            <w:t>(</w:t>
          </w:r>
          <w:proofErr w:type="spellStart"/>
          <w:r w:rsidR="002773E8" w:rsidRPr="0036336C">
            <w:rPr>
              <w:rFonts w:eastAsia="Open Sans" w:cstheme="minorHAnsi"/>
              <w:color w:val="000000"/>
            </w:rPr>
            <w:t>Sfm</w:t>
          </w:r>
          <w:proofErr w:type="spellEnd"/>
          <w:r w:rsidR="002773E8" w:rsidRPr="0036336C">
            <w:rPr>
              <w:rFonts w:eastAsia="Open Sans" w:cstheme="minorHAnsi"/>
              <w:color w:val="000000"/>
            </w:rPr>
            <w:t xml:space="preserve"> et al., 2020)</w:t>
          </w:r>
        </w:sdtContent>
      </w:sdt>
    </w:p>
    <w:p w14:paraId="345250B5" w14:textId="77777777" w:rsidR="002773E8" w:rsidRPr="0036336C" w:rsidRDefault="002773E8" w:rsidP="002773E8">
      <w:pPr>
        <w:jc w:val="both"/>
        <w:rPr>
          <w:rFonts w:eastAsia="Open Sans" w:cstheme="minorHAnsi"/>
          <w:color w:val="222222"/>
        </w:rPr>
      </w:pPr>
    </w:p>
    <w:p w14:paraId="54EEF390" w14:textId="77777777" w:rsidR="002773E8" w:rsidRPr="0036336C" w:rsidRDefault="002773E8" w:rsidP="002773E8">
      <w:pPr>
        <w:jc w:val="both"/>
        <w:rPr>
          <w:rFonts w:eastAsia="Open Sans" w:cstheme="minorHAnsi"/>
          <w:color w:val="222222"/>
        </w:rPr>
      </w:pPr>
      <w:r w:rsidRPr="0036336C">
        <w:rPr>
          <w:rFonts w:eastAsia="Open Sans" w:cstheme="minorHAnsi"/>
          <w:color w:val="222222"/>
        </w:rPr>
        <w:t xml:space="preserve">En población adolescente (ED1), la inseguridad en el barrio en el que se reside (ED3) también se asocia con un mayor comportamiento sedentario </w:t>
      </w:r>
      <w:sdt>
        <w:sdtPr>
          <w:rPr>
            <w:rFonts w:eastAsia="Open Sans" w:cstheme="minorHAnsi"/>
            <w:color w:val="000000"/>
          </w:rPr>
          <w:tag w:val="MENDELEY_CITATION_v3_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"/>
          <w:id w:val="409585720"/>
          <w:placeholder>
            <w:docPart w:val="B62044B0AEE982468526D76406A053AC"/>
          </w:placeholder>
        </w:sdtPr>
        <w:sdtContent>
          <w:r w:rsidRPr="0036336C">
            <w:rPr>
              <w:rFonts w:eastAsia="Open Sans" w:cstheme="minorHAnsi"/>
              <w:color w:val="000000"/>
            </w:rPr>
            <w:t>(</w:t>
          </w:r>
          <w:proofErr w:type="spellStart"/>
          <w:r w:rsidRPr="0036336C">
            <w:rPr>
              <w:rFonts w:eastAsia="Open Sans" w:cstheme="minorHAnsi"/>
              <w:color w:val="000000"/>
            </w:rPr>
            <w:t>Parajára</w:t>
          </w:r>
          <w:proofErr w:type="spellEnd"/>
          <w:r w:rsidRPr="0036336C">
            <w:rPr>
              <w:rFonts w:eastAsia="Open Sans" w:cstheme="minorHAnsi"/>
              <w:color w:val="000000"/>
            </w:rPr>
            <w:t xml:space="preserve"> et al., 2020)</w:t>
          </w:r>
        </w:sdtContent>
      </w:sdt>
      <w:r w:rsidRPr="0036336C">
        <w:rPr>
          <w:rFonts w:eastAsia="Open Sans" w:cstheme="minorHAnsi"/>
          <w:color w:val="222222"/>
        </w:rPr>
        <w:t xml:space="preserve">. A su vez, tener menor soporte social en la adolescencia se relaciona con una mayor prevalencia de inactividad física, siendo mayor a menor es el grado de integración social. </w:t>
      </w:r>
      <w:sdt>
        <w:sdtPr>
          <w:rPr>
            <w:rFonts w:eastAsia="Open Sans" w:cstheme="minorHAnsi"/>
            <w:color w:val="000000"/>
          </w:rPr>
          <w:tag w:val="MENDELEY_CITATION_v3_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"/>
          <w:id w:val="487605353"/>
          <w:placeholder>
            <w:docPart w:val="B62044B0AEE982468526D76406A053AC"/>
          </w:placeholder>
        </w:sdtPr>
        <w:sdtContent>
          <w:r w:rsidRPr="0036336C">
            <w:rPr>
              <w:rFonts w:eastAsia="Open Sans" w:cstheme="minorHAnsi"/>
              <w:color w:val="000000"/>
            </w:rPr>
            <w:t>(</w:t>
          </w:r>
          <w:proofErr w:type="spellStart"/>
          <w:r w:rsidRPr="0036336C">
            <w:rPr>
              <w:rFonts w:eastAsia="Open Sans" w:cstheme="minorHAnsi"/>
              <w:color w:val="000000"/>
            </w:rPr>
            <w:t>Pengpid</w:t>
          </w:r>
          <w:proofErr w:type="spellEnd"/>
          <w:r w:rsidRPr="0036336C">
            <w:rPr>
              <w:rFonts w:eastAsia="Open Sans" w:cstheme="minorHAnsi"/>
              <w:color w:val="000000"/>
            </w:rPr>
            <w:t xml:space="preserve"> et al., 2015)</w:t>
          </w:r>
        </w:sdtContent>
      </w:sdt>
    </w:p>
    <w:p w14:paraId="6E02C3E9" w14:textId="77777777" w:rsidR="002773E8" w:rsidRPr="0036336C" w:rsidRDefault="002773E8" w:rsidP="002773E8">
      <w:pPr>
        <w:jc w:val="both"/>
        <w:rPr>
          <w:rFonts w:eastAsia="Open Sans" w:cstheme="minorHAnsi"/>
          <w:color w:val="222222"/>
        </w:rPr>
      </w:pPr>
    </w:p>
    <w:p w14:paraId="7B22B15C" w14:textId="44656705" w:rsidR="002773E8" w:rsidRPr="0036336C" w:rsidRDefault="002773E8" w:rsidP="002773E8">
      <w:pPr>
        <w:jc w:val="both"/>
        <w:rPr>
          <w:rFonts w:eastAsia="Open Sans" w:cstheme="minorHAnsi"/>
          <w:color w:val="222222"/>
        </w:rPr>
      </w:pPr>
      <w:r w:rsidRPr="0036336C">
        <w:rPr>
          <w:rFonts w:eastAsia="Open Sans" w:cstheme="minorHAnsi"/>
          <w:color w:val="222222"/>
        </w:rPr>
        <w:t xml:space="preserve">Además, </w:t>
      </w:r>
      <w:r w:rsidR="0036336C">
        <w:rPr>
          <w:rFonts w:eastAsia="Open Sans" w:cstheme="minorHAnsi"/>
          <w:color w:val="222222"/>
        </w:rPr>
        <w:t xml:space="preserve">y como hemos analizado extensamente en capítulos previos, </w:t>
      </w:r>
      <w:r w:rsidRPr="0036336C">
        <w:rPr>
          <w:rFonts w:eastAsia="Open Sans" w:cstheme="minorHAnsi"/>
          <w:color w:val="222222"/>
        </w:rPr>
        <w:t xml:space="preserve">el incremento de los niveles de inactividad física tiene un impacto negativo en los sistemas sanitarios, el entorno, el desarrollo de la economía y el bienestar de la comunidad y su calidad de vida. </w:t>
      </w:r>
      <w:sdt>
        <w:sdtPr>
          <w:rPr>
            <w:rFonts w:eastAsia="Open Sans" w:cstheme="minorHAnsi"/>
            <w:color w:val="000000"/>
          </w:rPr>
          <w:tag w:val="MENDELEY_CITATION_v3_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"/>
          <w:id w:val="-1856951157"/>
          <w:placeholder>
            <w:docPart w:val="B62044B0AEE982468526D76406A053AC"/>
          </w:placeholder>
        </w:sdtPr>
        <w:sdtContent>
          <w:r w:rsidRPr="0036336C">
            <w:rPr>
              <w:rFonts w:eastAsia="Open Sans" w:cstheme="minorHAnsi"/>
              <w:color w:val="000000"/>
            </w:rPr>
            <w:t>(</w:t>
          </w:r>
          <w:proofErr w:type="spellStart"/>
          <w:r w:rsidRPr="0036336C">
            <w:rPr>
              <w:rFonts w:eastAsia="Open Sans" w:cstheme="minorHAnsi"/>
              <w:color w:val="000000"/>
            </w:rPr>
            <w:t>World</w:t>
          </w:r>
          <w:proofErr w:type="spellEnd"/>
          <w:r w:rsidRPr="0036336C">
            <w:rPr>
              <w:rFonts w:eastAsia="Open Sans" w:cstheme="minorHAnsi"/>
              <w:color w:val="000000"/>
            </w:rPr>
            <w:t xml:space="preserve"> </w:t>
          </w:r>
          <w:proofErr w:type="spellStart"/>
          <w:r w:rsidRPr="0036336C">
            <w:rPr>
              <w:rFonts w:eastAsia="Open Sans" w:cstheme="minorHAnsi"/>
              <w:color w:val="000000"/>
            </w:rPr>
            <w:t>Health</w:t>
          </w:r>
          <w:proofErr w:type="spellEnd"/>
          <w:r w:rsidRPr="0036336C">
            <w:rPr>
              <w:rFonts w:eastAsia="Open Sans" w:cstheme="minorHAnsi"/>
              <w:color w:val="000000"/>
            </w:rPr>
            <w:t xml:space="preserve"> </w:t>
          </w:r>
          <w:proofErr w:type="spellStart"/>
          <w:r w:rsidRPr="0036336C">
            <w:rPr>
              <w:rFonts w:eastAsia="Open Sans" w:cstheme="minorHAnsi"/>
              <w:color w:val="000000"/>
            </w:rPr>
            <w:t>Organization</w:t>
          </w:r>
          <w:proofErr w:type="spellEnd"/>
          <w:r w:rsidRPr="0036336C">
            <w:rPr>
              <w:rFonts w:eastAsia="Open Sans" w:cstheme="minorHAnsi"/>
              <w:color w:val="000000"/>
            </w:rPr>
            <w:t>, 2018)</w:t>
          </w:r>
        </w:sdtContent>
      </w:sdt>
    </w:p>
    <w:p w14:paraId="7CFB1007" w14:textId="77777777" w:rsidR="002773E8" w:rsidRPr="0036336C" w:rsidRDefault="002773E8" w:rsidP="002773E8">
      <w:pPr>
        <w:jc w:val="both"/>
        <w:rPr>
          <w:rFonts w:eastAsia="Open Sans" w:cstheme="minorHAnsi"/>
          <w:color w:val="222222"/>
        </w:rPr>
      </w:pPr>
    </w:p>
    <w:p w14:paraId="46A2D541" w14:textId="77777777" w:rsidR="002773E8" w:rsidRPr="0036336C" w:rsidRDefault="002773E8" w:rsidP="002773E8">
      <w:pPr>
        <w:jc w:val="both"/>
        <w:rPr>
          <w:rFonts w:eastAsia="Open Sans" w:cstheme="minorHAnsi"/>
          <w:color w:val="222222"/>
        </w:rPr>
      </w:pPr>
      <w:r w:rsidRPr="0036336C">
        <w:rPr>
          <w:rFonts w:eastAsia="Open Sans" w:cstheme="minorHAnsi"/>
          <w:color w:val="222222"/>
        </w:rPr>
        <w:t xml:space="preserve">A pesar de toda la evidencia expuesta anteriormente, encontramos una primera línea de estudio que se dirigiría a analizar en detalle los niveles de actividad física a nivel mundial en </w:t>
      </w:r>
      <w:proofErr w:type="gramStart"/>
      <w:r w:rsidRPr="0036336C">
        <w:rPr>
          <w:rFonts w:eastAsia="Open Sans" w:cstheme="minorHAnsi"/>
          <w:color w:val="222222"/>
        </w:rPr>
        <w:t>niños y niñas</w:t>
      </w:r>
      <w:proofErr w:type="gramEnd"/>
      <w:r w:rsidRPr="0036336C">
        <w:rPr>
          <w:rFonts w:eastAsia="Open Sans" w:cstheme="minorHAnsi"/>
          <w:color w:val="222222"/>
        </w:rPr>
        <w:t xml:space="preserve"> menores de 11 años (ED1) ya que no existe un gran cuerpo de evidencia científica al respecto para esta población específica. Tampoco en referencia a personas que precisan de atención a la diversidad (ED6), viven con enfermedades crónicas o cuidadoras/es (ED5), o personas del colectivo LGTBI (ED7).</w:t>
      </w:r>
    </w:p>
    <w:p w14:paraId="6FDBEA10" w14:textId="77777777" w:rsidR="002773E8" w:rsidRPr="007B667D" w:rsidRDefault="002773E8" w:rsidP="002773E8">
      <w:pPr>
        <w:jc w:val="both"/>
        <w:rPr>
          <w:rFonts w:eastAsia="Open Sans" w:cstheme="minorHAnsi"/>
          <w:b/>
          <w:color w:val="222222"/>
          <w:highlight w:val="yellow"/>
        </w:rPr>
      </w:pPr>
    </w:p>
    <w:p w14:paraId="3B295EBA" w14:textId="77777777" w:rsidR="00120CD5" w:rsidRDefault="00120CD5" w:rsidP="00C82306">
      <w:pPr>
        <w:jc w:val="both"/>
        <w:rPr>
          <w:rFonts w:eastAsia="Open Sans" w:cstheme="minorHAnsi"/>
          <w:bCs/>
          <w:i/>
          <w:iCs/>
          <w:color w:val="222222"/>
        </w:rPr>
      </w:pPr>
    </w:p>
    <w:p w14:paraId="62AF64A4" w14:textId="0508BC38" w:rsidR="002773E8" w:rsidRPr="00A346E2" w:rsidRDefault="002773E8" w:rsidP="00C82306">
      <w:pPr>
        <w:jc w:val="both"/>
        <w:rPr>
          <w:rFonts w:eastAsia="Open Sans" w:cstheme="minorHAnsi"/>
          <w:bCs/>
          <w:i/>
          <w:iCs/>
          <w:color w:val="222222"/>
        </w:rPr>
      </w:pPr>
      <w:r w:rsidRPr="00A346E2">
        <w:rPr>
          <w:rFonts w:eastAsia="Open Sans" w:cstheme="minorHAnsi"/>
          <w:bCs/>
          <w:i/>
          <w:iCs/>
          <w:color w:val="222222"/>
        </w:rPr>
        <w:lastRenderedPageBreak/>
        <w:t>Contexto nacional</w:t>
      </w:r>
    </w:p>
    <w:p w14:paraId="70AEF070" w14:textId="77777777" w:rsidR="002773E8" w:rsidRPr="00A346E2" w:rsidRDefault="002773E8" w:rsidP="002773E8">
      <w:pPr>
        <w:jc w:val="both"/>
        <w:rPr>
          <w:rFonts w:eastAsia="Open Sans" w:cstheme="minorHAnsi"/>
          <w:color w:val="222222"/>
        </w:rPr>
      </w:pPr>
    </w:p>
    <w:p w14:paraId="024ADE48" w14:textId="18865BBD" w:rsidR="002773E8" w:rsidRPr="00A346E2" w:rsidRDefault="002773E8" w:rsidP="002773E8">
      <w:pPr>
        <w:jc w:val="both"/>
        <w:rPr>
          <w:rFonts w:eastAsia="Open Sans" w:cstheme="minorHAnsi"/>
          <w:color w:val="222222"/>
        </w:rPr>
      </w:pPr>
      <w:r w:rsidRPr="00A346E2">
        <w:rPr>
          <w:rFonts w:eastAsia="Open Sans" w:cstheme="minorHAnsi"/>
          <w:color w:val="222222"/>
        </w:rPr>
        <w:t>E</w:t>
      </w:r>
      <w:r w:rsidR="00A346E2" w:rsidRPr="00A346E2">
        <w:rPr>
          <w:rFonts w:eastAsia="Open Sans" w:cstheme="minorHAnsi"/>
          <w:color w:val="222222"/>
        </w:rPr>
        <w:t>l</w:t>
      </w:r>
      <w:r w:rsidRPr="00A346E2">
        <w:rPr>
          <w:rFonts w:eastAsia="Open Sans" w:cstheme="minorHAnsi"/>
          <w:color w:val="222222"/>
        </w:rPr>
        <w:t xml:space="preserve"> informe </w:t>
      </w:r>
      <w:r w:rsidR="00A346E2" w:rsidRPr="00A346E2">
        <w:rPr>
          <w:rFonts w:eastAsia="Open Sans" w:cstheme="minorHAnsi"/>
          <w:i/>
          <w:iCs/>
          <w:color w:val="222222"/>
        </w:rPr>
        <w:t xml:space="preserve">Global </w:t>
      </w:r>
      <w:proofErr w:type="gramStart"/>
      <w:r w:rsidR="00A346E2" w:rsidRPr="00A346E2">
        <w:rPr>
          <w:rFonts w:eastAsia="Open Sans" w:cstheme="minorHAnsi"/>
          <w:i/>
          <w:iCs/>
          <w:color w:val="222222"/>
        </w:rPr>
        <w:t>Status</w:t>
      </w:r>
      <w:proofErr w:type="gramEnd"/>
      <w:r w:rsidR="00A346E2" w:rsidRPr="00A346E2">
        <w:rPr>
          <w:rFonts w:eastAsia="Open Sans" w:cstheme="minorHAnsi"/>
          <w:i/>
          <w:iCs/>
          <w:color w:val="222222"/>
        </w:rPr>
        <w:t xml:space="preserve"> </w:t>
      </w:r>
      <w:proofErr w:type="spellStart"/>
      <w:r w:rsidR="00A346E2" w:rsidRPr="00A346E2">
        <w:rPr>
          <w:rFonts w:eastAsia="Open Sans" w:cstheme="minorHAnsi"/>
          <w:i/>
          <w:iCs/>
          <w:color w:val="222222"/>
        </w:rPr>
        <w:t>Report</w:t>
      </w:r>
      <w:proofErr w:type="spellEnd"/>
      <w:r w:rsidR="00A346E2" w:rsidRPr="00A346E2">
        <w:rPr>
          <w:rFonts w:eastAsia="Open Sans" w:cstheme="minorHAnsi"/>
          <w:color w:val="222222"/>
        </w:rPr>
        <w:t xml:space="preserve"> de actividad física de la </w:t>
      </w:r>
      <w:r w:rsidR="00A346E2" w:rsidRPr="00A346E2">
        <w:rPr>
          <w:rFonts w:cstheme="minorHAnsi"/>
        </w:rPr>
        <w:t xml:space="preserve">Organización Mundial de la Salud </w:t>
      </w:r>
      <w:sdt>
        <w:sdtPr>
          <w:rPr>
            <w:rFonts w:eastAsia="Open Sans" w:cstheme="minorHAnsi"/>
            <w:color w:val="000000"/>
          </w:rPr>
          <w:tag w:val="MENDELEY_CITATION_v3_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"/>
          <w:id w:val="-2039355369"/>
          <w:placeholder>
            <w:docPart w:val="96006FFEFBE7CF4A85559A74B180B4ED"/>
          </w:placeholder>
        </w:sdtPr>
        <w:sdtContent>
          <w:r w:rsidR="00A346E2" w:rsidRPr="00A346E2">
            <w:rPr>
              <w:rFonts w:eastAsia="Open Sans" w:cstheme="minorHAnsi"/>
              <w:color w:val="000000"/>
            </w:rPr>
            <w:t>(</w:t>
          </w:r>
          <w:proofErr w:type="spellStart"/>
          <w:r w:rsidR="00A346E2" w:rsidRPr="00A346E2">
            <w:rPr>
              <w:rFonts w:eastAsia="Open Sans" w:cstheme="minorHAnsi"/>
              <w:color w:val="000000"/>
            </w:rPr>
            <w:t>World</w:t>
          </w:r>
          <w:proofErr w:type="spellEnd"/>
          <w:r w:rsidR="00A346E2" w:rsidRPr="00A346E2">
            <w:rPr>
              <w:rFonts w:eastAsia="Open Sans" w:cstheme="minorHAnsi"/>
              <w:color w:val="000000"/>
            </w:rPr>
            <w:t xml:space="preserve"> </w:t>
          </w:r>
          <w:proofErr w:type="spellStart"/>
          <w:r w:rsidR="00A346E2" w:rsidRPr="00A346E2">
            <w:rPr>
              <w:rFonts w:eastAsia="Open Sans" w:cstheme="minorHAnsi"/>
              <w:color w:val="000000"/>
            </w:rPr>
            <w:t>Health</w:t>
          </w:r>
          <w:proofErr w:type="spellEnd"/>
          <w:r w:rsidR="00A346E2" w:rsidRPr="00A346E2">
            <w:rPr>
              <w:rFonts w:eastAsia="Open Sans" w:cstheme="minorHAnsi"/>
              <w:color w:val="000000"/>
            </w:rPr>
            <w:t xml:space="preserve"> </w:t>
          </w:r>
          <w:proofErr w:type="spellStart"/>
          <w:r w:rsidR="00A346E2" w:rsidRPr="00A346E2">
            <w:rPr>
              <w:rFonts w:eastAsia="Open Sans" w:cstheme="minorHAnsi"/>
              <w:color w:val="000000"/>
            </w:rPr>
            <w:t>Organization</w:t>
          </w:r>
          <w:proofErr w:type="spellEnd"/>
          <w:r w:rsidR="00A346E2" w:rsidRPr="00A346E2">
            <w:rPr>
              <w:rFonts w:eastAsia="Open Sans" w:cstheme="minorHAnsi"/>
              <w:color w:val="000000"/>
            </w:rPr>
            <w:t>, 2022a)</w:t>
          </w:r>
        </w:sdtContent>
      </w:sdt>
      <w:r w:rsidR="00A346E2" w:rsidRPr="00A346E2">
        <w:rPr>
          <w:rFonts w:eastAsia="Open Sans" w:cstheme="minorHAnsi"/>
          <w:color w:val="000000"/>
        </w:rPr>
        <w:t xml:space="preserve"> </w:t>
      </w:r>
      <w:r w:rsidRPr="00A346E2">
        <w:rPr>
          <w:rFonts w:eastAsia="Open Sans" w:cstheme="minorHAnsi"/>
          <w:color w:val="222222"/>
        </w:rPr>
        <w:t>destaca la necesidad en España de integrar programas estructurados para la promoción de actividad física en personas con diversidad funcional (ED6), así como el fomento de la Educación Física de calidad para el diseño de programas de promoción de la actividad física en escuelas. También precisa de un sistema de atención primaria que promueva intervenciones basadas en el fomento de la práctica de actividad física (ED5).</w:t>
      </w:r>
    </w:p>
    <w:p w14:paraId="3FBA41EF" w14:textId="77777777" w:rsidR="00C82306" w:rsidRPr="007B667D" w:rsidRDefault="00C82306" w:rsidP="002773E8">
      <w:pPr>
        <w:jc w:val="both"/>
        <w:rPr>
          <w:rFonts w:eastAsia="Open Sans" w:cstheme="minorHAnsi"/>
          <w:color w:val="222222"/>
          <w:highlight w:val="yellow"/>
        </w:rPr>
      </w:pPr>
    </w:p>
    <w:p w14:paraId="6C02AB08" w14:textId="5EABD94D" w:rsidR="002773E8" w:rsidRPr="0053027D" w:rsidRDefault="0053027D" w:rsidP="002773E8">
      <w:pPr>
        <w:jc w:val="both"/>
        <w:rPr>
          <w:rFonts w:eastAsia="Open Sans" w:cstheme="minorHAnsi"/>
          <w:color w:val="222222"/>
        </w:rPr>
      </w:pPr>
      <w:r w:rsidRPr="0053027D">
        <w:rPr>
          <w:rFonts w:eastAsia="Open Sans" w:cstheme="minorHAnsi"/>
          <w:color w:val="222222"/>
        </w:rPr>
        <w:t>Hay que destacar que e</w:t>
      </w:r>
      <w:r w:rsidR="002773E8" w:rsidRPr="0053027D">
        <w:rPr>
          <w:rFonts w:eastAsia="Open Sans" w:cstheme="minorHAnsi"/>
          <w:color w:val="222222"/>
        </w:rPr>
        <w:t>n el estudio PASOS</w:t>
      </w:r>
      <w:r w:rsidRPr="0053027D">
        <w:rPr>
          <w:rFonts w:eastAsia="Open Sans" w:cstheme="minorHAnsi"/>
          <w:color w:val="222222"/>
        </w:rPr>
        <w:t xml:space="preserve"> 2019</w:t>
      </w:r>
      <w:r w:rsidR="002773E8" w:rsidRPr="0053027D">
        <w:rPr>
          <w:rFonts w:eastAsia="Open Sans" w:cstheme="minorHAnsi"/>
          <w:color w:val="222222"/>
        </w:rPr>
        <w:t xml:space="preserve">, en relación con los comportamientos sedentarios, se evaluaron según el tiempo de uso de pantallas concluyendo que la población infantil y adolescente española dedica muchos más minutos diarios al uso de pantallas de lo que marca la recomendación de un límite máximo de 120 minutos al día. Concretamente, entre semana dedican casi 3h diarias y el fin de semana más de 4,5h diarias. Así pues, más de la mitad de </w:t>
      </w:r>
      <w:r w:rsidR="00330A24" w:rsidRPr="0053027D">
        <w:rPr>
          <w:rFonts w:eastAsia="Open Sans" w:cstheme="minorHAnsi"/>
          <w:color w:val="222222"/>
        </w:rPr>
        <w:t>los niños</w:t>
      </w:r>
      <w:r w:rsidR="002773E8" w:rsidRPr="0053027D">
        <w:rPr>
          <w:rFonts w:eastAsia="Open Sans" w:cstheme="minorHAnsi"/>
          <w:color w:val="222222"/>
        </w:rPr>
        <w:t>/as y adolescentes españoles no cumple con la recomendación de uso de pantallas entre semana y casi un 80% no la cumple los días del fin de semana. El nivel de incumplimiento es mayor entre los niños respecto a las niñas y también es mucho mayor en la adolescencia que en la etapa infantil (ED2). A mayor edad, mayor uso de pantallas para cada uno de los cursos académicos estudiados en PASOS 2019 (de 3º de primaria a 4º de la ESO), tanto entre semana como el fin de semana y para ambos géneros (ED1). Una de las limitaciones del estudio PASOS fue no contemplar a personas con diversidad funcional y LGTBI siendo poblaciones no representadas a nivel nacional (ED 6 y ED7).</w:t>
      </w:r>
    </w:p>
    <w:p w14:paraId="3D683A5B" w14:textId="77777777" w:rsidR="002773E8" w:rsidRPr="007B667D" w:rsidRDefault="002773E8" w:rsidP="002773E8">
      <w:pPr>
        <w:jc w:val="both"/>
        <w:rPr>
          <w:rFonts w:eastAsia="Open Sans" w:cstheme="minorHAnsi"/>
          <w:color w:val="222222"/>
          <w:highlight w:val="yellow"/>
        </w:rPr>
      </w:pPr>
    </w:p>
    <w:p w14:paraId="629396FD" w14:textId="09294993" w:rsidR="002773E8" w:rsidRPr="0053027D" w:rsidRDefault="0053027D" w:rsidP="002773E8">
      <w:pPr>
        <w:jc w:val="both"/>
        <w:rPr>
          <w:rFonts w:eastAsia="Open Sans" w:cstheme="minorHAnsi"/>
          <w:color w:val="222222"/>
        </w:rPr>
      </w:pPr>
      <w:r w:rsidRPr="0053027D">
        <w:rPr>
          <w:rFonts w:eastAsia="Open Sans" w:cstheme="minorHAnsi"/>
          <w:color w:val="222222"/>
        </w:rPr>
        <w:t xml:space="preserve">Por último, </w:t>
      </w:r>
      <w:r w:rsidR="002773E8" w:rsidRPr="0053027D">
        <w:rPr>
          <w:rFonts w:eastAsia="Open Sans" w:cstheme="minorHAnsi"/>
          <w:color w:val="222222"/>
        </w:rPr>
        <w:t xml:space="preserve">España ha avanzado recientemente en la creación de leyes que promueven la tolerancia, el respeto, e igualdad para las personas LGBTQ en la promoción de la práctica de actividad física y deporte (ED7). Sin embargo, la literatura muestra que siguen siendo formas de rechazo hacia esta población y se genera un cierto clima hostil hacia la diversidad sexual y de género en estos contextos </w:t>
      </w:r>
      <w:sdt>
        <w:sdtPr>
          <w:rPr>
            <w:rFonts w:cstheme="minorHAnsi"/>
          </w:rPr>
          <w:tag w:val="goog_rdk_3"/>
          <w:id w:val="1511416679"/>
        </w:sdtPr>
        <w:sdtContent/>
      </w:sdt>
      <w:r w:rsidR="002773E8" w:rsidRPr="0053027D">
        <w:rPr>
          <w:rFonts w:eastAsia="Open Sans" w:cstheme="minorHAnsi"/>
          <w:color w:val="222222"/>
        </w:rPr>
        <w:t xml:space="preserve">(ED2). </w:t>
      </w:r>
      <w:sdt>
        <w:sdtPr>
          <w:rPr>
            <w:rFonts w:eastAsia="Open Sans" w:cstheme="minorHAnsi"/>
            <w:color w:val="000000"/>
          </w:rPr>
          <w:tag w:val="MENDELEY_CITATION_v3_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"/>
          <w:id w:val="-1462341171"/>
          <w:placeholder>
            <w:docPart w:val="B62044B0AEE982468526D76406A053AC"/>
          </w:placeholder>
        </w:sdtPr>
        <w:sdtContent>
          <w:r w:rsidR="002773E8" w:rsidRPr="0053027D">
            <w:rPr>
              <w:rFonts w:eastAsia="Open Sans" w:cstheme="minorHAnsi"/>
              <w:color w:val="000000"/>
            </w:rPr>
            <w:t>(Gil-Quintana et al., 2022)</w:t>
          </w:r>
        </w:sdtContent>
      </w:sdt>
    </w:p>
    <w:p w14:paraId="53145142" w14:textId="77777777" w:rsidR="002773E8" w:rsidRPr="007B667D" w:rsidRDefault="002773E8" w:rsidP="002773E8">
      <w:pPr>
        <w:jc w:val="both"/>
        <w:rPr>
          <w:rFonts w:eastAsia="Open Sans" w:cstheme="minorHAnsi"/>
          <w:color w:val="222222"/>
          <w:highlight w:val="yellow"/>
        </w:rPr>
      </w:pPr>
    </w:p>
    <w:p w14:paraId="4D7E39A7" w14:textId="77777777" w:rsidR="002773E8" w:rsidRPr="00A346E2" w:rsidRDefault="002773E8" w:rsidP="002773E8">
      <w:pPr>
        <w:jc w:val="both"/>
        <w:rPr>
          <w:rFonts w:eastAsia="Open Sans" w:cstheme="minorHAnsi"/>
          <w:color w:val="222222"/>
        </w:rPr>
      </w:pPr>
      <w:r w:rsidRPr="00A346E2">
        <w:rPr>
          <w:rFonts w:eastAsia="Open Sans" w:cstheme="minorHAnsi"/>
          <w:color w:val="222222"/>
        </w:rPr>
        <w:t>Este escenario abre la oportunidad de diseñar programas estructurados de promoción de la actividad física que fomenten la inclusión social con la consigna de no dejar a nadie atrás. Por ello, para poder adaptar futuros programas a colectivos con diversidad funcional, enfermedades crónicas, gente mayor, pequeña infancia, vulnerabilidad socioeconómica y LGTBI será primordial evaluar, en primera instancia, la prevalencia de inactividad física y comportamientos sedentarios para cada uno de los gradientes sociales que pueden existir.</w:t>
      </w:r>
    </w:p>
    <w:p w14:paraId="24E55E53" w14:textId="77777777" w:rsidR="002773E8" w:rsidRPr="0051709F" w:rsidRDefault="002773E8" w:rsidP="002773E8">
      <w:pPr>
        <w:jc w:val="both"/>
        <w:rPr>
          <w:rFonts w:eastAsia="Open Sans" w:cstheme="minorHAnsi"/>
          <w:color w:val="222222"/>
          <w:highlight w:val="white"/>
        </w:rPr>
      </w:pPr>
    </w:p>
    <w:p w14:paraId="0E6061E8" w14:textId="77777777" w:rsidR="002773E8" w:rsidRPr="0051709F" w:rsidRDefault="002773E8" w:rsidP="002773E8">
      <w:pPr>
        <w:ind w:left="40"/>
        <w:jc w:val="both"/>
        <w:rPr>
          <w:rFonts w:eastAsia="Open Sans" w:cstheme="minorHAnsi"/>
          <w:b/>
          <w:color w:val="1D1D1B"/>
          <w:highlight w:val="white"/>
        </w:rPr>
      </w:pPr>
      <w:r w:rsidRPr="0051709F">
        <w:rPr>
          <w:rFonts w:eastAsia="Open Sans" w:cstheme="minorHAnsi"/>
          <w:b/>
          <w:color w:val="1D1D1B"/>
          <w:highlight w:val="white"/>
        </w:rPr>
        <w:t>Determinantes sociales de la actividad física</w:t>
      </w:r>
    </w:p>
    <w:p w14:paraId="2298CD43" w14:textId="77777777" w:rsidR="002773E8" w:rsidRPr="0051709F" w:rsidRDefault="002773E8" w:rsidP="002773E8">
      <w:pPr>
        <w:shd w:val="clear" w:color="auto" w:fill="FFFFFF"/>
        <w:rPr>
          <w:rFonts w:cstheme="minorHAnsi"/>
        </w:rPr>
      </w:pPr>
    </w:p>
    <w:p w14:paraId="5B073DDC" w14:textId="77777777" w:rsidR="002773E8" w:rsidRPr="0051709F" w:rsidRDefault="002773E8" w:rsidP="002773E8">
      <w:pPr>
        <w:shd w:val="clear" w:color="auto" w:fill="FFFFFF"/>
        <w:jc w:val="both"/>
        <w:rPr>
          <w:rFonts w:eastAsia="Open Sans" w:cstheme="minorHAnsi"/>
          <w:color w:val="222222"/>
          <w:highlight w:val="white"/>
        </w:rPr>
      </w:pPr>
      <w:r w:rsidRPr="0051709F">
        <w:rPr>
          <w:rFonts w:eastAsia="Open Sans" w:cstheme="minorHAnsi"/>
          <w:color w:val="222222"/>
          <w:highlight w:val="white"/>
        </w:rPr>
        <w:t xml:space="preserve">El modelo de determinantes sociales de la salud formulado por </w:t>
      </w:r>
      <w:proofErr w:type="spellStart"/>
      <w:r w:rsidRPr="0051709F">
        <w:rPr>
          <w:rFonts w:eastAsia="Open Sans" w:cstheme="minorHAnsi"/>
          <w:color w:val="222222"/>
          <w:highlight w:val="white"/>
        </w:rPr>
        <w:t>Dahlgren</w:t>
      </w:r>
      <w:proofErr w:type="spellEnd"/>
      <w:r w:rsidRPr="0051709F">
        <w:rPr>
          <w:rFonts w:eastAsia="Open Sans" w:cstheme="minorHAnsi"/>
          <w:color w:val="222222"/>
          <w:highlight w:val="white"/>
        </w:rPr>
        <w:t xml:space="preserve"> y Whitehead en 1991, se utiliza para la identificación de los determinantes de muchas de las problemáticas actuales de salud pública, entre ellas la inactividad física y el sedentarismo. El modelo explica que el estado de salud de una persona está </w:t>
      </w:r>
      <w:r w:rsidRPr="0051709F">
        <w:rPr>
          <w:rFonts w:eastAsia="Open Sans" w:cstheme="minorHAnsi"/>
          <w:color w:val="222222"/>
          <w:highlight w:val="white"/>
        </w:rPr>
        <w:lastRenderedPageBreak/>
        <w:t xml:space="preserve">determinado por una nube inmensa de factores situados a diferentes niveles de influencia sobre el individuo. </w:t>
      </w:r>
      <w:sdt>
        <w:sdtPr>
          <w:rPr>
            <w:rFonts w:eastAsia="Open Sans" w:cstheme="minorHAnsi"/>
            <w:color w:val="222222"/>
            <w:highlight w:val="white"/>
          </w:rPr>
          <w:tag w:val="MENDELEY_CITATION_v3_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"/>
          <w:id w:val="-1896885601"/>
          <w:placeholder>
            <w:docPart w:val="B62044B0AEE982468526D76406A053AC"/>
          </w:placeholder>
        </w:sdtPr>
        <w:sdtContent>
          <w:r w:rsidRPr="0051709F">
            <w:rPr>
              <w:rFonts w:eastAsia="Times New Roman" w:cstheme="minorHAnsi"/>
            </w:rPr>
            <w:t>(</w:t>
          </w:r>
          <w:proofErr w:type="spellStart"/>
          <w:r w:rsidRPr="0051709F">
            <w:rPr>
              <w:rFonts w:eastAsia="Times New Roman" w:cstheme="minorHAnsi"/>
            </w:rPr>
            <w:t>Dahlgren</w:t>
          </w:r>
          <w:proofErr w:type="spellEnd"/>
          <w:r w:rsidRPr="0051709F">
            <w:rPr>
              <w:rFonts w:eastAsia="Times New Roman" w:cstheme="minorHAnsi"/>
            </w:rPr>
            <w:t xml:space="preserve"> &amp; Whitehead, 1991)</w:t>
          </w:r>
        </w:sdtContent>
      </w:sdt>
    </w:p>
    <w:p w14:paraId="3FDCF571" w14:textId="77777777" w:rsidR="002773E8" w:rsidRPr="0051709F" w:rsidRDefault="002773E8" w:rsidP="002773E8">
      <w:pPr>
        <w:shd w:val="clear" w:color="auto" w:fill="FFFFFF"/>
        <w:rPr>
          <w:rFonts w:eastAsia="Open Sans" w:cstheme="minorHAnsi"/>
          <w:color w:val="222222"/>
          <w:highlight w:val="white"/>
        </w:rPr>
      </w:pPr>
    </w:p>
    <w:p w14:paraId="49FCA3C3" w14:textId="12CEA028" w:rsidR="00C82306"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Este enfoque puede inspirar la Estrategia Nacional para </w:t>
      </w:r>
      <w:r w:rsidR="00C82306" w:rsidRPr="0051709F">
        <w:rPr>
          <w:rFonts w:eastAsia="Open Sans" w:cstheme="minorHAnsi"/>
          <w:color w:val="222222"/>
          <w:highlight w:val="white"/>
        </w:rPr>
        <w:t xml:space="preserve">el fomento del deporte contra </w:t>
      </w:r>
      <w:r w:rsidRPr="0051709F">
        <w:rPr>
          <w:rFonts w:eastAsia="Open Sans" w:cstheme="minorHAnsi"/>
          <w:color w:val="222222"/>
          <w:highlight w:val="white"/>
        </w:rPr>
        <w:t xml:space="preserve">la inactividad física y el sedentarismo, y es especialmente útil para identificar la amplia nube de determinantes sociales que modulan los 7 ejes de desigualdad que se abordan en este </w:t>
      </w:r>
      <w:r w:rsidR="00270E70">
        <w:rPr>
          <w:rFonts w:eastAsia="Open Sans" w:cstheme="minorHAnsi"/>
          <w:color w:val="222222"/>
          <w:highlight w:val="white"/>
        </w:rPr>
        <w:t>ámbito</w:t>
      </w:r>
      <w:r w:rsidRPr="0051709F">
        <w:rPr>
          <w:rFonts w:eastAsia="Open Sans" w:cstheme="minorHAnsi"/>
          <w:color w:val="222222"/>
          <w:highlight w:val="white"/>
        </w:rPr>
        <w:t>.</w:t>
      </w:r>
    </w:p>
    <w:p w14:paraId="70F3C833" w14:textId="77777777" w:rsidR="00C82306" w:rsidRPr="0051709F" w:rsidRDefault="00C82306" w:rsidP="002773E8">
      <w:pPr>
        <w:jc w:val="both"/>
        <w:rPr>
          <w:rFonts w:eastAsia="Open Sans" w:cstheme="minorHAnsi"/>
          <w:color w:val="222222"/>
          <w:highlight w:val="white"/>
        </w:rPr>
      </w:pPr>
    </w:p>
    <w:p w14:paraId="308383D2" w14:textId="1BE2E005" w:rsidR="00C82306"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Si nos fijamos en el nivel más externo del modelo</w:t>
      </w:r>
      <w:r w:rsidR="00270E70">
        <w:rPr>
          <w:rFonts w:eastAsia="Open Sans" w:cstheme="minorHAnsi"/>
          <w:color w:val="222222"/>
          <w:highlight w:val="white"/>
        </w:rPr>
        <w:t>,</w:t>
      </w:r>
      <w:r w:rsidRPr="0051709F">
        <w:rPr>
          <w:rFonts w:eastAsia="Open Sans" w:cstheme="minorHAnsi"/>
          <w:color w:val="222222"/>
          <w:highlight w:val="white"/>
        </w:rPr>
        <w:t xml:space="preserve"> identificamos que la estrategia nacional debe ser capaz de movilizar la sensibilidad pública y política, para así impulsar medidas legislativas y políticas que aborden factores estructurales de la práctica de actividad física y el deporte. Un ejemplo sería la movilización de los recursos contemplados en la recientemente Ley del </w:t>
      </w:r>
      <w:r w:rsidR="00C82306" w:rsidRPr="0051709F">
        <w:rPr>
          <w:rFonts w:eastAsia="Open Sans" w:cstheme="minorHAnsi"/>
          <w:color w:val="222222"/>
          <w:highlight w:val="white"/>
        </w:rPr>
        <w:t>D</w:t>
      </w:r>
      <w:r w:rsidRPr="0051709F">
        <w:rPr>
          <w:rFonts w:eastAsia="Open Sans" w:cstheme="minorHAnsi"/>
          <w:color w:val="222222"/>
          <w:highlight w:val="white"/>
        </w:rPr>
        <w:t>eporte 39/2022, de 30 de diciembre, del Deporte</w:t>
      </w:r>
      <w:r w:rsidR="00270E70">
        <w:rPr>
          <w:rFonts w:eastAsia="Open Sans" w:cstheme="minorHAnsi"/>
          <w:color w:val="222222"/>
          <w:highlight w:val="white"/>
        </w:rPr>
        <w:t>,</w:t>
      </w:r>
      <w:r w:rsidRPr="0051709F">
        <w:rPr>
          <w:rFonts w:eastAsia="Open Sans" w:cstheme="minorHAnsi"/>
          <w:color w:val="222222"/>
          <w:highlight w:val="white"/>
        </w:rPr>
        <w:t xml:space="preserve"> para el fomento de la actividad física y deportiva como aceleradores de la inclusión social y la reducción de las desigualdades. </w:t>
      </w:r>
    </w:p>
    <w:p w14:paraId="76179949" w14:textId="77777777" w:rsidR="00C82306" w:rsidRPr="0051709F" w:rsidRDefault="00C82306" w:rsidP="002773E8">
      <w:pPr>
        <w:jc w:val="both"/>
        <w:rPr>
          <w:rFonts w:eastAsia="Open Sans" w:cstheme="minorHAnsi"/>
          <w:color w:val="222222"/>
          <w:highlight w:val="white"/>
        </w:rPr>
      </w:pPr>
    </w:p>
    <w:p w14:paraId="4864C514" w14:textId="77777777" w:rsidR="00C82306"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En un nivel inferior convendría activar medidas en la estrategia nacional que permitan influir sobre las condiciones de vida, vivienda y trabajo al tratarse de entornos claves para la reducción de la inactividad física desde una perspectiva de inclusión social. Como, por ejemplo, la creación de instalaciones deportivas en los barrios de menor renta media por persona y año asegurando su accesibilidad y seguridad. </w:t>
      </w:r>
    </w:p>
    <w:p w14:paraId="037E40A2" w14:textId="77777777" w:rsidR="00C82306" w:rsidRPr="0051709F" w:rsidRDefault="00C82306" w:rsidP="002773E8">
      <w:pPr>
        <w:jc w:val="both"/>
        <w:rPr>
          <w:rFonts w:eastAsia="Open Sans" w:cstheme="minorHAnsi"/>
          <w:color w:val="222222"/>
          <w:highlight w:val="white"/>
        </w:rPr>
      </w:pPr>
    </w:p>
    <w:p w14:paraId="25B454D5" w14:textId="77777777" w:rsidR="00C82306"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A nivel social y comunitario, el trabajo que pueden realizar las diputaciones provinciales y los propios municipios es clave para el logro de la reducción de las desigualdades sociales en la práctica físico-deportiva. Un ejemplo serían los programas de fomento de la actividad física y el deporte impulsados por los ayuntamientos que busquen especialmente la inclusión y motivación de los colectivos expuestos a cada uno de los 7 ejes de desigualdad. </w:t>
      </w:r>
    </w:p>
    <w:p w14:paraId="031D757A" w14:textId="77777777" w:rsidR="00C82306" w:rsidRPr="0051709F" w:rsidRDefault="00C82306" w:rsidP="002773E8">
      <w:pPr>
        <w:jc w:val="both"/>
        <w:rPr>
          <w:rFonts w:eastAsia="Open Sans" w:cstheme="minorHAnsi"/>
          <w:color w:val="222222"/>
          <w:highlight w:val="white"/>
        </w:rPr>
      </w:pPr>
    </w:p>
    <w:p w14:paraId="1AC0C5B2" w14:textId="2A861CEF" w:rsidR="002773E8"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En el cuarto nivel (de exterior a interior), conviene que el plan incluya medidas que sean capaces de modificar comportamientos y estilos de vida individuales a través de una adecuada identificación de los factores psicosociales que permiten motivar la interiorización de una conducta activa. Esto significa la inclusión de medidas como la formación de profesionales de la salud que prescriben individualmente actividad física desde los centros sanitarios sin identificar previamente la </w:t>
      </w:r>
      <w:sdt>
        <w:sdtPr>
          <w:rPr>
            <w:rFonts w:cstheme="minorHAnsi"/>
          </w:rPr>
          <w:tag w:val="goog_rdk_4"/>
          <w:id w:val="1084335321"/>
        </w:sdtPr>
        <w:sdtContent/>
      </w:sdt>
      <w:r w:rsidRPr="0051709F">
        <w:rPr>
          <w:rFonts w:eastAsia="Open Sans" w:cstheme="minorHAnsi"/>
          <w:color w:val="222222"/>
          <w:highlight w:val="white"/>
        </w:rPr>
        <w:t xml:space="preserve">etapa del cambio en la que se encuentra la persona según el modelo </w:t>
      </w:r>
      <w:proofErr w:type="spellStart"/>
      <w:r w:rsidRPr="0051709F">
        <w:rPr>
          <w:rFonts w:eastAsia="Open Sans" w:cstheme="minorHAnsi"/>
          <w:color w:val="222222"/>
          <w:highlight w:val="white"/>
        </w:rPr>
        <w:t>transteorético</w:t>
      </w:r>
      <w:proofErr w:type="spellEnd"/>
      <w:r w:rsidRPr="0051709F">
        <w:rPr>
          <w:rFonts w:eastAsia="Open Sans" w:cstheme="minorHAnsi"/>
          <w:color w:val="222222"/>
          <w:highlight w:val="white"/>
        </w:rPr>
        <w:t xml:space="preserve"> del cambio de Prochaska y </w:t>
      </w:r>
      <w:proofErr w:type="spellStart"/>
      <w:r w:rsidRPr="0051709F">
        <w:rPr>
          <w:rFonts w:eastAsia="Open Sans" w:cstheme="minorHAnsi"/>
          <w:color w:val="222222"/>
          <w:highlight w:val="white"/>
        </w:rPr>
        <w:t>Diclemente</w:t>
      </w:r>
      <w:proofErr w:type="spellEnd"/>
      <w:r w:rsidRPr="0051709F">
        <w:rPr>
          <w:rFonts w:eastAsia="Open Sans" w:cstheme="minorHAnsi"/>
          <w:color w:val="222222"/>
          <w:highlight w:val="white"/>
        </w:rPr>
        <w:t xml:space="preserve"> </w:t>
      </w:r>
      <w:sdt>
        <w:sdtPr>
          <w:rPr>
            <w:rFonts w:eastAsia="Open Sans" w:cstheme="minorHAnsi"/>
            <w:color w:val="222222"/>
            <w:highlight w:val="white"/>
          </w:rPr>
          <w:tag w:val="MENDELEY_CITATION_v3_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"/>
          <w:id w:val="-441149672"/>
          <w:placeholder>
            <w:docPart w:val="B62044B0AEE982468526D76406A053AC"/>
          </w:placeholder>
        </w:sdtPr>
        <w:sdtContent>
          <w:r w:rsidRPr="0051709F">
            <w:rPr>
              <w:rFonts w:eastAsia="Times New Roman" w:cstheme="minorHAnsi"/>
            </w:rPr>
            <w:t>(Prochaska &amp; DiClemente, 1983)</w:t>
          </w:r>
          <w:r w:rsidR="00CB5D60">
            <w:rPr>
              <w:rFonts w:eastAsia="Times New Roman" w:cstheme="minorHAnsi"/>
            </w:rPr>
            <w:t>.</w:t>
          </w:r>
        </w:sdtContent>
      </w:sdt>
    </w:p>
    <w:p w14:paraId="088FCE0D" w14:textId="77777777" w:rsidR="00C82306" w:rsidRPr="0051709F" w:rsidRDefault="00C82306" w:rsidP="002773E8">
      <w:pPr>
        <w:jc w:val="both"/>
        <w:rPr>
          <w:rFonts w:eastAsia="Open Sans" w:cstheme="minorHAnsi"/>
          <w:color w:val="222222"/>
          <w:highlight w:val="white"/>
        </w:rPr>
      </w:pPr>
    </w:p>
    <w:p w14:paraId="3074346F" w14:textId="77777777" w:rsidR="00C82306" w:rsidRPr="0051709F" w:rsidRDefault="00C82306" w:rsidP="002773E8">
      <w:pPr>
        <w:jc w:val="both"/>
        <w:rPr>
          <w:rFonts w:eastAsia="Open Sans" w:cstheme="minorHAnsi"/>
          <w:color w:val="222222"/>
          <w:highlight w:val="white"/>
        </w:rPr>
      </w:pPr>
    </w:p>
    <w:p w14:paraId="68BE6A5B" w14:textId="77777777" w:rsidR="00C82306" w:rsidRPr="0051709F" w:rsidRDefault="00C82306" w:rsidP="002773E8">
      <w:pPr>
        <w:jc w:val="both"/>
        <w:rPr>
          <w:rFonts w:eastAsia="Open Sans" w:cstheme="minorHAnsi"/>
          <w:color w:val="222222"/>
          <w:highlight w:val="white"/>
        </w:rPr>
      </w:pPr>
    </w:p>
    <w:p w14:paraId="21F53B04" w14:textId="13EDA205" w:rsidR="002773E8" w:rsidRPr="007B667D" w:rsidRDefault="002773E8" w:rsidP="003906F1">
      <w:pPr>
        <w:jc w:val="center"/>
        <w:rPr>
          <w:rFonts w:eastAsia="Open Sans" w:cstheme="minorHAnsi"/>
          <w:b/>
          <w:i/>
          <w:iCs/>
          <w:color w:val="222222"/>
          <w:highlight w:val="white"/>
        </w:rPr>
      </w:pPr>
      <w:r w:rsidRPr="0051709F">
        <w:rPr>
          <w:rFonts w:eastAsia="Open Sans" w:cstheme="minorHAnsi"/>
          <w:noProof/>
          <w:color w:val="222222"/>
          <w:highlight w:val="white"/>
          <w:lang w:val="en-GB" w:eastAsia="en-GB"/>
        </w:rPr>
        <w:lastRenderedPageBreak/>
        <w:drawing>
          <wp:inline distT="114300" distB="114300" distL="114300" distR="114300" wp14:anchorId="03562315" wp14:editId="1A8C96A0">
            <wp:extent cx="5791859" cy="2545344"/>
            <wp:effectExtent l="0" t="0" r="0" b="0"/>
            <wp:docPr id="678146526" name="Imagen 678146526"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678146526" name="Imagen 678146526" descr="Texto&#10;&#10;Descripción generada automáticamente"/>
                    <pic:cNvPicPr preferRelativeResize="0"/>
                  </pic:nvPicPr>
                  <pic:blipFill>
                    <a:blip r:embed="rId103"/>
                    <a:srcRect/>
                    <a:stretch>
                      <a:fillRect/>
                    </a:stretch>
                  </pic:blipFill>
                  <pic:spPr>
                    <a:xfrm>
                      <a:off x="0" y="0"/>
                      <a:ext cx="5791859" cy="2545344"/>
                    </a:xfrm>
                    <a:prstGeom prst="rect">
                      <a:avLst/>
                    </a:prstGeom>
                    <a:ln/>
                  </pic:spPr>
                </pic:pic>
              </a:graphicData>
            </a:graphic>
          </wp:inline>
        </w:drawing>
      </w:r>
      <w:r w:rsidRPr="007B667D">
        <w:rPr>
          <w:rFonts w:eastAsia="Open Sans" w:cstheme="minorHAnsi"/>
          <w:i/>
          <w:iCs/>
          <w:color w:val="222222"/>
          <w:highlight w:val="white"/>
        </w:rPr>
        <w:t xml:space="preserve">Figura </w:t>
      </w:r>
      <w:r w:rsidR="00253B19" w:rsidRPr="007B667D">
        <w:rPr>
          <w:rFonts w:eastAsia="Open Sans" w:cstheme="minorHAnsi"/>
          <w:i/>
          <w:iCs/>
          <w:color w:val="222222"/>
          <w:highlight w:val="white"/>
        </w:rPr>
        <w:t>3</w:t>
      </w:r>
      <w:r w:rsidRPr="007B667D">
        <w:rPr>
          <w:rFonts w:eastAsia="Open Sans" w:cstheme="minorHAnsi"/>
          <w:i/>
          <w:iCs/>
          <w:color w:val="222222"/>
          <w:highlight w:val="white"/>
        </w:rPr>
        <w:t>1. Modelo de determinantes sociales de la inactividad física.</w:t>
      </w:r>
    </w:p>
    <w:p w14:paraId="4C1E9686" w14:textId="77777777" w:rsidR="00C82306" w:rsidRPr="0051709F" w:rsidRDefault="00C82306" w:rsidP="002773E8">
      <w:pPr>
        <w:ind w:left="40"/>
        <w:jc w:val="both"/>
        <w:rPr>
          <w:rFonts w:eastAsia="Open Sans" w:cstheme="minorHAnsi"/>
          <w:b/>
          <w:color w:val="222222"/>
          <w:highlight w:val="white"/>
        </w:rPr>
      </w:pPr>
    </w:p>
    <w:p w14:paraId="1367B709" w14:textId="77777777" w:rsidR="00C82306" w:rsidRPr="0051709F" w:rsidRDefault="00C82306" w:rsidP="002773E8">
      <w:pPr>
        <w:ind w:left="40"/>
        <w:jc w:val="both"/>
        <w:rPr>
          <w:rFonts w:eastAsia="Open Sans" w:cstheme="minorHAnsi"/>
          <w:b/>
          <w:color w:val="222222"/>
          <w:highlight w:val="white"/>
        </w:rPr>
      </w:pPr>
    </w:p>
    <w:p w14:paraId="57E5C1C6" w14:textId="62937BB8" w:rsidR="002773E8" w:rsidRPr="0051709F" w:rsidRDefault="002773E8" w:rsidP="00374DB3">
      <w:pPr>
        <w:pStyle w:val="Ttulo2"/>
        <w:numPr>
          <w:ilvl w:val="0"/>
          <w:numId w:val="0"/>
        </w:numPr>
        <w:jc w:val="both"/>
        <w:rPr>
          <w:rFonts w:asciiTheme="minorHAnsi" w:eastAsia="Open Sans" w:hAnsiTheme="minorHAnsi" w:cstheme="minorHAnsi"/>
          <w:sz w:val="24"/>
          <w:szCs w:val="24"/>
          <w:lang w:val="es-ES"/>
        </w:rPr>
      </w:pPr>
      <w:r w:rsidRPr="0051709F">
        <w:rPr>
          <w:rFonts w:asciiTheme="minorHAnsi" w:eastAsia="Open Sans" w:hAnsiTheme="minorHAnsi" w:cstheme="minorHAnsi"/>
          <w:sz w:val="24"/>
          <w:szCs w:val="24"/>
          <w:highlight w:val="white"/>
          <w:lang w:val="es-ES"/>
        </w:rPr>
        <w:t>Grandes iniciativas mundiales para la promoción de la actividad física desde una perspectiva de inclusi</w:t>
      </w:r>
      <w:r w:rsidRPr="0051709F">
        <w:rPr>
          <w:rFonts w:asciiTheme="minorHAnsi" w:eastAsia="Open Sans" w:hAnsiTheme="minorHAnsi" w:cstheme="minorHAnsi"/>
          <w:sz w:val="24"/>
          <w:szCs w:val="24"/>
          <w:lang w:val="es-ES"/>
        </w:rPr>
        <w:t>ón social</w:t>
      </w:r>
      <w:r w:rsidR="00CB5D60">
        <w:rPr>
          <w:rFonts w:asciiTheme="minorHAnsi" w:eastAsia="Open Sans" w:hAnsiTheme="minorHAnsi" w:cstheme="minorHAnsi"/>
          <w:sz w:val="24"/>
          <w:szCs w:val="24"/>
          <w:lang w:val="es-ES"/>
        </w:rPr>
        <w:t>.</w:t>
      </w:r>
    </w:p>
    <w:p w14:paraId="1EE49CB2" w14:textId="77777777" w:rsidR="00C82306" w:rsidRPr="0051709F" w:rsidRDefault="00C82306" w:rsidP="00374DB3">
      <w:pPr>
        <w:ind w:left="40"/>
        <w:jc w:val="both"/>
        <w:rPr>
          <w:rFonts w:eastAsia="Open Sans" w:cstheme="minorHAnsi"/>
          <w:b/>
          <w:color w:val="222222"/>
          <w:highlight w:val="white"/>
        </w:rPr>
      </w:pPr>
    </w:p>
    <w:p w14:paraId="2447A10C" w14:textId="77777777" w:rsidR="002773E8"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A nivel mundial, existen grandes iniciativas para promover la actividad física y el deporte para que se conviertan en catalizadores de la inclusión social.</w:t>
      </w:r>
    </w:p>
    <w:p w14:paraId="087FE38E" w14:textId="77777777" w:rsidR="00EF3BE6" w:rsidRPr="0051709F" w:rsidRDefault="00EF3BE6" w:rsidP="002773E8">
      <w:pPr>
        <w:jc w:val="both"/>
        <w:rPr>
          <w:rFonts w:eastAsia="Open Sans" w:cstheme="minorHAnsi"/>
          <w:color w:val="222222"/>
          <w:highlight w:val="white"/>
        </w:rPr>
      </w:pPr>
    </w:p>
    <w:p w14:paraId="6AFA1436" w14:textId="4ABCFFAD" w:rsidR="002773E8" w:rsidRPr="0051709F" w:rsidRDefault="002773E8" w:rsidP="002773E8">
      <w:pPr>
        <w:ind w:left="40"/>
        <w:jc w:val="both"/>
        <w:rPr>
          <w:rFonts w:cstheme="minorHAnsi"/>
        </w:rPr>
      </w:pPr>
      <w:r w:rsidRPr="0051709F">
        <w:rPr>
          <w:rFonts w:eastAsia="Open Sans" w:cstheme="minorHAnsi"/>
          <w:color w:val="222222"/>
          <w:highlight w:val="white"/>
        </w:rPr>
        <w:t>Por ello, las grandes iniciativas de promoción de la actividad física y el deporte deben contemplar la integración de los 17 Objetivos de Desarrollo Sostenible (ODS). Los 17 ODS representan una prioridad mundial por parte de todos los países desarrollados y en vías de desarrollo. La Agenda 2030 para el Desarrollo Sostenible hace hincapié en que los ODS están destinados a ser integrados, indivisibles y equilibrados entre las tres dimensiones del desarrollo sostenible: económica, social y ambiental. El papel de la práctica de actividad física en el Desarrollo Sostenible y la consecución de los ODS permite desplegar múltiples medidas concretas para reducir las desigualdades sociales cumpliendo con la reducción de la pobreza y hambruna y fomentando la equidad de género como pilares fundamentales de la actividad física y el deporte como aceleradores de la inclusión social</w:t>
      </w:r>
      <w:r w:rsidR="001C0F6D" w:rsidRPr="0051709F">
        <w:rPr>
          <w:rFonts w:eastAsia="Open Sans" w:cstheme="minorHAnsi"/>
          <w:color w:val="222222"/>
          <w:highlight w:val="white"/>
        </w:rPr>
        <w:t xml:space="preserve"> </w:t>
      </w:r>
      <w:sdt>
        <w:sdtPr>
          <w:rPr>
            <w:rFonts w:eastAsia="Open Sans" w:cstheme="minorHAnsi"/>
            <w:color w:val="222222"/>
            <w:highlight w:val="white"/>
          </w:rPr>
          <w:tag w:val="MENDELEY_CITATION_v3_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"/>
          <w:id w:val="-1151217697"/>
          <w:placeholder>
            <w:docPart w:val="B62044B0AEE982468526D76406A053AC"/>
          </w:placeholder>
        </w:sdtPr>
        <w:sdtEndPr>
          <w:rPr>
            <w:rFonts w:eastAsiaTheme="minorHAnsi"/>
            <w:color w:val="auto"/>
            <w:highlight w:val="none"/>
          </w:rPr>
        </w:sdtEndPr>
        <w:sdtContent>
          <w:r w:rsidRPr="0051709F">
            <w:rPr>
              <w:rFonts w:eastAsia="Times New Roman" w:cstheme="minorHAnsi"/>
            </w:rPr>
            <w:t>(</w:t>
          </w:r>
          <w:r w:rsidRPr="0053027D">
            <w:rPr>
              <w:rFonts w:eastAsia="Times New Roman" w:cstheme="minorHAnsi"/>
              <w:i/>
              <w:iCs/>
            </w:rPr>
            <w:t xml:space="preserve">Sport </w:t>
          </w:r>
          <w:proofErr w:type="spellStart"/>
          <w:r w:rsidRPr="0053027D">
            <w:rPr>
              <w:rFonts w:eastAsia="Times New Roman" w:cstheme="minorHAnsi"/>
              <w:i/>
              <w:iCs/>
            </w:rPr>
            <w:t>for</w:t>
          </w:r>
          <w:proofErr w:type="spellEnd"/>
          <w:r w:rsidRPr="0053027D">
            <w:rPr>
              <w:rFonts w:eastAsia="Times New Roman" w:cstheme="minorHAnsi"/>
              <w:i/>
              <w:iCs/>
            </w:rPr>
            <w:t xml:space="preserve"> </w:t>
          </w:r>
          <w:proofErr w:type="spellStart"/>
          <w:r w:rsidRPr="0053027D">
            <w:rPr>
              <w:rFonts w:eastAsia="Times New Roman" w:cstheme="minorHAnsi"/>
              <w:i/>
              <w:iCs/>
            </w:rPr>
            <w:t>Sustainable</w:t>
          </w:r>
          <w:proofErr w:type="spellEnd"/>
          <w:r w:rsidRPr="0053027D">
            <w:rPr>
              <w:rFonts w:eastAsia="Times New Roman" w:cstheme="minorHAnsi"/>
              <w:i/>
              <w:iCs/>
            </w:rPr>
            <w:t xml:space="preserve"> </w:t>
          </w:r>
          <w:proofErr w:type="spellStart"/>
          <w:r w:rsidRPr="0053027D">
            <w:rPr>
              <w:rFonts w:eastAsia="Times New Roman" w:cstheme="minorHAnsi"/>
              <w:i/>
              <w:iCs/>
            </w:rPr>
            <w:t>Development</w:t>
          </w:r>
          <w:proofErr w:type="spellEnd"/>
          <w:r w:rsidRPr="0053027D">
            <w:rPr>
              <w:rFonts w:eastAsia="Times New Roman" w:cstheme="minorHAnsi"/>
              <w:i/>
              <w:iCs/>
            </w:rPr>
            <w:t xml:space="preserve"> &amp; Erasmus+ </w:t>
          </w:r>
          <w:proofErr w:type="spellStart"/>
          <w:r w:rsidRPr="0053027D">
            <w:rPr>
              <w:rFonts w:eastAsia="Times New Roman" w:cstheme="minorHAnsi"/>
              <w:i/>
              <w:iCs/>
            </w:rPr>
            <w:t>Programme</w:t>
          </w:r>
          <w:proofErr w:type="spellEnd"/>
          <w:r w:rsidRPr="0053027D">
            <w:rPr>
              <w:rFonts w:eastAsia="Times New Roman" w:cstheme="minorHAnsi"/>
              <w:i/>
              <w:iCs/>
            </w:rPr>
            <w:t xml:space="preserve"> </w:t>
          </w:r>
          <w:proofErr w:type="spellStart"/>
          <w:r w:rsidRPr="0053027D">
            <w:rPr>
              <w:rFonts w:eastAsia="Times New Roman" w:cstheme="minorHAnsi"/>
              <w:i/>
              <w:iCs/>
            </w:rPr>
            <w:t>of</w:t>
          </w:r>
          <w:proofErr w:type="spellEnd"/>
          <w:r w:rsidRPr="0053027D">
            <w:rPr>
              <w:rFonts w:eastAsia="Times New Roman" w:cstheme="minorHAnsi"/>
              <w:i/>
              <w:iCs/>
            </w:rPr>
            <w:t xml:space="preserve"> </w:t>
          </w:r>
          <w:proofErr w:type="spellStart"/>
          <w:r w:rsidRPr="0053027D">
            <w:rPr>
              <w:rFonts w:eastAsia="Times New Roman" w:cstheme="minorHAnsi"/>
              <w:i/>
              <w:iCs/>
            </w:rPr>
            <w:t>the</w:t>
          </w:r>
          <w:proofErr w:type="spellEnd"/>
          <w:r w:rsidRPr="0053027D">
            <w:rPr>
              <w:rFonts w:eastAsia="Times New Roman" w:cstheme="minorHAnsi"/>
              <w:i/>
              <w:iCs/>
            </w:rPr>
            <w:t xml:space="preserve"> </w:t>
          </w:r>
          <w:proofErr w:type="spellStart"/>
          <w:r w:rsidRPr="0053027D">
            <w:rPr>
              <w:rFonts w:eastAsia="Times New Roman" w:cstheme="minorHAnsi"/>
              <w:i/>
              <w:iCs/>
            </w:rPr>
            <w:t>European</w:t>
          </w:r>
          <w:proofErr w:type="spellEnd"/>
          <w:r w:rsidRPr="0053027D">
            <w:rPr>
              <w:rFonts w:eastAsia="Times New Roman" w:cstheme="minorHAnsi"/>
              <w:i/>
              <w:iCs/>
            </w:rPr>
            <w:t xml:space="preserve"> </w:t>
          </w:r>
          <w:proofErr w:type="spellStart"/>
          <w:r w:rsidRPr="0053027D">
            <w:rPr>
              <w:rFonts w:eastAsia="Times New Roman" w:cstheme="minorHAnsi"/>
              <w:i/>
              <w:iCs/>
            </w:rPr>
            <w:t>Union</w:t>
          </w:r>
          <w:proofErr w:type="spellEnd"/>
          <w:r w:rsidRPr="0051709F">
            <w:rPr>
              <w:rFonts w:eastAsia="Times New Roman" w:cstheme="minorHAnsi"/>
            </w:rPr>
            <w:t>, 2021)</w:t>
          </w:r>
        </w:sdtContent>
      </w:sdt>
      <w:r w:rsidRPr="0051709F">
        <w:rPr>
          <w:rFonts w:cstheme="minorHAnsi"/>
        </w:rPr>
        <w:t>.</w:t>
      </w:r>
    </w:p>
    <w:p w14:paraId="3D2E7F54" w14:textId="77777777" w:rsidR="00EF3BE6" w:rsidRPr="0051709F" w:rsidRDefault="00EF3BE6" w:rsidP="002773E8">
      <w:pPr>
        <w:ind w:left="40"/>
        <w:jc w:val="both"/>
        <w:rPr>
          <w:rFonts w:eastAsia="Open Sans" w:cstheme="minorHAnsi"/>
          <w:color w:val="222222"/>
          <w:highlight w:val="white"/>
        </w:rPr>
      </w:pPr>
    </w:p>
    <w:p w14:paraId="16E64711" w14:textId="087111EF" w:rsidR="002773E8" w:rsidRPr="0051709F" w:rsidRDefault="002773E8" w:rsidP="002773E8">
      <w:pPr>
        <w:ind w:left="40"/>
        <w:jc w:val="both"/>
        <w:rPr>
          <w:rFonts w:eastAsia="Open Sans" w:cstheme="minorHAnsi"/>
          <w:color w:val="222222"/>
          <w:highlight w:val="white"/>
        </w:rPr>
      </w:pPr>
      <w:r w:rsidRPr="0051709F">
        <w:rPr>
          <w:rFonts w:eastAsia="Open Sans" w:cstheme="minorHAnsi"/>
          <w:color w:val="222222"/>
          <w:highlight w:val="white"/>
        </w:rPr>
        <w:t>En este sentido</w:t>
      </w:r>
      <w:r w:rsidR="00CB5D60">
        <w:rPr>
          <w:rFonts w:eastAsia="Open Sans" w:cstheme="minorHAnsi"/>
          <w:color w:val="222222"/>
          <w:highlight w:val="white"/>
        </w:rPr>
        <w:t>,</w:t>
      </w:r>
      <w:r w:rsidRPr="0051709F">
        <w:rPr>
          <w:rFonts w:eastAsia="Open Sans" w:cstheme="minorHAnsi"/>
          <w:color w:val="222222"/>
          <w:highlight w:val="white"/>
        </w:rPr>
        <w:t xml:space="preserve"> la </w:t>
      </w:r>
      <w:r w:rsidR="006D4843">
        <w:rPr>
          <w:rFonts w:cstheme="minorHAnsi"/>
        </w:rPr>
        <w:t>Organización Mundial de la Salud</w:t>
      </w:r>
      <w:r w:rsidRPr="0051709F">
        <w:rPr>
          <w:rFonts w:eastAsia="Open Sans" w:cstheme="minorHAnsi"/>
          <w:color w:val="222222"/>
          <w:highlight w:val="white"/>
        </w:rPr>
        <w:t xml:space="preserve">, en el informe </w:t>
      </w:r>
      <w:r w:rsidRPr="0051709F">
        <w:rPr>
          <w:rFonts w:eastAsia="Open Sans" w:cstheme="minorHAnsi"/>
          <w:i/>
          <w:iCs/>
          <w:color w:val="222222"/>
          <w:highlight w:val="white"/>
        </w:rPr>
        <w:t xml:space="preserve">Global </w:t>
      </w:r>
      <w:proofErr w:type="spellStart"/>
      <w:r w:rsidRPr="0051709F">
        <w:rPr>
          <w:rFonts w:eastAsia="Open Sans" w:cstheme="minorHAnsi"/>
          <w:i/>
          <w:iCs/>
          <w:color w:val="222222"/>
          <w:highlight w:val="white"/>
        </w:rPr>
        <w:t>action</w:t>
      </w:r>
      <w:proofErr w:type="spellEnd"/>
      <w:r w:rsidRPr="0051709F">
        <w:rPr>
          <w:rFonts w:eastAsia="Open Sans" w:cstheme="minorHAnsi"/>
          <w:i/>
          <w:iCs/>
          <w:color w:val="222222"/>
          <w:highlight w:val="white"/>
        </w:rPr>
        <w:t xml:space="preserve"> plan </w:t>
      </w:r>
      <w:proofErr w:type="spellStart"/>
      <w:r w:rsidRPr="0051709F">
        <w:rPr>
          <w:rFonts w:eastAsia="Open Sans" w:cstheme="minorHAnsi"/>
          <w:i/>
          <w:iCs/>
          <w:color w:val="222222"/>
          <w:highlight w:val="white"/>
        </w:rPr>
        <w:t>on</w:t>
      </w:r>
      <w:proofErr w:type="spellEnd"/>
      <w:r w:rsidRPr="0051709F">
        <w:rPr>
          <w:rFonts w:eastAsia="Open Sans" w:cstheme="minorHAnsi"/>
          <w:i/>
          <w:iCs/>
          <w:color w:val="222222"/>
          <w:highlight w:val="white"/>
        </w:rPr>
        <w:t xml:space="preserve"> </w:t>
      </w:r>
      <w:proofErr w:type="spellStart"/>
      <w:r w:rsidRPr="0051709F">
        <w:rPr>
          <w:rFonts w:eastAsia="Open Sans" w:cstheme="minorHAnsi"/>
          <w:i/>
          <w:iCs/>
          <w:color w:val="222222"/>
          <w:highlight w:val="white"/>
        </w:rPr>
        <w:t>physical</w:t>
      </w:r>
      <w:proofErr w:type="spellEnd"/>
      <w:r w:rsidRPr="0051709F">
        <w:rPr>
          <w:rFonts w:eastAsia="Open Sans" w:cstheme="minorHAnsi"/>
          <w:i/>
          <w:iCs/>
          <w:color w:val="222222"/>
          <w:highlight w:val="white"/>
        </w:rPr>
        <w:t xml:space="preserve"> </w:t>
      </w:r>
      <w:proofErr w:type="spellStart"/>
      <w:r w:rsidRPr="0051709F">
        <w:rPr>
          <w:rFonts w:eastAsia="Open Sans" w:cstheme="minorHAnsi"/>
          <w:i/>
          <w:iCs/>
          <w:color w:val="222222"/>
          <w:highlight w:val="white"/>
        </w:rPr>
        <w:t>activity</w:t>
      </w:r>
      <w:proofErr w:type="spellEnd"/>
      <w:r w:rsidRPr="0051709F">
        <w:rPr>
          <w:rFonts w:eastAsia="Open Sans" w:cstheme="minorHAnsi"/>
          <w:i/>
          <w:iCs/>
          <w:color w:val="222222"/>
          <w:highlight w:val="white"/>
        </w:rPr>
        <w:t xml:space="preserve"> 2018-2030</w:t>
      </w:r>
      <w:r w:rsidRPr="0051709F">
        <w:rPr>
          <w:rFonts w:eastAsia="Open Sans" w:cstheme="minorHAnsi"/>
          <w:color w:val="222222"/>
          <w:highlight w:val="white"/>
        </w:rPr>
        <w:t xml:space="preserve"> </w:t>
      </w:r>
      <w:sdt>
        <w:sdtPr>
          <w:rPr>
            <w:rFonts w:eastAsia="Open Sans" w:cstheme="minorHAnsi"/>
            <w:color w:val="000000"/>
            <w:highlight w:val="white"/>
          </w:rPr>
          <w:tag w:val="MENDELEY_CITATION_v3_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"/>
          <w:id w:val="1434862650"/>
          <w:placeholder>
            <w:docPart w:val="B62044B0AEE982468526D76406A053AC"/>
          </w:placeholder>
        </w:sdtPr>
        <w:sdtContent>
          <w:r w:rsidRPr="0051709F">
            <w:rPr>
              <w:rFonts w:eastAsia="Open Sans" w:cstheme="minorHAnsi"/>
              <w:color w:val="000000"/>
              <w:highlight w:val="white"/>
            </w:rPr>
            <w:t>(</w:t>
          </w:r>
          <w:proofErr w:type="spellStart"/>
          <w:r w:rsidRPr="0051709F">
            <w:rPr>
              <w:rFonts w:eastAsia="Open Sans" w:cstheme="minorHAnsi"/>
              <w:color w:val="000000"/>
              <w:highlight w:val="white"/>
            </w:rPr>
            <w:t>World</w:t>
          </w:r>
          <w:proofErr w:type="spellEnd"/>
          <w:r w:rsidRPr="0051709F">
            <w:rPr>
              <w:rFonts w:eastAsia="Open Sans" w:cstheme="minorHAnsi"/>
              <w:color w:val="000000"/>
              <w:highlight w:val="white"/>
            </w:rPr>
            <w:t xml:space="preserve"> </w:t>
          </w:r>
          <w:proofErr w:type="spellStart"/>
          <w:r w:rsidRPr="0051709F">
            <w:rPr>
              <w:rFonts w:eastAsia="Open Sans" w:cstheme="minorHAnsi"/>
              <w:color w:val="000000"/>
              <w:highlight w:val="white"/>
            </w:rPr>
            <w:t>Health</w:t>
          </w:r>
          <w:proofErr w:type="spellEnd"/>
          <w:r w:rsidRPr="0051709F">
            <w:rPr>
              <w:rFonts w:eastAsia="Open Sans" w:cstheme="minorHAnsi"/>
              <w:color w:val="000000"/>
              <w:highlight w:val="white"/>
            </w:rPr>
            <w:t xml:space="preserve"> </w:t>
          </w:r>
          <w:proofErr w:type="spellStart"/>
          <w:r w:rsidRPr="0051709F">
            <w:rPr>
              <w:rFonts w:eastAsia="Open Sans" w:cstheme="minorHAnsi"/>
              <w:color w:val="000000"/>
              <w:highlight w:val="white"/>
            </w:rPr>
            <w:t>Organization</w:t>
          </w:r>
          <w:proofErr w:type="spellEnd"/>
          <w:r w:rsidRPr="0051709F">
            <w:rPr>
              <w:rFonts w:eastAsia="Open Sans" w:cstheme="minorHAnsi"/>
              <w:color w:val="000000"/>
              <w:highlight w:val="white"/>
            </w:rPr>
            <w:t>, 2018)</w:t>
          </w:r>
        </w:sdtContent>
      </w:sdt>
      <w:r w:rsidRPr="0051709F">
        <w:rPr>
          <w:rFonts w:eastAsia="Open Sans" w:cstheme="minorHAnsi"/>
          <w:color w:val="000000"/>
          <w:highlight w:val="white"/>
        </w:rPr>
        <w:t xml:space="preserve"> destaca como principal misión </w:t>
      </w:r>
      <w:r w:rsidRPr="0051709F">
        <w:rPr>
          <w:rFonts w:eastAsia="Open Sans" w:cstheme="minorHAnsi"/>
          <w:color w:val="222222"/>
          <w:highlight w:val="white"/>
        </w:rPr>
        <w:t>garantizar que todas las personas, sin importar edad, género, procedencia o condición, tengan acceso a entornos seguros que propicien la práctica de actividad física y el deporte y que a su vez ofrezcan diversas oportunidades para ser personas físicamente activas en su día a día, como medio para mejorar a nivel individual y comunitario en las dimensiones de salud, social, cultural y económica (de ED1 a ED7).</w:t>
      </w:r>
    </w:p>
    <w:p w14:paraId="1B411CF0" w14:textId="77777777" w:rsidR="002773E8" w:rsidRPr="0051709F" w:rsidRDefault="002773E8" w:rsidP="002773E8">
      <w:pPr>
        <w:rPr>
          <w:rFonts w:eastAsia="Open Sans" w:cstheme="minorHAnsi"/>
          <w:color w:val="222222"/>
          <w:highlight w:val="white"/>
        </w:rPr>
      </w:pPr>
    </w:p>
    <w:p w14:paraId="2BFFDAC9" w14:textId="77777777" w:rsidR="002773E8"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A nivel europeo, existen diferentes iniciativas pioneras en la promoción de la actividad física que integran una perspectiva inclusiva para la reducción de las desigualdades sociales. </w:t>
      </w:r>
    </w:p>
    <w:p w14:paraId="11792252" w14:textId="77777777" w:rsidR="002773E8" w:rsidRPr="0051709F" w:rsidRDefault="002773E8" w:rsidP="002773E8">
      <w:pPr>
        <w:jc w:val="both"/>
        <w:rPr>
          <w:rFonts w:eastAsia="Open Sans" w:cstheme="minorHAnsi"/>
          <w:color w:val="222222"/>
          <w:highlight w:val="white"/>
        </w:rPr>
      </w:pPr>
    </w:p>
    <w:p w14:paraId="6F265A56" w14:textId="77777777" w:rsidR="002773E8" w:rsidRPr="0051709F" w:rsidRDefault="002773E8" w:rsidP="002773E8">
      <w:pPr>
        <w:jc w:val="both"/>
        <w:rPr>
          <w:rFonts w:eastAsia="Open Sans" w:cstheme="minorHAnsi"/>
          <w:color w:val="222222"/>
          <w:highlight w:val="white"/>
        </w:rPr>
      </w:pPr>
      <w:r w:rsidRPr="0051709F">
        <w:rPr>
          <w:rFonts w:eastAsia="Open Sans" w:cstheme="minorHAnsi"/>
          <w:color w:val="222222"/>
          <w:highlight w:val="white"/>
        </w:rPr>
        <w:t xml:space="preserve">En Finlandia, la estrategia nacional de promoción de la actividad física y bienestar del 2020 liderada por el propio gobierno propone diferentes ejes de acción para acelerar la inclusión social a través de la actividad física y el deporte. El primer eje se relaciona con la equidad de la práctica de actividad física en función del nivel socioeconómico de las personas (ED3). En esta línea, la estrategia nacional finlandesa propone que los clubes deportivos ofrezcan a los niños y a las niñas y adolescentes oportunidades de practicar actividad física de ocio y competición sobre una base más ética e igualitaria y, de este modo, reducir el impacto de los fenómenos de abandono y falta de adherencia (ED2, ED4, ED6 y ED7). En ese sentido, también se contemplan precios más razonables en la práctica de actividad física en el tiempo libre y la promoción del deporte para que todos </w:t>
      </w:r>
      <w:proofErr w:type="gramStart"/>
      <w:r w:rsidRPr="0051709F">
        <w:rPr>
          <w:rFonts w:eastAsia="Open Sans" w:cstheme="minorHAnsi"/>
          <w:color w:val="222222"/>
          <w:highlight w:val="white"/>
        </w:rPr>
        <w:t>los niños y las niñas</w:t>
      </w:r>
      <w:proofErr w:type="gramEnd"/>
      <w:r w:rsidRPr="0051709F">
        <w:rPr>
          <w:rFonts w:eastAsia="Open Sans" w:cstheme="minorHAnsi"/>
          <w:color w:val="222222"/>
          <w:highlight w:val="white"/>
        </w:rPr>
        <w:t xml:space="preserve"> puedan acceder a este tipo de extraescolares. Sin embargo, al mismo tiempo las escuelas, la sanidad escolar y otras instituciones del sector público deberían proporcionar más recursos y asociaciones, ya que a menudo suele ser la mejor manera de llegar a las personas físicamente inactivas.</w:t>
      </w:r>
    </w:p>
    <w:p w14:paraId="5534BEA6" w14:textId="77777777" w:rsidR="00EF3BE6" w:rsidRPr="0051709F" w:rsidRDefault="00EF3BE6" w:rsidP="002773E8">
      <w:pPr>
        <w:jc w:val="both"/>
        <w:rPr>
          <w:rFonts w:eastAsia="Open Sans" w:cstheme="minorHAnsi"/>
          <w:color w:val="222222"/>
          <w:highlight w:val="white"/>
        </w:rPr>
      </w:pPr>
    </w:p>
    <w:p w14:paraId="2D647813" w14:textId="335FF88C" w:rsidR="002773E8" w:rsidRPr="0051709F" w:rsidRDefault="002773E8" w:rsidP="002773E8">
      <w:pPr>
        <w:jc w:val="both"/>
        <w:rPr>
          <w:rFonts w:eastAsia="Open Sans" w:cstheme="minorHAnsi"/>
          <w:color w:val="000000"/>
        </w:rPr>
      </w:pPr>
      <w:r w:rsidRPr="0051709F">
        <w:rPr>
          <w:rFonts w:eastAsia="Open Sans" w:cstheme="minorHAnsi"/>
          <w:color w:val="222222"/>
        </w:rPr>
        <w:t xml:space="preserve">La principal medida que ha adoptado Finlandia para reducir las diferencias socioeconómicas y reforzar la igualdad en el ámbito de la actividad física ha sido aumentar las subvenciones para el desarrollo de clubes deportivos y el desarrollo de la actividad física para personas inmigrantes (ED3 y ED4). El apoyo a los clubes deportivos les ayuda a aplicar las políticas establecidas en el Programa de Gobierno, en particular los apartados relativos a la igualdad en las actividades de ocio en niños, niñas y adolescentes, y a promover el desarrollo de actividades en los clubes en situación de vulnerabilidad socioeconómica (ED1, ED2 y ED3). Otro eje de la estrategia finlandesa aborda la atención a la diversidad en la promoción de actividad física y el deporte (ED6). La participación en actividades físicas especiales y deportes para personas con alguna discapacidad o diversidad funcional puede ayudar a las personas a alcanzar sus objetivos de rehabilitación. Se propone contar con especialistas deportivos con titulación específica que coordinen los servicios de actividad física para esos colectivos con el objetivo principal de poder adaptar la actividad física a las características individuales. Por otro lado, también se contempla contar con instalaciones sin barreras para fomentar la inclusividad (ED2, ED4, ED6 y ED7) </w:t>
      </w:r>
      <w:sdt>
        <w:sdtPr>
          <w:rPr>
            <w:rFonts w:eastAsia="Open Sans" w:cstheme="minorHAnsi"/>
            <w:color w:val="000000"/>
          </w:rPr>
          <w:tag w:val="MENDELEY_CITATION_v3_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"/>
          <w:id w:val="-667326218"/>
          <w:placeholder>
            <w:docPart w:val="B62044B0AEE982468526D76406A053AC"/>
          </w:placeholder>
        </w:sdtPr>
        <w:sdtContent>
          <w:r w:rsidRPr="0051709F">
            <w:rPr>
              <w:rFonts w:eastAsia="Open Sans" w:cstheme="minorHAnsi"/>
              <w:color w:val="000000"/>
            </w:rPr>
            <w:t>(</w:t>
          </w:r>
          <w:proofErr w:type="spellStart"/>
          <w:r w:rsidRPr="0051709F">
            <w:rPr>
              <w:rFonts w:eastAsia="Open Sans" w:cstheme="minorHAnsi"/>
              <w:color w:val="000000"/>
            </w:rPr>
            <w:t>Ministry</w:t>
          </w:r>
          <w:proofErr w:type="spellEnd"/>
          <w:r w:rsidRPr="0051709F">
            <w:rPr>
              <w:rFonts w:eastAsia="Open Sans" w:cstheme="minorHAnsi"/>
              <w:color w:val="000000"/>
            </w:rPr>
            <w:t xml:space="preserve"> </w:t>
          </w:r>
          <w:proofErr w:type="spellStart"/>
          <w:r w:rsidRPr="0051709F">
            <w:rPr>
              <w:rFonts w:eastAsia="Open Sans" w:cstheme="minorHAnsi"/>
              <w:color w:val="000000"/>
            </w:rPr>
            <w:t>of</w:t>
          </w:r>
          <w:proofErr w:type="spellEnd"/>
          <w:r w:rsidRPr="0051709F">
            <w:rPr>
              <w:rFonts w:eastAsia="Open Sans" w:cstheme="minorHAnsi"/>
              <w:color w:val="000000"/>
            </w:rPr>
            <w:t xml:space="preserve"> Social </w:t>
          </w:r>
          <w:proofErr w:type="spellStart"/>
          <w:r w:rsidRPr="0051709F">
            <w:rPr>
              <w:rFonts w:eastAsia="Open Sans" w:cstheme="minorHAnsi"/>
              <w:color w:val="000000"/>
            </w:rPr>
            <w:t>Affairs</w:t>
          </w:r>
          <w:proofErr w:type="spellEnd"/>
          <w:r w:rsidRPr="0051709F">
            <w:rPr>
              <w:rFonts w:eastAsia="Open Sans" w:cstheme="minorHAnsi"/>
              <w:color w:val="000000"/>
            </w:rPr>
            <w:t xml:space="preserve"> and </w:t>
          </w:r>
          <w:proofErr w:type="spellStart"/>
          <w:r w:rsidRPr="0051709F">
            <w:rPr>
              <w:rFonts w:eastAsia="Open Sans" w:cstheme="minorHAnsi"/>
              <w:color w:val="000000"/>
            </w:rPr>
            <w:t>Health</w:t>
          </w:r>
          <w:proofErr w:type="spellEnd"/>
          <w:r w:rsidRPr="0051709F">
            <w:rPr>
              <w:rFonts w:eastAsia="Open Sans" w:cstheme="minorHAnsi"/>
              <w:color w:val="000000"/>
            </w:rPr>
            <w:t>, 2020)</w:t>
          </w:r>
          <w:r w:rsidR="00CB5D60">
            <w:rPr>
              <w:rFonts w:eastAsia="Open Sans" w:cstheme="minorHAnsi"/>
              <w:color w:val="000000"/>
            </w:rPr>
            <w:t>.</w:t>
          </w:r>
        </w:sdtContent>
      </w:sdt>
    </w:p>
    <w:p w14:paraId="2A069DA2" w14:textId="77777777" w:rsidR="00EF3BE6" w:rsidRPr="0051709F" w:rsidRDefault="00EF3BE6" w:rsidP="002773E8">
      <w:pPr>
        <w:jc w:val="both"/>
        <w:rPr>
          <w:rFonts w:eastAsia="Open Sans" w:cstheme="minorHAnsi"/>
          <w:color w:val="222222"/>
          <w:highlight w:val="white"/>
        </w:rPr>
      </w:pPr>
    </w:p>
    <w:p w14:paraId="025F3ADC" w14:textId="5851D556" w:rsidR="002773E8" w:rsidRPr="0051709F" w:rsidRDefault="002773E8" w:rsidP="002773E8">
      <w:pPr>
        <w:jc w:val="both"/>
        <w:rPr>
          <w:rFonts w:eastAsia="Open Sans" w:cstheme="minorHAnsi"/>
          <w:color w:val="000000"/>
        </w:rPr>
      </w:pPr>
      <w:r w:rsidRPr="0051709F">
        <w:rPr>
          <w:rFonts w:eastAsia="Open Sans" w:cstheme="minorHAnsi"/>
          <w:color w:val="222222"/>
        </w:rPr>
        <w:t xml:space="preserve">En Irlanda, la estrategia nacional contempla principalmente el desarrollo de directrices, materiales de apoyo y vías de derivación para promover la actividad física en organizaciones que prestan servicios de salud mental y servicios para personas que viven con discapacidad o diversidad funcional (ED5 y ED6). Si a nivel estructural se despliegan más iniciativas para el desarrollo de intervenciones a nivel comunitario, mediante la propuesta de mejores acuerdos de colaboración de trabajo y una mejor programación basada en la evidencia científica, se asegura el abordaje de las principales barreras referentes a la práctica de actividad física y deporte. También se debe fomentar la accesibilidad y el aumento de las oportunidades de participación de la actividad física en aquellos colectivos más desfavorecidos (ED1 a ED7) </w:t>
      </w:r>
      <w:sdt>
        <w:sdtPr>
          <w:rPr>
            <w:rFonts w:eastAsia="Open Sans" w:cstheme="minorHAnsi"/>
            <w:color w:val="000000"/>
          </w:rPr>
          <w:tag w:val="MENDELEY_CITATION_v3_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"/>
          <w:id w:val="1473947552"/>
          <w:placeholder>
            <w:docPart w:val="B62044B0AEE982468526D76406A053AC"/>
          </w:placeholder>
        </w:sdtPr>
        <w:sdtContent>
          <w:r w:rsidRPr="0051709F">
            <w:rPr>
              <w:rFonts w:eastAsia="Open Sans" w:cstheme="minorHAnsi"/>
              <w:color w:val="000000"/>
            </w:rPr>
            <w:t>(</w:t>
          </w:r>
          <w:proofErr w:type="spellStart"/>
          <w:r w:rsidRPr="0051709F">
            <w:rPr>
              <w:rFonts w:eastAsia="Open Sans" w:cstheme="minorHAnsi"/>
              <w:color w:val="000000"/>
            </w:rPr>
            <w:t>Department</w:t>
          </w:r>
          <w:proofErr w:type="spellEnd"/>
          <w:r w:rsidRPr="0051709F">
            <w:rPr>
              <w:rFonts w:eastAsia="Open Sans" w:cstheme="minorHAnsi"/>
              <w:color w:val="000000"/>
            </w:rPr>
            <w:t xml:space="preserve"> </w:t>
          </w:r>
          <w:proofErr w:type="spellStart"/>
          <w:r w:rsidRPr="0051709F">
            <w:rPr>
              <w:rFonts w:eastAsia="Open Sans" w:cstheme="minorHAnsi"/>
              <w:color w:val="000000"/>
            </w:rPr>
            <w:t>Of</w:t>
          </w:r>
          <w:proofErr w:type="spellEnd"/>
          <w:r w:rsidRPr="0051709F">
            <w:rPr>
              <w:rFonts w:eastAsia="Open Sans" w:cstheme="minorHAnsi"/>
              <w:color w:val="000000"/>
            </w:rPr>
            <w:t xml:space="preserve"> </w:t>
          </w:r>
          <w:proofErr w:type="spellStart"/>
          <w:r w:rsidRPr="0051709F">
            <w:rPr>
              <w:rFonts w:eastAsia="Open Sans" w:cstheme="minorHAnsi"/>
              <w:color w:val="000000"/>
            </w:rPr>
            <w:t>Health</w:t>
          </w:r>
          <w:proofErr w:type="spellEnd"/>
          <w:r w:rsidRPr="0051709F">
            <w:rPr>
              <w:rFonts w:eastAsia="Open Sans" w:cstheme="minorHAnsi"/>
              <w:color w:val="000000"/>
            </w:rPr>
            <w:t>, 2016)</w:t>
          </w:r>
          <w:r w:rsidR="00CB5D60">
            <w:rPr>
              <w:rFonts w:eastAsia="Open Sans" w:cstheme="minorHAnsi"/>
              <w:color w:val="000000"/>
            </w:rPr>
            <w:t>.</w:t>
          </w:r>
        </w:sdtContent>
      </w:sdt>
    </w:p>
    <w:p w14:paraId="7B25A382" w14:textId="77777777" w:rsidR="00EF3BE6" w:rsidRPr="0051709F" w:rsidRDefault="00EF3BE6" w:rsidP="002773E8">
      <w:pPr>
        <w:jc w:val="both"/>
        <w:rPr>
          <w:rFonts w:eastAsia="Open Sans" w:cstheme="minorHAnsi"/>
          <w:color w:val="222222"/>
        </w:rPr>
      </w:pPr>
    </w:p>
    <w:p w14:paraId="1A61C81D" w14:textId="45DB5B80" w:rsidR="002773E8" w:rsidRPr="0051709F" w:rsidRDefault="002773E8" w:rsidP="002773E8">
      <w:pPr>
        <w:jc w:val="both"/>
        <w:rPr>
          <w:rFonts w:eastAsia="Open Sans" w:cstheme="minorHAnsi"/>
          <w:color w:val="222222"/>
          <w:highlight w:val="white"/>
        </w:rPr>
      </w:pPr>
      <w:r w:rsidRPr="0051709F">
        <w:rPr>
          <w:rFonts w:eastAsia="Open Sans" w:cstheme="minorHAnsi"/>
          <w:color w:val="222222"/>
        </w:rPr>
        <w:t>En Francia, se contemplan 8 medidas clave para la promoción de la actividad física, siendo 2 de estas medidas</w:t>
      </w:r>
      <w:r w:rsidR="00CB5D60">
        <w:rPr>
          <w:rFonts w:eastAsia="Open Sans" w:cstheme="minorHAnsi"/>
          <w:color w:val="222222"/>
        </w:rPr>
        <w:t>,</w:t>
      </w:r>
      <w:r w:rsidRPr="0051709F">
        <w:rPr>
          <w:rFonts w:eastAsia="Open Sans" w:cstheme="minorHAnsi"/>
          <w:color w:val="222222"/>
        </w:rPr>
        <w:t xml:space="preserve"> promotoras de la inclusión social. Así pues, se fomenta un desarrollo de la educación física y el deporte para niños, niñas y adolescentes que viven </w:t>
      </w:r>
      <w:r w:rsidRPr="0051709F">
        <w:rPr>
          <w:rFonts w:eastAsia="Open Sans" w:cstheme="minorHAnsi"/>
          <w:color w:val="222222"/>
        </w:rPr>
        <w:lastRenderedPageBreak/>
        <w:t>con alguna discapacidad. También se promueve una atención especial a la accesibilidad de las instalaciones deportivas para personas con diversidad funcional (ED6).</w:t>
      </w:r>
    </w:p>
    <w:p w14:paraId="397267E9" w14:textId="77777777" w:rsidR="00EF3BE6" w:rsidRPr="0051709F" w:rsidRDefault="00EF3BE6" w:rsidP="002773E8">
      <w:pPr>
        <w:ind w:left="40"/>
        <w:jc w:val="both"/>
        <w:rPr>
          <w:rFonts w:eastAsia="Open Sans" w:cstheme="minorHAnsi"/>
          <w:b/>
          <w:color w:val="222222"/>
          <w:highlight w:val="white"/>
        </w:rPr>
      </w:pPr>
    </w:p>
    <w:p w14:paraId="1BD5CD55" w14:textId="77B91F2B" w:rsidR="002773E8" w:rsidRPr="0051709F" w:rsidRDefault="002773E8" w:rsidP="003906F1">
      <w:pPr>
        <w:pStyle w:val="Ttulo2"/>
        <w:numPr>
          <w:ilvl w:val="0"/>
          <w:numId w:val="0"/>
        </w:numPr>
        <w:ind w:left="40"/>
        <w:rPr>
          <w:rFonts w:asciiTheme="minorHAnsi" w:eastAsia="Open Sans" w:hAnsiTheme="minorHAnsi" w:cstheme="minorHAnsi"/>
          <w:i/>
          <w:color w:val="C00000"/>
          <w:sz w:val="24"/>
          <w:szCs w:val="24"/>
          <w:lang w:val="es-ES"/>
        </w:rPr>
      </w:pPr>
      <w:r w:rsidRPr="0051709F">
        <w:rPr>
          <w:rFonts w:asciiTheme="minorHAnsi" w:eastAsia="Open Sans" w:hAnsiTheme="minorHAnsi" w:cstheme="minorHAnsi"/>
          <w:sz w:val="24"/>
          <w:szCs w:val="24"/>
          <w:highlight w:val="white"/>
          <w:lang w:val="es-ES"/>
        </w:rPr>
        <w:t>Características clave para el diseño de iniciativas de promoción de la actividad física y la inclusión social</w:t>
      </w:r>
    </w:p>
    <w:p w14:paraId="5F0FF7B5" w14:textId="77777777" w:rsidR="00EF3BE6" w:rsidRPr="0051709F" w:rsidRDefault="00EF3BE6" w:rsidP="002773E8">
      <w:pPr>
        <w:ind w:left="40"/>
        <w:jc w:val="both"/>
        <w:rPr>
          <w:rFonts w:eastAsia="Open Sans" w:cstheme="minorHAnsi"/>
          <w:i/>
          <w:color w:val="C00000"/>
        </w:rPr>
      </w:pPr>
    </w:p>
    <w:p w14:paraId="41EAE3B3" w14:textId="77777777" w:rsidR="00EF3BE6" w:rsidRPr="0051709F" w:rsidRDefault="002773E8" w:rsidP="002773E8">
      <w:pPr>
        <w:ind w:left="40"/>
        <w:jc w:val="both"/>
        <w:rPr>
          <w:rFonts w:eastAsia="Open Sans" w:cstheme="minorHAnsi"/>
          <w:color w:val="000000"/>
          <w:highlight w:val="white"/>
        </w:rPr>
      </w:pPr>
      <w:r w:rsidRPr="0051709F">
        <w:rPr>
          <w:rFonts w:eastAsia="Open Sans" w:cstheme="minorHAnsi"/>
          <w:color w:val="222222"/>
          <w:highlight w:val="white"/>
        </w:rPr>
        <w:t xml:space="preserve">En el marco del estudio publicado por </w:t>
      </w:r>
      <w:proofErr w:type="spellStart"/>
      <w:r w:rsidRPr="0053027D">
        <w:rPr>
          <w:rFonts w:eastAsia="Open Sans" w:cstheme="minorHAnsi"/>
          <w:i/>
          <w:iCs/>
          <w:color w:val="222222"/>
          <w:highlight w:val="white"/>
        </w:rPr>
        <w:t>The</w:t>
      </w:r>
      <w:proofErr w:type="spellEnd"/>
      <w:r w:rsidRPr="0053027D">
        <w:rPr>
          <w:rFonts w:eastAsia="Open Sans" w:cstheme="minorHAnsi"/>
          <w:i/>
          <w:iCs/>
          <w:color w:val="222222"/>
          <w:highlight w:val="white"/>
        </w:rPr>
        <w:t xml:space="preserve"> Lancet</w:t>
      </w:r>
      <w:r w:rsidRPr="0051709F">
        <w:rPr>
          <w:rFonts w:eastAsia="Open Sans" w:cstheme="minorHAnsi"/>
          <w:b/>
          <w:color w:val="222222"/>
          <w:highlight w:val="white"/>
        </w:rPr>
        <w:t xml:space="preserve"> </w:t>
      </w:r>
      <w:sdt>
        <w:sdtPr>
          <w:rPr>
            <w:rFonts w:eastAsia="Open Sans" w:cstheme="minorHAnsi"/>
            <w:color w:val="000000"/>
            <w:highlight w:val="white"/>
          </w:rPr>
          <w:tag w:val="MENDELEY_CITATION_v3_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"/>
          <w:id w:val="-619066669"/>
          <w:placeholder>
            <w:docPart w:val="B62044B0AEE982468526D76406A053AC"/>
          </w:placeholder>
        </w:sdtPr>
        <w:sdtContent>
          <w:r w:rsidRPr="0051709F">
            <w:rPr>
              <w:rFonts w:eastAsia="Open Sans" w:cstheme="minorHAnsi"/>
              <w:color w:val="000000"/>
              <w:highlight w:val="white"/>
            </w:rPr>
            <w:t>(</w:t>
          </w:r>
          <w:proofErr w:type="spellStart"/>
          <w:r w:rsidRPr="0051709F">
            <w:rPr>
              <w:rFonts w:eastAsia="Open Sans" w:cstheme="minorHAnsi"/>
              <w:color w:val="000000"/>
              <w:highlight w:val="white"/>
            </w:rPr>
            <w:t>Guthold</w:t>
          </w:r>
          <w:proofErr w:type="spellEnd"/>
          <w:r w:rsidRPr="0051709F">
            <w:rPr>
              <w:rFonts w:eastAsia="Open Sans" w:cstheme="minorHAnsi"/>
              <w:color w:val="000000"/>
              <w:highlight w:val="white"/>
            </w:rPr>
            <w:t xml:space="preserve"> et al., 2018)</w:t>
          </w:r>
        </w:sdtContent>
      </w:sdt>
      <w:r w:rsidRPr="0051709F">
        <w:rPr>
          <w:rFonts w:eastAsia="Open Sans" w:cstheme="minorHAnsi"/>
          <w:color w:val="000000"/>
          <w:highlight w:val="white"/>
        </w:rPr>
        <w:t xml:space="preserve"> se proponen un continuo de propuestas de acción coordinadas y basadas en la evidencia científica que tratan de definir una estrategia específica de promoción de la actividad física y el deporte a corto, medio y largo plazo.</w:t>
      </w:r>
    </w:p>
    <w:p w14:paraId="61AA69C5" w14:textId="77777777" w:rsidR="00EF3BE6" w:rsidRPr="0051709F" w:rsidRDefault="00EF3BE6" w:rsidP="002773E8">
      <w:pPr>
        <w:ind w:left="40"/>
        <w:jc w:val="both"/>
        <w:rPr>
          <w:rFonts w:eastAsia="Open Sans" w:cstheme="minorHAnsi"/>
          <w:color w:val="000000"/>
          <w:highlight w:val="white"/>
        </w:rPr>
      </w:pPr>
    </w:p>
    <w:p w14:paraId="5F5D432B" w14:textId="6B2E1361" w:rsidR="002773E8" w:rsidRPr="0051709F" w:rsidRDefault="002773E8" w:rsidP="002773E8">
      <w:pPr>
        <w:ind w:left="40"/>
        <w:jc w:val="both"/>
        <w:rPr>
          <w:rFonts w:eastAsia="Open Sans" w:cstheme="minorHAnsi"/>
          <w:color w:val="222222"/>
          <w:highlight w:val="white"/>
        </w:rPr>
      </w:pPr>
      <w:r w:rsidRPr="0051709F">
        <w:rPr>
          <w:rFonts w:eastAsia="Open Sans" w:cstheme="minorHAnsi"/>
          <w:color w:val="000000"/>
          <w:highlight w:val="white"/>
        </w:rPr>
        <w:t xml:space="preserve">Esta estrategia a nivel nacional pretende abordar los determinantes sociales, basados en el modelo de </w:t>
      </w:r>
      <w:proofErr w:type="spellStart"/>
      <w:r w:rsidRPr="0051709F">
        <w:rPr>
          <w:rFonts w:eastAsia="Open Sans" w:cstheme="minorHAnsi"/>
          <w:color w:val="222222"/>
          <w:highlight w:val="white"/>
        </w:rPr>
        <w:t>Dahlgren</w:t>
      </w:r>
      <w:proofErr w:type="spellEnd"/>
      <w:r w:rsidRPr="0051709F">
        <w:rPr>
          <w:rFonts w:eastAsia="Open Sans" w:cstheme="minorHAnsi"/>
          <w:color w:val="222222"/>
          <w:highlight w:val="white"/>
        </w:rPr>
        <w:t xml:space="preserve"> y Whitehead, que se relacionan con la inactividad física. Este modelo teórico explica que el fenómeno de la inactividad física no solo depende de factores del individuo sino también de factores estructurales como el entorno. En esta línea, la estrategia de reducción de la inactividad y el sedentarismo debe contemplar medidas principalmente estructurales y de implicación política para asegurar que después en cada una de las comunidades se lleve a cabo la implementación de medidas más concretas que promuevan un estilo de vida individual más activo. </w:t>
      </w:r>
    </w:p>
    <w:p w14:paraId="73EE4741" w14:textId="77777777" w:rsidR="00EF3BE6" w:rsidRPr="0051709F" w:rsidRDefault="00EF3BE6" w:rsidP="002773E8">
      <w:pPr>
        <w:ind w:left="40"/>
        <w:jc w:val="both"/>
        <w:rPr>
          <w:rFonts w:eastAsia="Open Sans" w:cstheme="minorHAnsi"/>
          <w:color w:val="222222"/>
          <w:highlight w:val="white"/>
        </w:rPr>
      </w:pPr>
    </w:p>
    <w:p w14:paraId="17E6C262" w14:textId="7026F729" w:rsidR="002773E8" w:rsidRPr="0051709F" w:rsidRDefault="002773E8" w:rsidP="002773E8">
      <w:pPr>
        <w:ind w:left="40"/>
        <w:jc w:val="both"/>
        <w:rPr>
          <w:rFonts w:eastAsia="Open Sans" w:cstheme="minorHAnsi"/>
          <w:color w:val="222222"/>
          <w:highlight w:val="white"/>
        </w:rPr>
      </w:pPr>
      <w:r w:rsidRPr="0051709F">
        <w:rPr>
          <w:rFonts w:eastAsia="Open Sans" w:cstheme="minorHAnsi"/>
          <w:color w:val="222222"/>
          <w:highlight w:val="white"/>
        </w:rPr>
        <w:t xml:space="preserve">Por ello, la Estrategia Nacional </w:t>
      </w:r>
      <w:r w:rsidR="007242D7">
        <w:rPr>
          <w:rFonts w:eastAsia="Open Sans" w:cstheme="minorHAnsi"/>
          <w:color w:val="222222"/>
          <w:highlight w:val="white"/>
        </w:rPr>
        <w:t>ha</w:t>
      </w:r>
      <w:r w:rsidR="007242D7" w:rsidRPr="0051709F">
        <w:rPr>
          <w:rFonts w:eastAsia="Open Sans" w:cstheme="minorHAnsi"/>
          <w:color w:val="222222"/>
          <w:highlight w:val="white"/>
        </w:rPr>
        <w:t xml:space="preserve"> </w:t>
      </w:r>
      <w:r w:rsidRPr="0051709F">
        <w:rPr>
          <w:rFonts w:eastAsia="Open Sans" w:cstheme="minorHAnsi"/>
          <w:color w:val="222222"/>
          <w:highlight w:val="white"/>
        </w:rPr>
        <w:t>contemplar las características clave que se presentan a</w:t>
      </w:r>
      <w:r w:rsidR="007242D7">
        <w:rPr>
          <w:rFonts w:eastAsia="Open Sans" w:cstheme="minorHAnsi"/>
          <w:color w:val="222222"/>
          <w:highlight w:val="white"/>
        </w:rPr>
        <w:t xml:space="preserve"> </w:t>
      </w:r>
      <w:r w:rsidRPr="0051709F">
        <w:rPr>
          <w:rFonts w:eastAsia="Open Sans" w:cstheme="minorHAnsi"/>
          <w:color w:val="222222"/>
          <w:highlight w:val="white"/>
        </w:rPr>
        <w:t xml:space="preserve">continuación y que deben fundamentar el diseño de iniciativas de promoción de la actividad física y el deporte como aceleradoras de la inclusión social y la reducción de las desigualdades sociales: </w:t>
      </w:r>
    </w:p>
    <w:p w14:paraId="39430B06" w14:textId="77777777" w:rsidR="00EF3BE6" w:rsidRPr="0051709F" w:rsidRDefault="00EF3BE6" w:rsidP="002773E8">
      <w:pPr>
        <w:ind w:left="40"/>
        <w:jc w:val="both"/>
        <w:rPr>
          <w:rFonts w:eastAsia="Open Sans" w:cstheme="minorHAnsi"/>
          <w:color w:val="222222"/>
          <w:highlight w:val="white"/>
        </w:rPr>
      </w:pPr>
    </w:p>
    <w:p w14:paraId="0ABBE373"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Perspectiva de género.</w:t>
      </w:r>
    </w:p>
    <w:p w14:paraId="65116EF1"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Motivación intrínseca</w:t>
      </w:r>
    </w:p>
    <w:p w14:paraId="68DA0E48"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Apoyo social</w:t>
      </w:r>
    </w:p>
    <w:p w14:paraId="1062CE3B" w14:textId="21E4E21F"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Adaptabilidad por edad</w:t>
      </w:r>
    </w:p>
    <w:p w14:paraId="398E5A64"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Conciliación y condiciones de vida</w:t>
      </w:r>
    </w:p>
    <w:p w14:paraId="252E8792"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Nivel socioeconómico</w:t>
      </w:r>
    </w:p>
    <w:p w14:paraId="0513AC55"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Atención a la diversidad</w:t>
      </w:r>
    </w:p>
    <w:p w14:paraId="5EC6E682" w14:textId="64C38D69"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Conocimiento sobre los beneficios de la actividad física</w:t>
      </w:r>
    </w:p>
    <w:p w14:paraId="0F85FAD2" w14:textId="7777777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Tiempo, espacio, habilidades e interés para la práctica de actividad física.</w:t>
      </w:r>
    </w:p>
    <w:p w14:paraId="21F40BDA" w14:textId="0770DDE7" w:rsidR="002773E8" w:rsidRPr="0051709F" w:rsidRDefault="002773E8" w:rsidP="00E6399B">
      <w:pPr>
        <w:numPr>
          <w:ilvl w:val="0"/>
          <w:numId w:val="72"/>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Empoderamiento</w:t>
      </w:r>
      <w:r w:rsidR="007242D7">
        <w:rPr>
          <w:rFonts w:eastAsia="Open Sans" w:cstheme="minorHAnsi"/>
          <w:color w:val="222222"/>
          <w:highlight w:val="white"/>
        </w:rPr>
        <w:t>.</w:t>
      </w:r>
    </w:p>
    <w:p w14:paraId="2A778190" w14:textId="77777777" w:rsidR="002773E8" w:rsidRPr="0051709F" w:rsidRDefault="002773E8" w:rsidP="002773E8">
      <w:pPr>
        <w:pBdr>
          <w:top w:val="nil"/>
          <w:left w:val="nil"/>
          <w:bottom w:val="nil"/>
          <w:right w:val="nil"/>
          <w:between w:val="nil"/>
        </w:pBdr>
        <w:ind w:left="400"/>
        <w:jc w:val="both"/>
        <w:rPr>
          <w:rFonts w:eastAsia="Open Sans" w:cstheme="minorHAnsi"/>
          <w:color w:val="222222"/>
          <w:highlight w:val="white"/>
        </w:rPr>
      </w:pPr>
    </w:p>
    <w:p w14:paraId="1949FC81" w14:textId="103A8BCA" w:rsidR="00374DB3" w:rsidRDefault="002773E8" w:rsidP="0053027D">
      <w:pPr>
        <w:ind w:left="40"/>
        <w:jc w:val="both"/>
        <w:rPr>
          <w:rFonts w:eastAsia="Open Sans" w:cstheme="minorHAnsi"/>
          <w:color w:val="222222"/>
          <w:highlight w:val="white"/>
        </w:rPr>
      </w:pPr>
      <w:r w:rsidRPr="0051709F">
        <w:rPr>
          <w:rFonts w:eastAsia="Open Sans" w:cstheme="minorHAnsi"/>
          <w:color w:val="222222"/>
          <w:highlight w:val="white"/>
        </w:rPr>
        <w:t xml:space="preserve">Estas características se aterrizan en distintas medidas concretas que se agrupan a nivel gubernamental, </w:t>
      </w:r>
      <w:r w:rsidR="007242D7">
        <w:rPr>
          <w:rFonts w:eastAsia="Open Sans" w:cstheme="minorHAnsi"/>
          <w:color w:val="222222"/>
          <w:highlight w:val="white"/>
        </w:rPr>
        <w:t>autonómico y local</w:t>
      </w:r>
      <w:r w:rsidRPr="0051709F">
        <w:rPr>
          <w:rFonts w:eastAsia="Open Sans" w:cstheme="minorHAnsi"/>
          <w:color w:val="222222"/>
          <w:highlight w:val="white"/>
        </w:rPr>
        <w:t xml:space="preserve">, relacional, familiar e individual según el modelo de determinantes sociales de </w:t>
      </w:r>
      <w:proofErr w:type="spellStart"/>
      <w:r w:rsidRPr="0051709F">
        <w:rPr>
          <w:rFonts w:eastAsia="Open Sans" w:cstheme="minorHAnsi"/>
          <w:color w:val="222222"/>
          <w:highlight w:val="white"/>
        </w:rPr>
        <w:t>Dahlgren</w:t>
      </w:r>
      <w:proofErr w:type="spellEnd"/>
      <w:r w:rsidRPr="0051709F">
        <w:rPr>
          <w:rFonts w:eastAsia="Open Sans" w:cstheme="minorHAnsi"/>
          <w:color w:val="222222"/>
          <w:highlight w:val="white"/>
        </w:rPr>
        <w:t xml:space="preserve"> y Whitehead</w:t>
      </w:r>
      <w:r w:rsidR="00EF3BE6" w:rsidRPr="0051709F">
        <w:rPr>
          <w:rFonts w:eastAsia="Open Sans" w:cstheme="minorHAnsi"/>
          <w:color w:val="222222"/>
          <w:highlight w:val="white"/>
        </w:rPr>
        <w:t xml:space="preserve"> (1991)</w:t>
      </w:r>
      <w:r w:rsidRPr="0051709F">
        <w:rPr>
          <w:rFonts w:eastAsia="Open Sans" w:cstheme="minorHAnsi"/>
          <w:color w:val="222222"/>
          <w:highlight w:val="white"/>
        </w:rPr>
        <w:t>.</w:t>
      </w:r>
    </w:p>
    <w:p w14:paraId="360F73C5" w14:textId="77777777" w:rsidR="00374DB3" w:rsidRPr="0051709F" w:rsidRDefault="00374DB3" w:rsidP="00EF3BE6">
      <w:pPr>
        <w:jc w:val="both"/>
        <w:rPr>
          <w:rFonts w:eastAsia="Open Sans" w:cstheme="minorHAnsi"/>
          <w:color w:val="222222"/>
          <w:highlight w:val="white"/>
        </w:rPr>
      </w:pPr>
    </w:p>
    <w:p w14:paraId="62C9368C" w14:textId="4922A119" w:rsidR="002773E8" w:rsidRPr="0051709F" w:rsidRDefault="002773E8" w:rsidP="00EF3BE6">
      <w:pPr>
        <w:jc w:val="both"/>
        <w:rPr>
          <w:rFonts w:eastAsia="Open Sans" w:cstheme="minorHAnsi"/>
          <w:iCs/>
          <w:color w:val="222222"/>
          <w:highlight w:val="white"/>
        </w:rPr>
      </w:pPr>
      <w:r w:rsidRPr="0051709F">
        <w:rPr>
          <w:rFonts w:eastAsia="Open Sans" w:cstheme="minorHAnsi"/>
          <w:b/>
          <w:iCs/>
          <w:color w:val="222222"/>
          <w:highlight w:val="white"/>
        </w:rPr>
        <w:t>Medidas gubernamentales:</w:t>
      </w:r>
      <w:r w:rsidRPr="0051709F">
        <w:rPr>
          <w:rFonts w:eastAsia="Open Sans" w:cstheme="minorHAnsi"/>
          <w:iCs/>
          <w:color w:val="222222"/>
          <w:highlight w:val="white"/>
        </w:rPr>
        <w:t xml:space="preserve"> </w:t>
      </w:r>
    </w:p>
    <w:p w14:paraId="7C3D4201" w14:textId="77777777" w:rsidR="00EF3BE6" w:rsidRPr="0051709F" w:rsidRDefault="00EF3BE6" w:rsidP="002773E8">
      <w:pPr>
        <w:ind w:left="360"/>
        <w:jc w:val="both"/>
        <w:rPr>
          <w:rFonts w:eastAsia="Open Sans" w:cstheme="minorHAnsi"/>
          <w:color w:val="222222"/>
          <w:highlight w:val="white"/>
        </w:rPr>
      </w:pPr>
    </w:p>
    <w:p w14:paraId="5C3E8115"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 xml:space="preserve">Impulsar políticas y leyes que promuevan la equidad de género y no discriminen por edad, nivel socioeconómico o atención a la diversidad en el marco de la práctica de la actividad física y el deporte. </w:t>
      </w:r>
    </w:p>
    <w:p w14:paraId="64EAF5DE" w14:textId="0FFD9A52"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lastRenderedPageBreak/>
        <w:t>Establecer políticas y leyes que aseguren una buena conciliación familiar y unas condiciones de vida óptimas</w:t>
      </w:r>
      <w:r w:rsidR="007242D7">
        <w:rPr>
          <w:rFonts w:eastAsia="Open Sans" w:cstheme="minorHAnsi"/>
          <w:color w:val="222222"/>
          <w:highlight w:val="white"/>
        </w:rPr>
        <w:t>,</w:t>
      </w:r>
      <w:r w:rsidRPr="0051709F">
        <w:rPr>
          <w:rFonts w:eastAsia="Open Sans" w:cstheme="minorHAnsi"/>
          <w:color w:val="222222"/>
          <w:highlight w:val="white"/>
        </w:rPr>
        <w:t xml:space="preserve"> regulando los horarios de trabajo para tener tiempo, espacio, habilidades e interés a la práctica de actividad física.</w:t>
      </w:r>
    </w:p>
    <w:p w14:paraId="24E72D6D" w14:textId="5B03ED48"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Impulsar una mayor oferta de actividades que impliquen actividad física para aquellos colectivos más vulnerables o que tienen mayor tendencia al abandono de una vida activa como</w:t>
      </w:r>
      <w:r w:rsidR="007242D7">
        <w:rPr>
          <w:rFonts w:eastAsia="Open Sans" w:cstheme="minorHAnsi"/>
          <w:color w:val="222222"/>
          <w:highlight w:val="white"/>
        </w:rPr>
        <w:t>,</w:t>
      </w:r>
      <w:r w:rsidRPr="0051709F">
        <w:rPr>
          <w:rFonts w:eastAsia="Open Sans" w:cstheme="minorHAnsi"/>
          <w:color w:val="222222"/>
          <w:highlight w:val="white"/>
        </w:rPr>
        <w:t xml:space="preserve"> por ejemplo</w:t>
      </w:r>
      <w:r w:rsidR="007242D7">
        <w:rPr>
          <w:rFonts w:eastAsia="Open Sans" w:cstheme="minorHAnsi"/>
          <w:color w:val="222222"/>
          <w:highlight w:val="white"/>
        </w:rPr>
        <w:t>,</w:t>
      </w:r>
      <w:r w:rsidRPr="0051709F">
        <w:rPr>
          <w:rFonts w:eastAsia="Open Sans" w:cstheme="minorHAnsi"/>
          <w:color w:val="222222"/>
          <w:highlight w:val="white"/>
        </w:rPr>
        <w:t xml:space="preserve"> el género femenino, personas con necesidades especiales, colectivos en situación de vulnerabilidad socioeconómica o personas mayores de 70 años.</w:t>
      </w:r>
    </w:p>
    <w:p w14:paraId="7DA18931" w14:textId="77777777" w:rsidR="00EF3BE6" w:rsidRPr="0051709F" w:rsidRDefault="00EF3BE6" w:rsidP="00EF3BE6">
      <w:pPr>
        <w:jc w:val="both"/>
        <w:rPr>
          <w:rFonts w:eastAsia="Open Sans" w:cstheme="minorHAnsi"/>
          <w:b/>
          <w:i/>
          <w:color w:val="222222"/>
          <w:highlight w:val="white"/>
          <w:u w:val="single"/>
        </w:rPr>
      </w:pPr>
    </w:p>
    <w:p w14:paraId="53C67807" w14:textId="64ED6D58" w:rsidR="002773E8" w:rsidRPr="0051709F" w:rsidRDefault="002773E8" w:rsidP="00EF3BE6">
      <w:pPr>
        <w:jc w:val="both"/>
        <w:rPr>
          <w:rFonts w:eastAsia="Open Sans" w:cstheme="minorHAnsi"/>
          <w:b/>
          <w:iCs/>
          <w:color w:val="222222"/>
          <w:highlight w:val="white"/>
        </w:rPr>
      </w:pPr>
      <w:r w:rsidRPr="0051709F">
        <w:rPr>
          <w:rFonts w:eastAsia="Open Sans" w:cstheme="minorHAnsi"/>
          <w:b/>
          <w:iCs/>
          <w:color w:val="222222"/>
          <w:highlight w:val="white"/>
        </w:rPr>
        <w:t xml:space="preserve">Medidas </w:t>
      </w:r>
      <w:r w:rsidR="007242D7">
        <w:rPr>
          <w:rFonts w:eastAsia="Open Sans" w:cstheme="minorHAnsi"/>
          <w:b/>
          <w:iCs/>
          <w:color w:val="222222"/>
          <w:highlight w:val="white"/>
        </w:rPr>
        <w:t>autonómic</w:t>
      </w:r>
      <w:r w:rsidR="007242D7" w:rsidRPr="0051709F">
        <w:rPr>
          <w:rFonts w:eastAsia="Open Sans" w:cstheme="minorHAnsi"/>
          <w:b/>
          <w:iCs/>
          <w:color w:val="222222"/>
          <w:highlight w:val="white"/>
        </w:rPr>
        <w:t>as</w:t>
      </w:r>
      <w:r w:rsidR="007242D7">
        <w:rPr>
          <w:rFonts w:eastAsia="Open Sans" w:cstheme="minorHAnsi"/>
          <w:b/>
          <w:iCs/>
          <w:color w:val="222222"/>
          <w:highlight w:val="white"/>
        </w:rPr>
        <w:t xml:space="preserve"> y locales</w:t>
      </w:r>
      <w:r w:rsidRPr="0051709F">
        <w:rPr>
          <w:rFonts w:eastAsia="Open Sans" w:cstheme="minorHAnsi"/>
          <w:b/>
          <w:iCs/>
          <w:color w:val="222222"/>
          <w:highlight w:val="white"/>
        </w:rPr>
        <w:t>:</w:t>
      </w:r>
    </w:p>
    <w:p w14:paraId="13D39D2E" w14:textId="77777777" w:rsidR="00EF3BE6" w:rsidRPr="0051709F" w:rsidRDefault="00EF3BE6" w:rsidP="00EF3BE6">
      <w:pPr>
        <w:jc w:val="both"/>
        <w:rPr>
          <w:rFonts w:eastAsia="Open Sans" w:cstheme="minorHAnsi"/>
          <w:b/>
          <w:i/>
          <w:color w:val="222222"/>
          <w:highlight w:val="white"/>
          <w:u w:val="single"/>
        </w:rPr>
      </w:pPr>
    </w:p>
    <w:p w14:paraId="7FF77EAE" w14:textId="0388A97B"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 xml:space="preserve">Favorecer la conciliación familiar, y subvencionar la práctica guiada de actividad física para toda la población española sin importar la edad, género, nivel socioeconómico, procedencia o condición. </w:t>
      </w:r>
    </w:p>
    <w:p w14:paraId="54C3C6C1"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 xml:space="preserve">Crear asociaciones vecinales o municipales que aporten apoyo social y seguridad en los entornos más desfavorecidos para que toda la población tenga oportunidad de practicar actividad física sin importar la brecha cultural. </w:t>
      </w:r>
    </w:p>
    <w:p w14:paraId="75ACC987"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Fomentar el conocimiento sobre los beneficios de la práctica de actividad física y de seguir un estilo de vida saludable en general, aumentando así el empoderamiento y la motivación intrínseca de la población. Esta medida se podría conseguir a través de campañas de comunicación y también a través de programas de promoción de la salud que trabajen con un abordaje holístico y multisectorial.</w:t>
      </w:r>
    </w:p>
    <w:p w14:paraId="48F11EB0" w14:textId="77777777" w:rsidR="00EF3BE6" w:rsidRPr="0051709F" w:rsidRDefault="00EF3BE6" w:rsidP="00EF3BE6">
      <w:pPr>
        <w:jc w:val="both"/>
        <w:rPr>
          <w:rFonts w:eastAsia="Open Sans" w:cstheme="minorHAnsi"/>
          <w:b/>
          <w:i/>
          <w:color w:val="222222"/>
          <w:highlight w:val="white"/>
          <w:u w:val="single"/>
        </w:rPr>
      </w:pPr>
    </w:p>
    <w:p w14:paraId="00BC4412" w14:textId="3841A203" w:rsidR="002773E8" w:rsidRPr="0051709F" w:rsidRDefault="002773E8" w:rsidP="00EF3BE6">
      <w:pPr>
        <w:jc w:val="both"/>
        <w:rPr>
          <w:rFonts w:eastAsia="Open Sans" w:cstheme="minorHAnsi"/>
          <w:iCs/>
          <w:color w:val="222222"/>
          <w:highlight w:val="white"/>
        </w:rPr>
      </w:pPr>
      <w:r w:rsidRPr="0051709F">
        <w:rPr>
          <w:rFonts w:eastAsia="Open Sans" w:cstheme="minorHAnsi"/>
          <w:b/>
          <w:iCs/>
          <w:color w:val="222222"/>
          <w:highlight w:val="white"/>
        </w:rPr>
        <w:t>Medidas relacionales y familiares</w:t>
      </w:r>
      <w:r w:rsidRPr="0051709F">
        <w:rPr>
          <w:rFonts w:eastAsia="Open Sans" w:cstheme="minorHAnsi"/>
          <w:iCs/>
          <w:color w:val="222222"/>
          <w:highlight w:val="white"/>
        </w:rPr>
        <w:t xml:space="preserve">: </w:t>
      </w:r>
    </w:p>
    <w:p w14:paraId="743A53C4" w14:textId="77777777" w:rsidR="00EF3BE6" w:rsidRPr="0051709F" w:rsidRDefault="00EF3BE6" w:rsidP="00EF3BE6">
      <w:pPr>
        <w:jc w:val="both"/>
        <w:rPr>
          <w:rFonts w:eastAsia="Open Sans" w:cstheme="minorHAnsi"/>
          <w:i/>
          <w:color w:val="222222"/>
          <w:highlight w:val="white"/>
        </w:rPr>
      </w:pPr>
    </w:p>
    <w:p w14:paraId="518C1C1D"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Promover la práctica de actividad física inclusiva, familiar y con perspectiva de género.</w:t>
      </w:r>
    </w:p>
    <w:p w14:paraId="071F5982" w14:textId="76B6D08D"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Establecer y crear espacios donde cualquier persona, sin discriminar por edad, género, condición socioeconómica o atención a la diversidad, pudieran compartir la práctica de actividad física. De este modo</w:t>
      </w:r>
      <w:r w:rsidR="00EF3BE6" w:rsidRPr="0051709F">
        <w:rPr>
          <w:rFonts w:eastAsia="Open Sans" w:cstheme="minorHAnsi"/>
          <w:color w:val="222222"/>
          <w:highlight w:val="white"/>
        </w:rPr>
        <w:t>,</w:t>
      </w:r>
      <w:r w:rsidRPr="0051709F">
        <w:rPr>
          <w:rFonts w:eastAsia="Open Sans" w:cstheme="minorHAnsi"/>
          <w:color w:val="222222"/>
          <w:highlight w:val="white"/>
        </w:rPr>
        <w:t xml:space="preserve"> se crearía un espacio de apoyo social para compartir conocimientos, habilidades e interés por esta práctica.</w:t>
      </w:r>
    </w:p>
    <w:p w14:paraId="0F3C7C89" w14:textId="77777777" w:rsidR="00EF3BE6" w:rsidRPr="0051709F" w:rsidRDefault="00EF3BE6" w:rsidP="00EF3BE6">
      <w:pPr>
        <w:jc w:val="both"/>
        <w:rPr>
          <w:rFonts w:eastAsia="Open Sans" w:cstheme="minorHAnsi"/>
          <w:b/>
          <w:i/>
          <w:color w:val="222222"/>
          <w:highlight w:val="white"/>
          <w:u w:val="single"/>
        </w:rPr>
      </w:pPr>
    </w:p>
    <w:p w14:paraId="58B98E6A" w14:textId="1C15E69B" w:rsidR="002773E8" w:rsidRPr="0051709F" w:rsidRDefault="002773E8" w:rsidP="00EF3BE6">
      <w:pPr>
        <w:jc w:val="both"/>
        <w:rPr>
          <w:rFonts w:eastAsia="Open Sans" w:cstheme="minorHAnsi"/>
          <w:iCs/>
          <w:color w:val="222222"/>
          <w:highlight w:val="white"/>
        </w:rPr>
      </w:pPr>
      <w:r w:rsidRPr="0051709F">
        <w:rPr>
          <w:rFonts w:eastAsia="Open Sans" w:cstheme="minorHAnsi"/>
          <w:b/>
          <w:iCs/>
          <w:color w:val="222222"/>
          <w:highlight w:val="white"/>
        </w:rPr>
        <w:t>Medidas individuales</w:t>
      </w:r>
      <w:r w:rsidRPr="0051709F">
        <w:rPr>
          <w:rFonts w:eastAsia="Open Sans" w:cstheme="minorHAnsi"/>
          <w:iCs/>
          <w:color w:val="222222"/>
          <w:highlight w:val="white"/>
        </w:rPr>
        <w:t xml:space="preserve">: </w:t>
      </w:r>
    </w:p>
    <w:p w14:paraId="0A6C459A" w14:textId="77777777" w:rsidR="00EF3BE6" w:rsidRPr="0051709F" w:rsidRDefault="00EF3BE6" w:rsidP="00EF3BE6">
      <w:pPr>
        <w:jc w:val="both"/>
        <w:rPr>
          <w:rFonts w:eastAsia="Open Sans" w:cstheme="minorHAnsi"/>
          <w:i/>
          <w:color w:val="222222"/>
          <w:highlight w:val="white"/>
        </w:rPr>
      </w:pPr>
    </w:p>
    <w:p w14:paraId="61996F91"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Formar a profesionales para fomentar la práctica de actividad física desde una perspectiva de género y edad.</w:t>
      </w:r>
    </w:p>
    <w:p w14:paraId="5659FF91" w14:textId="77777777" w:rsidR="002773E8" w:rsidRPr="0051709F"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 xml:space="preserve">Formar a los profesionales que trabajan con personas con atención a la diversidad en conocimientos sobre hábitos saludables y cómo pueden aplicarlo en su colectivo. </w:t>
      </w:r>
    </w:p>
    <w:p w14:paraId="0369E1FC" w14:textId="193E4FDA" w:rsidR="00EF3BE6" w:rsidRPr="00374DB3" w:rsidRDefault="002773E8" w:rsidP="00E6399B">
      <w:pPr>
        <w:numPr>
          <w:ilvl w:val="0"/>
          <w:numId w:val="75"/>
        </w:numPr>
        <w:pBdr>
          <w:top w:val="nil"/>
          <w:left w:val="nil"/>
          <w:bottom w:val="nil"/>
          <w:right w:val="nil"/>
          <w:between w:val="nil"/>
        </w:pBdr>
        <w:jc w:val="both"/>
        <w:rPr>
          <w:rFonts w:eastAsia="Open Sans" w:cstheme="minorHAnsi"/>
          <w:color w:val="222222"/>
          <w:highlight w:val="white"/>
        </w:rPr>
      </w:pPr>
      <w:r w:rsidRPr="0051709F">
        <w:rPr>
          <w:rFonts w:eastAsia="Open Sans" w:cstheme="minorHAnsi"/>
          <w:color w:val="222222"/>
          <w:highlight w:val="white"/>
        </w:rPr>
        <w:t>Formar a profesionales que trabajan en entornos en situación de vulnerabilidad.</w:t>
      </w:r>
    </w:p>
    <w:p w14:paraId="07A5B3C9" w14:textId="77777777" w:rsidR="0053027D" w:rsidRDefault="0053027D" w:rsidP="007B667D">
      <w:pPr>
        <w:pStyle w:val="Ttulo2"/>
        <w:numPr>
          <w:ilvl w:val="0"/>
          <w:numId w:val="0"/>
        </w:numPr>
        <w:ind w:left="40"/>
        <w:rPr>
          <w:rFonts w:asciiTheme="minorHAnsi" w:eastAsia="Open Sans" w:hAnsiTheme="minorHAnsi" w:cstheme="minorHAnsi"/>
          <w:sz w:val="24"/>
          <w:szCs w:val="24"/>
          <w:highlight w:val="white"/>
          <w:lang w:val="es-ES"/>
        </w:rPr>
      </w:pPr>
    </w:p>
    <w:p w14:paraId="20FFD632" w14:textId="77777777" w:rsidR="00120CD5" w:rsidRDefault="00120CD5" w:rsidP="007B667D">
      <w:pPr>
        <w:pStyle w:val="Ttulo2"/>
        <w:numPr>
          <w:ilvl w:val="0"/>
          <w:numId w:val="0"/>
        </w:numPr>
        <w:ind w:left="40"/>
        <w:rPr>
          <w:rFonts w:asciiTheme="minorHAnsi" w:eastAsia="Open Sans" w:hAnsiTheme="minorHAnsi" w:cstheme="minorHAnsi"/>
          <w:sz w:val="24"/>
          <w:szCs w:val="24"/>
          <w:highlight w:val="white"/>
          <w:lang w:val="es-ES"/>
        </w:rPr>
      </w:pPr>
    </w:p>
    <w:p w14:paraId="168F5D41" w14:textId="77777777" w:rsidR="00120CD5" w:rsidRDefault="00120CD5" w:rsidP="007B667D">
      <w:pPr>
        <w:pStyle w:val="Ttulo2"/>
        <w:numPr>
          <w:ilvl w:val="0"/>
          <w:numId w:val="0"/>
        </w:numPr>
        <w:ind w:left="40"/>
        <w:rPr>
          <w:rFonts w:asciiTheme="minorHAnsi" w:eastAsia="Open Sans" w:hAnsiTheme="minorHAnsi" w:cstheme="minorHAnsi"/>
          <w:sz w:val="24"/>
          <w:szCs w:val="24"/>
          <w:highlight w:val="white"/>
          <w:lang w:val="es-ES"/>
        </w:rPr>
      </w:pPr>
    </w:p>
    <w:p w14:paraId="38A3911D" w14:textId="77777777" w:rsidR="00120CD5" w:rsidRPr="00120CD5" w:rsidRDefault="00120CD5" w:rsidP="00120CD5">
      <w:pPr>
        <w:rPr>
          <w:highlight w:val="white"/>
        </w:rPr>
      </w:pPr>
    </w:p>
    <w:p w14:paraId="674A7244" w14:textId="778DD0C7" w:rsidR="002773E8" w:rsidRPr="00DA6852" w:rsidRDefault="002773E8" w:rsidP="007B667D">
      <w:pPr>
        <w:pStyle w:val="Ttulo2"/>
        <w:numPr>
          <w:ilvl w:val="0"/>
          <w:numId w:val="0"/>
        </w:numPr>
        <w:ind w:left="40"/>
        <w:rPr>
          <w:rFonts w:eastAsia="Open Sans" w:cstheme="minorHAnsi"/>
          <w:highlight w:val="white"/>
          <w:lang w:val="es-ES"/>
        </w:rPr>
      </w:pPr>
      <w:r w:rsidRPr="007B667D">
        <w:rPr>
          <w:rFonts w:asciiTheme="minorHAnsi" w:eastAsia="Open Sans" w:hAnsiTheme="minorHAnsi" w:cstheme="minorHAnsi"/>
          <w:sz w:val="24"/>
          <w:szCs w:val="24"/>
          <w:highlight w:val="white"/>
          <w:lang w:val="es-ES"/>
        </w:rPr>
        <w:lastRenderedPageBreak/>
        <w:t>Metodología para el fomento del deporte y la reducción de desigualdades sociales</w:t>
      </w:r>
    </w:p>
    <w:p w14:paraId="5A9E40E3" w14:textId="77777777" w:rsidR="00EF3BE6" w:rsidRPr="0051709F" w:rsidRDefault="00EF3BE6" w:rsidP="002773E8">
      <w:pPr>
        <w:jc w:val="both"/>
        <w:rPr>
          <w:rFonts w:eastAsia="Open Sans" w:cstheme="minorHAnsi"/>
          <w:b/>
          <w:color w:val="1D1D1B"/>
          <w:highlight w:val="white"/>
        </w:rPr>
      </w:pPr>
    </w:p>
    <w:p w14:paraId="2E0E7AEA" w14:textId="2CDA855D" w:rsidR="002773E8" w:rsidRPr="0051709F" w:rsidRDefault="002773E8" w:rsidP="002773E8">
      <w:pPr>
        <w:ind w:left="40"/>
        <w:jc w:val="both"/>
        <w:rPr>
          <w:rFonts w:eastAsia="Open Sans" w:cstheme="minorHAnsi"/>
          <w:color w:val="000000"/>
          <w:highlight w:val="white"/>
        </w:rPr>
      </w:pPr>
      <w:r w:rsidRPr="0051709F">
        <w:rPr>
          <w:rFonts w:eastAsia="Open Sans" w:cstheme="minorHAnsi"/>
          <w:color w:val="1D1D1B"/>
          <w:highlight w:val="white"/>
        </w:rPr>
        <w:t xml:space="preserve">A nivel metodológico, la </w:t>
      </w:r>
      <w:r w:rsidR="00EF3BE6" w:rsidRPr="0051709F">
        <w:rPr>
          <w:rFonts w:eastAsia="Open Sans" w:cstheme="minorHAnsi"/>
          <w:color w:val="1D1D1B"/>
          <w:highlight w:val="white"/>
        </w:rPr>
        <w:t xml:space="preserve">organización </w:t>
      </w:r>
      <w:r w:rsidRPr="0051709F">
        <w:rPr>
          <w:rFonts w:eastAsia="Open Sans" w:cstheme="minorHAnsi"/>
          <w:i/>
          <w:iCs/>
          <w:color w:val="1D1D1B"/>
          <w:highlight w:val="white"/>
        </w:rPr>
        <w:t xml:space="preserve">Sport </w:t>
      </w:r>
      <w:proofErr w:type="spellStart"/>
      <w:r w:rsidRPr="0051709F">
        <w:rPr>
          <w:rFonts w:eastAsia="Open Sans" w:cstheme="minorHAnsi"/>
          <w:i/>
          <w:iCs/>
          <w:color w:val="1D1D1B"/>
          <w:highlight w:val="white"/>
        </w:rPr>
        <w:t>England</w:t>
      </w:r>
      <w:proofErr w:type="spellEnd"/>
      <w:r w:rsidRPr="0051709F">
        <w:rPr>
          <w:rFonts w:eastAsia="Open Sans" w:cstheme="minorHAnsi"/>
          <w:color w:val="1D1D1B"/>
          <w:highlight w:val="white"/>
        </w:rPr>
        <w:t xml:space="preserve"> propone 12 claves para el fomento de la actividad física y el deporte como aceleradores de la inclusión social y la reducción de desigualdades sociales </w:t>
      </w:r>
      <w:sdt>
        <w:sdtPr>
          <w:rPr>
            <w:rFonts w:eastAsia="Open Sans" w:cstheme="minorHAnsi"/>
            <w:color w:val="000000"/>
            <w:highlight w:val="white"/>
          </w:rPr>
          <w:tag w:val="MENDELEY_CITATION_v3_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"/>
          <w:id w:val="-1995944824"/>
          <w:placeholder>
            <w:docPart w:val="B62044B0AEE982468526D76406A053AC"/>
          </w:placeholder>
        </w:sdtPr>
        <w:sdtContent>
          <w:r w:rsidRPr="0051709F">
            <w:rPr>
              <w:rFonts w:eastAsia="Open Sans" w:cstheme="minorHAnsi"/>
              <w:color w:val="000000"/>
              <w:highlight w:val="white"/>
            </w:rPr>
            <w:t>(</w:t>
          </w:r>
          <w:proofErr w:type="spellStart"/>
          <w:r w:rsidRPr="0051709F">
            <w:rPr>
              <w:rFonts w:eastAsia="Open Sans" w:cstheme="minorHAnsi"/>
              <w:color w:val="000000"/>
              <w:highlight w:val="white"/>
            </w:rPr>
            <w:t>Public</w:t>
          </w:r>
          <w:proofErr w:type="spellEnd"/>
          <w:r w:rsidRPr="0051709F">
            <w:rPr>
              <w:rFonts w:eastAsia="Open Sans" w:cstheme="minorHAnsi"/>
              <w:color w:val="000000"/>
              <w:highlight w:val="white"/>
            </w:rPr>
            <w:t xml:space="preserve"> </w:t>
          </w:r>
          <w:proofErr w:type="spellStart"/>
          <w:r w:rsidRPr="0051709F">
            <w:rPr>
              <w:rFonts w:eastAsia="Open Sans" w:cstheme="minorHAnsi"/>
              <w:color w:val="000000"/>
              <w:highlight w:val="white"/>
            </w:rPr>
            <w:t>Health</w:t>
          </w:r>
          <w:proofErr w:type="spellEnd"/>
          <w:r w:rsidRPr="0051709F">
            <w:rPr>
              <w:rFonts w:eastAsia="Open Sans" w:cstheme="minorHAnsi"/>
              <w:color w:val="000000"/>
              <w:highlight w:val="white"/>
            </w:rPr>
            <w:t xml:space="preserve"> </w:t>
          </w:r>
          <w:proofErr w:type="spellStart"/>
          <w:r w:rsidRPr="0051709F">
            <w:rPr>
              <w:rFonts w:eastAsia="Open Sans" w:cstheme="minorHAnsi"/>
              <w:color w:val="000000"/>
              <w:highlight w:val="white"/>
            </w:rPr>
            <w:t>England</w:t>
          </w:r>
          <w:proofErr w:type="spellEnd"/>
          <w:r w:rsidRPr="0051709F">
            <w:rPr>
              <w:rFonts w:eastAsia="Open Sans" w:cstheme="minorHAnsi"/>
              <w:color w:val="000000"/>
              <w:highlight w:val="white"/>
            </w:rPr>
            <w:t>, 2021)</w:t>
          </w:r>
          <w:r w:rsidR="007242D7">
            <w:rPr>
              <w:rFonts w:eastAsia="Open Sans" w:cstheme="minorHAnsi"/>
              <w:color w:val="000000"/>
              <w:highlight w:val="white"/>
            </w:rPr>
            <w:t>.</w:t>
          </w:r>
        </w:sdtContent>
      </w:sdt>
    </w:p>
    <w:p w14:paraId="58E421F7" w14:textId="77777777" w:rsidR="00EF3BE6" w:rsidRPr="0051709F" w:rsidRDefault="00EF3BE6" w:rsidP="00EF3BE6">
      <w:pPr>
        <w:jc w:val="both"/>
        <w:rPr>
          <w:rFonts w:eastAsia="Open Sans" w:cstheme="minorHAnsi"/>
          <w:color w:val="1D1D1B"/>
          <w:highlight w:val="white"/>
        </w:rPr>
      </w:pPr>
    </w:p>
    <w:p w14:paraId="7C8E1F2C" w14:textId="77777777" w:rsidR="002773E8" w:rsidRPr="0051709F" w:rsidRDefault="002773E8" w:rsidP="002773E8">
      <w:pPr>
        <w:pBdr>
          <w:top w:val="nil"/>
          <w:left w:val="nil"/>
          <w:bottom w:val="nil"/>
          <w:right w:val="nil"/>
          <w:between w:val="nil"/>
        </w:pBdr>
        <w:ind w:left="426"/>
        <w:jc w:val="both"/>
        <w:rPr>
          <w:rFonts w:eastAsia="Times New Roman" w:cstheme="minorHAnsi"/>
          <w:color w:val="000000"/>
        </w:rPr>
      </w:pPr>
      <w:r w:rsidRPr="0051709F">
        <w:rPr>
          <w:rFonts w:eastAsia="Open Sans" w:cstheme="minorHAnsi"/>
          <w:color w:val="1D1D1B"/>
          <w:highlight w:val="white"/>
        </w:rPr>
        <w:t>1) Mirar la realidad social desde la mirada de la ciudadanía.</w:t>
      </w:r>
    </w:p>
    <w:p w14:paraId="734ED5B7" w14:textId="77777777" w:rsidR="002773E8" w:rsidRPr="0051709F" w:rsidRDefault="002773E8" w:rsidP="002773E8">
      <w:pPr>
        <w:pBdr>
          <w:top w:val="nil"/>
          <w:left w:val="nil"/>
          <w:bottom w:val="nil"/>
          <w:right w:val="nil"/>
          <w:between w:val="nil"/>
        </w:pBdr>
        <w:ind w:left="426"/>
        <w:jc w:val="both"/>
        <w:rPr>
          <w:rFonts w:eastAsia="Times New Roman" w:cstheme="minorHAnsi"/>
          <w:color w:val="000000"/>
        </w:rPr>
      </w:pPr>
      <w:r w:rsidRPr="0051709F">
        <w:rPr>
          <w:rFonts w:eastAsia="Open Sans" w:cstheme="minorHAnsi"/>
          <w:color w:val="1D1D1B"/>
          <w:highlight w:val="white"/>
        </w:rPr>
        <w:t>2) Poner a las personas al frente de la estrategia.</w:t>
      </w:r>
    </w:p>
    <w:p w14:paraId="3269BBB3" w14:textId="77777777" w:rsidR="002773E8" w:rsidRPr="0051709F" w:rsidRDefault="002773E8" w:rsidP="002773E8">
      <w:pPr>
        <w:pBdr>
          <w:top w:val="nil"/>
          <w:left w:val="nil"/>
          <w:bottom w:val="nil"/>
          <w:right w:val="nil"/>
          <w:between w:val="nil"/>
        </w:pBdr>
        <w:ind w:left="426"/>
        <w:jc w:val="both"/>
        <w:rPr>
          <w:rFonts w:eastAsia="Times New Roman" w:cstheme="minorHAnsi"/>
          <w:color w:val="000000"/>
        </w:rPr>
      </w:pPr>
      <w:r w:rsidRPr="0051709F">
        <w:rPr>
          <w:rFonts w:eastAsia="Open Sans" w:cstheme="minorHAnsi"/>
          <w:color w:val="1D1D1B"/>
          <w:highlight w:val="white"/>
        </w:rPr>
        <w:t>3) Establecer vínculos con las entidades adecuadas: más allá de las deportivas.</w:t>
      </w:r>
    </w:p>
    <w:p w14:paraId="1D52A35D" w14:textId="77777777" w:rsidR="002773E8" w:rsidRPr="0051709F" w:rsidRDefault="002773E8" w:rsidP="002773E8">
      <w:pPr>
        <w:pBdr>
          <w:top w:val="nil"/>
          <w:left w:val="nil"/>
          <w:bottom w:val="nil"/>
          <w:right w:val="nil"/>
          <w:between w:val="nil"/>
        </w:pBdr>
        <w:ind w:left="426"/>
        <w:jc w:val="both"/>
        <w:rPr>
          <w:rFonts w:eastAsia="Times New Roman" w:cstheme="minorHAnsi"/>
          <w:color w:val="000000"/>
        </w:rPr>
      </w:pPr>
      <w:r w:rsidRPr="0051709F">
        <w:rPr>
          <w:rFonts w:eastAsia="Open Sans" w:cstheme="minorHAnsi"/>
          <w:color w:val="1D1D1B"/>
          <w:highlight w:val="white"/>
        </w:rPr>
        <w:t>4) Abordar el componente emocional.</w:t>
      </w:r>
    </w:p>
    <w:p w14:paraId="0651D864"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5) Abordar los básicos adecuadamente: acceso, seguridad, los desplazamientos, y el equipamiento en sí mismo.</w:t>
      </w:r>
    </w:p>
    <w:p w14:paraId="0CE73140"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6) Un ambiente adecuado para asegurar una experiencia completa: entornos que no juzgan y que ofrecen apoyo.</w:t>
      </w:r>
    </w:p>
    <w:p w14:paraId="1C590B37"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7) Flexibilidad en función de las necesidades de los colectivos.</w:t>
      </w:r>
    </w:p>
    <w:p w14:paraId="1F1001D8"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8) Replantear y re imaginar: algo no ha funcionado y se puede mejorar respecto a cómo lo hacíamos hasta ahora.</w:t>
      </w:r>
    </w:p>
    <w:p w14:paraId="44236C2C"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9) Darle importancia a la comunicación.</w:t>
      </w:r>
    </w:p>
    <w:p w14:paraId="1DF9B060"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10) Los profesionales y su adecuada formación es clave.</w:t>
      </w:r>
    </w:p>
    <w:p w14:paraId="0EF004EE"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11) Asumir que va a conllevar tiempo, esfuerzo y dinero.</w:t>
      </w:r>
    </w:p>
    <w:p w14:paraId="28F9DED3" w14:textId="77777777" w:rsidR="002773E8" w:rsidRPr="0051709F" w:rsidRDefault="002773E8" w:rsidP="002773E8">
      <w:pPr>
        <w:pBdr>
          <w:top w:val="nil"/>
          <w:left w:val="nil"/>
          <w:bottom w:val="nil"/>
          <w:right w:val="nil"/>
          <w:between w:val="nil"/>
        </w:pBdr>
        <w:ind w:left="426"/>
        <w:jc w:val="both"/>
        <w:rPr>
          <w:rFonts w:eastAsia="Open Sans" w:cstheme="minorHAnsi"/>
          <w:color w:val="1D1D1B"/>
          <w:highlight w:val="white"/>
        </w:rPr>
      </w:pPr>
      <w:r w:rsidRPr="0051709F">
        <w:rPr>
          <w:rFonts w:eastAsia="Open Sans" w:cstheme="minorHAnsi"/>
          <w:color w:val="1D1D1B"/>
          <w:highlight w:val="white"/>
        </w:rPr>
        <w:t>12) Pensar en la inclusividad desde la infancia y la juventud: menos competitividad, más diversión. </w:t>
      </w:r>
    </w:p>
    <w:p w14:paraId="4680B372" w14:textId="77777777" w:rsidR="00EF3BE6" w:rsidRPr="0051709F" w:rsidRDefault="00EF3BE6" w:rsidP="002773E8">
      <w:pPr>
        <w:jc w:val="both"/>
        <w:rPr>
          <w:rFonts w:eastAsia="Open Sans" w:cstheme="minorHAnsi"/>
          <w:color w:val="1D1D1B"/>
          <w:highlight w:val="white"/>
        </w:rPr>
      </w:pPr>
    </w:p>
    <w:p w14:paraId="14E61F9E" w14:textId="4C21C49E" w:rsidR="002773E8" w:rsidRPr="0051709F" w:rsidRDefault="002773E8" w:rsidP="002773E8">
      <w:pPr>
        <w:jc w:val="both"/>
        <w:rPr>
          <w:rFonts w:eastAsia="Open Sans" w:cstheme="minorHAnsi"/>
          <w:color w:val="1D1D1B"/>
          <w:highlight w:val="white"/>
        </w:rPr>
      </w:pPr>
      <w:r w:rsidRPr="0051709F">
        <w:rPr>
          <w:rFonts w:eastAsia="Open Sans" w:cstheme="minorHAnsi"/>
          <w:color w:val="1D1D1B"/>
          <w:highlight w:val="white"/>
        </w:rPr>
        <w:t xml:space="preserve">Estas claves se deben tener en cuenta en el despliegue de cualquiera de las medidas contempladas en la Estrategia Nacional para conseguir que cada uno de los objetivos propuestos se dirijan al fomento de la inclusión social y a la reducción de las desigualdades sociales. </w:t>
      </w:r>
    </w:p>
    <w:p w14:paraId="5A2E79D2" w14:textId="77777777" w:rsidR="00EF3BE6" w:rsidRPr="0051709F" w:rsidRDefault="00EF3BE6" w:rsidP="002773E8">
      <w:pPr>
        <w:jc w:val="both"/>
        <w:rPr>
          <w:rFonts w:eastAsia="Open Sans" w:cstheme="minorHAnsi"/>
          <w:color w:val="1D1D1B"/>
          <w:highlight w:val="white"/>
        </w:rPr>
      </w:pPr>
    </w:p>
    <w:p w14:paraId="0E40A3FD" w14:textId="5A57429D" w:rsidR="00EF3BE6"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 xml:space="preserve">A parte de las 12 claves </w:t>
      </w:r>
      <w:r w:rsidR="007242D7" w:rsidRPr="0051709F">
        <w:rPr>
          <w:rFonts w:eastAsia="Open Sans" w:cstheme="minorHAnsi"/>
          <w:color w:val="1D1D1B"/>
          <w:highlight w:val="white"/>
        </w:rPr>
        <w:t>para</w:t>
      </w:r>
      <w:r w:rsidRPr="0051709F">
        <w:rPr>
          <w:rFonts w:eastAsia="Open Sans" w:cstheme="minorHAnsi"/>
          <w:color w:val="1D1D1B"/>
          <w:highlight w:val="white"/>
        </w:rPr>
        <w:t xml:space="preserve"> tener en cuenta en la formulación de cualquier objetivo derivado de la Estrategia Nacional o en la implementación de las medidas, desde la Gasol </w:t>
      </w:r>
      <w:proofErr w:type="spellStart"/>
      <w:r w:rsidRPr="0051709F">
        <w:rPr>
          <w:rFonts w:eastAsia="Open Sans" w:cstheme="minorHAnsi"/>
          <w:color w:val="1D1D1B"/>
          <w:highlight w:val="white"/>
        </w:rPr>
        <w:t>Foundation</w:t>
      </w:r>
      <w:proofErr w:type="spellEnd"/>
      <w:r w:rsidRPr="0051709F">
        <w:rPr>
          <w:rFonts w:eastAsia="Open Sans" w:cstheme="minorHAnsi"/>
          <w:color w:val="1D1D1B"/>
          <w:highlight w:val="white"/>
        </w:rPr>
        <w:t xml:space="preserve">, se propone una metodología innovadora que se basa en un abordaje holístico de la promoción de la actividad física y el deporte. Desde esta perspectiva, la actividad física actúa como vehículo pedagógico para la promoción de 4 grandes determinantes de la salud de una persona: las horas y la calidad del sueño, la alimentación saludable, el bienestar emocional y el propio deporte y actividad física. </w:t>
      </w:r>
    </w:p>
    <w:p w14:paraId="0514B4F4" w14:textId="77777777" w:rsidR="00EF3BE6" w:rsidRPr="0051709F" w:rsidRDefault="00EF3BE6" w:rsidP="002773E8">
      <w:pPr>
        <w:ind w:left="40"/>
        <w:jc w:val="both"/>
        <w:rPr>
          <w:rFonts w:eastAsia="Open Sans" w:cstheme="minorHAnsi"/>
          <w:color w:val="1D1D1B"/>
          <w:highlight w:val="white"/>
        </w:rPr>
      </w:pPr>
    </w:p>
    <w:p w14:paraId="5B57B781" w14:textId="60A35939" w:rsidR="002773E8" w:rsidRPr="0051709F" w:rsidRDefault="002773E8" w:rsidP="002773E8">
      <w:pPr>
        <w:ind w:left="40"/>
        <w:jc w:val="both"/>
        <w:rPr>
          <w:rFonts w:eastAsia="Open Sans" w:cstheme="minorHAnsi"/>
          <w:color w:val="000000"/>
          <w:highlight w:val="white"/>
        </w:rPr>
      </w:pPr>
      <w:r w:rsidRPr="0051709F">
        <w:rPr>
          <w:rFonts w:eastAsia="Open Sans" w:cstheme="minorHAnsi"/>
          <w:color w:val="1D1D1B"/>
          <w:highlight w:val="white"/>
        </w:rPr>
        <w:t xml:space="preserve">Este enfoque, se puede introducir en la población infantil y sus familias a través de la metáfora pedagógica de la </w:t>
      </w:r>
      <w:r w:rsidRPr="007B667D">
        <w:rPr>
          <w:rFonts w:eastAsia="Open Sans" w:cstheme="minorHAnsi"/>
          <w:i/>
          <w:iCs/>
          <w:color w:val="1D1D1B"/>
          <w:highlight w:val="white"/>
        </w:rPr>
        <w:t>Galaxia Saludable</w:t>
      </w:r>
      <w:r w:rsidRPr="0051709F">
        <w:rPr>
          <w:rFonts w:eastAsia="Open Sans" w:cstheme="minorHAnsi"/>
          <w:color w:val="1D1D1B"/>
          <w:highlight w:val="white"/>
        </w:rPr>
        <w:t xml:space="preserve">, ya que estos 4 pilares se convierten en 4 planetas que se interrelacionan entre sí y a través del juego y las diferentes propuestas motrices y activas se pretende reflexionar </w:t>
      </w:r>
      <w:r w:rsidR="007242D7">
        <w:rPr>
          <w:rFonts w:eastAsia="Open Sans" w:cstheme="minorHAnsi"/>
          <w:color w:val="1D1D1B"/>
          <w:highlight w:val="white"/>
        </w:rPr>
        <w:t xml:space="preserve">sobre </w:t>
      </w:r>
      <w:r w:rsidRPr="0051709F">
        <w:rPr>
          <w:rFonts w:eastAsia="Open Sans" w:cstheme="minorHAnsi"/>
          <w:color w:val="1D1D1B"/>
          <w:highlight w:val="white"/>
        </w:rPr>
        <w:t xml:space="preserve">la importancia de seguir un estilo de vida saludable </w:t>
      </w:r>
      <w:sdt>
        <w:sdtPr>
          <w:rPr>
            <w:rFonts w:eastAsia="Open Sans" w:cstheme="minorHAnsi"/>
            <w:color w:val="000000"/>
            <w:highlight w:val="white"/>
          </w:rPr>
          <w:tag w:val="MENDELEY_CITATION_v3_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"/>
          <w:id w:val="-213425103"/>
          <w:placeholder>
            <w:docPart w:val="B62044B0AEE982468526D76406A053AC"/>
          </w:placeholder>
        </w:sdtPr>
        <w:sdtContent>
          <w:r w:rsidRPr="0051709F">
            <w:rPr>
              <w:rFonts w:eastAsia="Open Sans" w:cstheme="minorHAnsi"/>
              <w:color w:val="000000"/>
              <w:highlight w:val="white"/>
            </w:rPr>
            <w:t>(Gómez, 2017)</w:t>
          </w:r>
          <w:r w:rsidR="007242D7">
            <w:rPr>
              <w:rFonts w:eastAsia="Open Sans" w:cstheme="minorHAnsi"/>
              <w:color w:val="000000"/>
              <w:highlight w:val="white"/>
            </w:rPr>
            <w:t>.</w:t>
          </w:r>
        </w:sdtContent>
      </w:sdt>
    </w:p>
    <w:p w14:paraId="7468A04D" w14:textId="77777777" w:rsidR="00EF3BE6" w:rsidRPr="0051709F" w:rsidRDefault="00EF3BE6" w:rsidP="002773E8">
      <w:pPr>
        <w:ind w:left="40"/>
        <w:jc w:val="both"/>
        <w:rPr>
          <w:rFonts w:eastAsia="Open Sans" w:cstheme="minorHAnsi"/>
          <w:color w:val="1D1D1B"/>
          <w:highlight w:val="white"/>
        </w:rPr>
      </w:pPr>
    </w:p>
    <w:p w14:paraId="4F27B82A" w14:textId="68549F19"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 xml:space="preserve">Por último, </w:t>
      </w:r>
      <w:proofErr w:type="spellStart"/>
      <w:r w:rsidRPr="0051709F">
        <w:rPr>
          <w:rFonts w:eastAsia="Open Sans" w:cstheme="minorHAnsi"/>
          <w:color w:val="1D1D1B"/>
          <w:highlight w:val="white"/>
        </w:rPr>
        <w:t>Public</w:t>
      </w:r>
      <w:proofErr w:type="spellEnd"/>
      <w:r w:rsidRPr="0051709F">
        <w:rPr>
          <w:rFonts w:eastAsia="Open Sans" w:cstheme="minorHAnsi"/>
          <w:color w:val="1D1D1B"/>
          <w:highlight w:val="white"/>
        </w:rPr>
        <w:t xml:space="preserve"> </w:t>
      </w:r>
      <w:proofErr w:type="spellStart"/>
      <w:r w:rsidRPr="0051709F">
        <w:rPr>
          <w:rFonts w:eastAsia="Open Sans" w:cstheme="minorHAnsi"/>
          <w:color w:val="1D1D1B"/>
          <w:highlight w:val="white"/>
        </w:rPr>
        <w:t>Health</w:t>
      </w:r>
      <w:proofErr w:type="spellEnd"/>
      <w:r w:rsidRPr="0051709F">
        <w:rPr>
          <w:rFonts w:eastAsia="Open Sans" w:cstheme="minorHAnsi"/>
          <w:color w:val="1D1D1B"/>
          <w:highlight w:val="white"/>
        </w:rPr>
        <w:t xml:space="preserve"> </w:t>
      </w:r>
      <w:proofErr w:type="spellStart"/>
      <w:r w:rsidRPr="0051709F">
        <w:rPr>
          <w:rFonts w:eastAsia="Open Sans" w:cstheme="minorHAnsi"/>
          <w:color w:val="1D1D1B"/>
          <w:highlight w:val="white"/>
        </w:rPr>
        <w:t>England</w:t>
      </w:r>
      <w:proofErr w:type="spellEnd"/>
      <w:r w:rsidRPr="0051709F">
        <w:rPr>
          <w:rFonts w:eastAsia="Open Sans" w:cstheme="minorHAnsi"/>
          <w:color w:val="1D1D1B"/>
          <w:highlight w:val="white"/>
        </w:rPr>
        <w:t xml:space="preserve"> también destaca </w:t>
      </w:r>
      <w:r w:rsidR="00EF3BE6" w:rsidRPr="0051709F">
        <w:rPr>
          <w:rFonts w:eastAsia="Open Sans" w:cstheme="minorHAnsi"/>
          <w:color w:val="1D1D1B"/>
          <w:highlight w:val="white"/>
        </w:rPr>
        <w:t>una serie de</w:t>
      </w:r>
      <w:r w:rsidRPr="0051709F">
        <w:rPr>
          <w:rFonts w:eastAsia="Open Sans" w:cstheme="minorHAnsi"/>
          <w:color w:val="1D1D1B"/>
          <w:highlight w:val="white"/>
        </w:rPr>
        <w:t xml:space="preserve"> factores facilitadores que permiten acelerar la inclusión social a través de la práctica de actividad física. Estos facilitadores son:</w:t>
      </w:r>
    </w:p>
    <w:p w14:paraId="5D8F5799" w14:textId="77777777" w:rsidR="00EF3BE6" w:rsidRPr="0051709F" w:rsidRDefault="00EF3BE6" w:rsidP="002773E8">
      <w:pPr>
        <w:ind w:left="40"/>
        <w:jc w:val="both"/>
        <w:rPr>
          <w:rFonts w:eastAsia="Open Sans" w:cstheme="minorHAnsi"/>
          <w:color w:val="1D1D1B"/>
          <w:highlight w:val="white"/>
        </w:rPr>
      </w:pPr>
    </w:p>
    <w:p w14:paraId="41D0F71A" w14:textId="77777777"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t>Sentimiento de logro y éxito</w:t>
      </w:r>
    </w:p>
    <w:p w14:paraId="08A4841B" w14:textId="77777777"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lastRenderedPageBreak/>
        <w:t>Pertenencia social, amistad y diversión</w:t>
      </w:r>
    </w:p>
    <w:p w14:paraId="2A6CA340" w14:textId="77777777"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t>Instalaciones accesibles y apropiadas</w:t>
      </w:r>
    </w:p>
    <w:p w14:paraId="24BFA4DE" w14:textId="77777777"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t>Sentirse representado desde la planificación</w:t>
      </w:r>
    </w:p>
    <w:p w14:paraId="6724B196" w14:textId="77777777"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t>Potenciar el apoyo social y psicológico</w:t>
      </w:r>
    </w:p>
    <w:p w14:paraId="05BDB8A3" w14:textId="61304401" w:rsidR="002773E8" w:rsidRPr="0051709F" w:rsidRDefault="002773E8" w:rsidP="00E6399B">
      <w:pPr>
        <w:numPr>
          <w:ilvl w:val="0"/>
          <w:numId w:val="73"/>
        </w:numPr>
        <w:pBdr>
          <w:top w:val="nil"/>
          <w:left w:val="nil"/>
          <w:bottom w:val="nil"/>
          <w:right w:val="nil"/>
          <w:between w:val="nil"/>
        </w:pBdr>
        <w:jc w:val="both"/>
        <w:rPr>
          <w:rFonts w:eastAsia="Open Sans" w:cstheme="minorHAnsi"/>
          <w:color w:val="1D1D1B"/>
          <w:highlight w:val="white"/>
        </w:rPr>
      </w:pPr>
      <w:r w:rsidRPr="0051709F">
        <w:rPr>
          <w:rFonts w:eastAsia="Open Sans" w:cstheme="minorHAnsi"/>
          <w:color w:val="1D1D1B"/>
          <w:highlight w:val="white"/>
        </w:rPr>
        <w:t>Comprensión de las necesidades específicas</w:t>
      </w:r>
      <w:r w:rsidR="007242D7">
        <w:rPr>
          <w:rFonts w:eastAsia="Open Sans" w:cstheme="minorHAnsi"/>
          <w:color w:val="1D1D1B"/>
          <w:highlight w:val="white"/>
        </w:rPr>
        <w:t>.</w:t>
      </w:r>
    </w:p>
    <w:p w14:paraId="70D9A202" w14:textId="77777777" w:rsidR="00EF3BE6" w:rsidRPr="0051709F" w:rsidRDefault="00EF3BE6" w:rsidP="002773E8">
      <w:pPr>
        <w:ind w:left="40"/>
        <w:jc w:val="both"/>
        <w:rPr>
          <w:rFonts w:eastAsia="Open Sans" w:cstheme="minorHAnsi"/>
          <w:color w:val="1D1D1B"/>
          <w:highlight w:val="white"/>
        </w:rPr>
      </w:pPr>
    </w:p>
    <w:p w14:paraId="56C99D9B" w14:textId="5D53B04B"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Todos estos factores deben ser contemplados por cualquier medida o programa que se deriven de la Estrategia Nacional ya que se así</w:t>
      </w:r>
      <w:r w:rsidR="007242D7">
        <w:rPr>
          <w:rFonts w:eastAsia="Open Sans" w:cstheme="minorHAnsi"/>
          <w:color w:val="1D1D1B"/>
          <w:highlight w:val="white"/>
        </w:rPr>
        <w:t>,</w:t>
      </w:r>
      <w:r w:rsidRPr="0051709F">
        <w:rPr>
          <w:rFonts w:eastAsia="Open Sans" w:cstheme="minorHAnsi"/>
          <w:color w:val="1D1D1B"/>
          <w:highlight w:val="white"/>
        </w:rPr>
        <w:t xml:space="preserve"> se estará logrando el objetivo de utilizar esta gran política como un vector clave en el fomento de la inclusión social y la reducción de las desigualdades. La promoción de una sociedad más inclusiva y menos desigual en relación con la práctica de actividad física y </w:t>
      </w:r>
      <w:r w:rsidR="00B07FD5" w:rsidRPr="0051709F">
        <w:rPr>
          <w:rFonts w:eastAsia="Open Sans" w:cstheme="minorHAnsi"/>
          <w:color w:val="1D1D1B"/>
          <w:highlight w:val="white"/>
        </w:rPr>
        <w:t>deportiva</w:t>
      </w:r>
      <w:r w:rsidRPr="0051709F">
        <w:rPr>
          <w:rFonts w:eastAsia="Open Sans" w:cstheme="minorHAnsi"/>
          <w:color w:val="1D1D1B"/>
          <w:highlight w:val="white"/>
        </w:rPr>
        <w:t xml:space="preserve"> favorece el desarrollo de la sociedad en su conjunto y la aproximación de España al cumplimiento de los Objetivos de Desarrollo Sostenible (ODS). </w:t>
      </w:r>
    </w:p>
    <w:p w14:paraId="7927BFF2" w14:textId="77777777" w:rsidR="00EF3BE6" w:rsidRPr="0051709F" w:rsidRDefault="00EF3BE6" w:rsidP="002773E8">
      <w:pPr>
        <w:ind w:left="40"/>
        <w:jc w:val="both"/>
        <w:rPr>
          <w:rFonts w:eastAsia="Open Sans" w:cstheme="minorHAnsi"/>
          <w:color w:val="1D1D1B"/>
          <w:highlight w:val="white"/>
        </w:rPr>
      </w:pPr>
    </w:p>
    <w:p w14:paraId="0FB03953" w14:textId="3B5E9069" w:rsidR="002773E8" w:rsidRPr="0051709F" w:rsidRDefault="002773E8" w:rsidP="003906F1">
      <w:pPr>
        <w:pStyle w:val="Ttulo2"/>
        <w:numPr>
          <w:ilvl w:val="0"/>
          <w:numId w:val="0"/>
        </w:numPr>
        <w:ind w:left="40"/>
        <w:rPr>
          <w:rFonts w:asciiTheme="minorHAnsi" w:eastAsia="Open Sans" w:hAnsiTheme="minorHAnsi" w:cstheme="minorHAnsi"/>
          <w:i/>
          <w:color w:val="C00000"/>
          <w:sz w:val="24"/>
          <w:szCs w:val="24"/>
          <w:lang w:val="es-ES"/>
        </w:rPr>
      </w:pPr>
      <w:r w:rsidRPr="0051709F">
        <w:rPr>
          <w:rFonts w:asciiTheme="minorHAnsi" w:eastAsia="Open Sans" w:hAnsiTheme="minorHAnsi" w:cstheme="minorHAnsi"/>
          <w:sz w:val="24"/>
          <w:szCs w:val="24"/>
          <w:highlight w:val="white"/>
          <w:lang w:val="es-ES"/>
        </w:rPr>
        <w:t>Herramientas para evaluar y monitorizar la práctica de actividad física y la reducción de las desigualdades sociale</w:t>
      </w:r>
      <w:r w:rsidR="00EF3BE6" w:rsidRPr="0051709F">
        <w:rPr>
          <w:rFonts w:asciiTheme="minorHAnsi" w:eastAsia="Open Sans" w:hAnsiTheme="minorHAnsi" w:cstheme="minorHAnsi"/>
          <w:bCs/>
          <w:iCs/>
          <w:color w:val="000000" w:themeColor="text1"/>
          <w:sz w:val="24"/>
          <w:szCs w:val="24"/>
          <w:lang w:val="es-ES"/>
        </w:rPr>
        <w:t>s</w:t>
      </w:r>
    </w:p>
    <w:p w14:paraId="176E6BCD" w14:textId="77777777" w:rsidR="00EF3BE6" w:rsidRPr="0051709F" w:rsidRDefault="00EF3BE6" w:rsidP="002773E8">
      <w:pPr>
        <w:ind w:left="40"/>
        <w:jc w:val="both"/>
        <w:rPr>
          <w:rFonts w:eastAsia="Open Sans" w:cstheme="minorHAnsi"/>
          <w:b/>
          <w:color w:val="1D1D1B"/>
          <w:highlight w:val="white"/>
        </w:rPr>
      </w:pPr>
    </w:p>
    <w:p w14:paraId="7693DBD9" w14:textId="6A2247DA"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La evidencia científica permite recopilar indicadores cuantitativos y cualitativos para analizar los niveles y la prevalencia de inactividad física y sedentarismo en la población española desde un contexto que promueva la reducción de las desigualdades sociales. En este sentido, la evaluación del impacto de la Estrategia Nacional de reducción de la inactividad física debe asegurar el análisis</w:t>
      </w:r>
      <w:r w:rsidR="0096641B">
        <w:rPr>
          <w:rFonts w:eastAsia="Open Sans" w:cstheme="minorHAnsi"/>
          <w:color w:val="1D1D1B"/>
          <w:highlight w:val="white"/>
        </w:rPr>
        <w:t>,</w:t>
      </w:r>
      <w:r w:rsidRPr="0051709F">
        <w:rPr>
          <w:rFonts w:eastAsia="Open Sans" w:cstheme="minorHAnsi"/>
          <w:color w:val="1D1D1B"/>
          <w:highlight w:val="white"/>
        </w:rPr>
        <w:t xml:space="preserve"> de manera robusta</w:t>
      </w:r>
      <w:r w:rsidR="0096641B">
        <w:rPr>
          <w:rFonts w:eastAsia="Open Sans" w:cstheme="minorHAnsi"/>
          <w:color w:val="1D1D1B"/>
          <w:highlight w:val="white"/>
        </w:rPr>
        <w:t>,</w:t>
      </w:r>
      <w:r w:rsidRPr="0051709F">
        <w:rPr>
          <w:rFonts w:eastAsia="Open Sans" w:cstheme="minorHAnsi"/>
          <w:color w:val="1D1D1B"/>
          <w:highlight w:val="white"/>
        </w:rPr>
        <w:t xml:space="preserve"> del efecto de las iniciativas impulsadas en la misma. Por ello, es preciso definir y priorizar previamente los indicadores de impacto relacionados con la inactividad física, el sedentarismo y las desigualdades</w:t>
      </w:r>
      <w:r w:rsidR="0096641B">
        <w:rPr>
          <w:rFonts w:eastAsia="Open Sans" w:cstheme="minorHAnsi"/>
          <w:color w:val="1D1D1B"/>
          <w:highlight w:val="white"/>
        </w:rPr>
        <w:t>,</w:t>
      </w:r>
      <w:r w:rsidRPr="0051709F">
        <w:rPr>
          <w:rFonts w:eastAsia="Open Sans" w:cstheme="minorHAnsi"/>
          <w:color w:val="1D1D1B"/>
          <w:highlight w:val="white"/>
        </w:rPr>
        <w:t xml:space="preserve"> teniendo en cuenta que tipo de herramientas de monitorización son las más adecuadas para medir el objetivo y asegurar la escalabilidad y sostenibilidad del plan.</w:t>
      </w:r>
    </w:p>
    <w:p w14:paraId="42CE9819" w14:textId="77777777" w:rsidR="00EF3BE6" w:rsidRPr="0051709F" w:rsidRDefault="00EF3BE6" w:rsidP="002773E8">
      <w:pPr>
        <w:ind w:left="40"/>
        <w:jc w:val="both"/>
        <w:rPr>
          <w:rFonts w:eastAsia="Open Sans" w:cstheme="minorHAnsi"/>
          <w:color w:val="1D1D1B"/>
          <w:highlight w:val="white"/>
        </w:rPr>
      </w:pPr>
    </w:p>
    <w:p w14:paraId="2166049A" w14:textId="6E9F2162"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La priorización de los indicadores seleccionados en el plan para analizar las prevalencias</w:t>
      </w:r>
      <w:r w:rsidR="0096641B">
        <w:rPr>
          <w:rFonts w:eastAsia="Open Sans" w:cstheme="minorHAnsi"/>
          <w:color w:val="1D1D1B"/>
          <w:highlight w:val="white"/>
        </w:rPr>
        <w:t xml:space="preserve"> basales</w:t>
      </w:r>
      <w:r w:rsidRPr="0051709F">
        <w:rPr>
          <w:rFonts w:eastAsia="Open Sans" w:cstheme="minorHAnsi"/>
          <w:color w:val="1D1D1B"/>
          <w:highlight w:val="white"/>
        </w:rPr>
        <w:t xml:space="preserve"> de inactividad física y sedentarismo</w:t>
      </w:r>
      <w:r w:rsidR="0096641B">
        <w:rPr>
          <w:rFonts w:eastAsia="Open Sans" w:cstheme="minorHAnsi"/>
          <w:color w:val="1D1D1B"/>
          <w:highlight w:val="white"/>
        </w:rPr>
        <w:t>,</w:t>
      </w:r>
      <w:r w:rsidRPr="0051709F">
        <w:rPr>
          <w:rFonts w:eastAsia="Open Sans" w:cstheme="minorHAnsi"/>
          <w:color w:val="1D1D1B"/>
          <w:highlight w:val="white"/>
        </w:rPr>
        <w:t xml:space="preserve"> permite establecer comparativas con los indicadores finales registrados, evaluando así el impacto y el cumplimiento de los objetivos planteados. Esta evaluación debe priorizarse en grupos poblacionales no estudiados a nivel nacional</w:t>
      </w:r>
      <w:r w:rsidR="0096641B">
        <w:rPr>
          <w:rFonts w:eastAsia="Open Sans" w:cstheme="minorHAnsi"/>
          <w:color w:val="1D1D1B"/>
          <w:highlight w:val="white"/>
        </w:rPr>
        <w:t>,</w:t>
      </w:r>
      <w:r w:rsidRPr="0051709F">
        <w:rPr>
          <w:rFonts w:eastAsia="Open Sans" w:cstheme="minorHAnsi"/>
          <w:color w:val="1D1D1B"/>
          <w:highlight w:val="white"/>
        </w:rPr>
        <w:t xml:space="preserve"> cubriendo la falta de evidencias en referencia a la prevalencia de inactividad física en grupos etarios no evaluados, como la primera infancia, etapa infantil o </w:t>
      </w:r>
      <w:r w:rsidRPr="0051709F">
        <w:rPr>
          <w:rFonts w:eastAsia="Open Sans" w:cstheme="minorHAnsi"/>
          <w:color w:val="1D1D1B"/>
        </w:rPr>
        <w:t>mayores de 70 años</w:t>
      </w:r>
      <w:r w:rsidRPr="0051709F">
        <w:rPr>
          <w:rFonts w:eastAsia="Open Sans" w:cstheme="minorHAnsi"/>
          <w:color w:val="1D1D1B"/>
          <w:highlight w:val="white"/>
        </w:rPr>
        <w:t>. También se propone incorporar a grupos poco estudiados como las personas que viven con enfermedades crónicas o cuidadoras/es, discapacidad, vulnerabilidad o bien se identifican como colectivo LGTBI</w:t>
      </w:r>
      <w:r w:rsidR="0096641B">
        <w:rPr>
          <w:rFonts w:eastAsia="Open Sans" w:cstheme="minorHAnsi"/>
          <w:color w:val="1D1D1B"/>
          <w:highlight w:val="white"/>
        </w:rPr>
        <w:t>Q+</w:t>
      </w:r>
      <w:r w:rsidRPr="0051709F">
        <w:rPr>
          <w:rFonts w:eastAsia="Open Sans" w:cstheme="minorHAnsi"/>
          <w:color w:val="1D1D1B"/>
          <w:highlight w:val="white"/>
        </w:rPr>
        <w:t>. Estos estudios observacionales que deben facilitar el monitoreo y evaluación continuada de la Estrategia Nacional</w:t>
      </w:r>
      <w:r w:rsidR="0096641B">
        <w:rPr>
          <w:rFonts w:eastAsia="Open Sans" w:cstheme="minorHAnsi"/>
          <w:color w:val="1D1D1B"/>
          <w:highlight w:val="white"/>
        </w:rPr>
        <w:t>,</w:t>
      </w:r>
      <w:r w:rsidRPr="0051709F">
        <w:rPr>
          <w:rFonts w:eastAsia="Open Sans" w:cstheme="minorHAnsi"/>
          <w:color w:val="1D1D1B"/>
          <w:highlight w:val="white"/>
        </w:rPr>
        <w:t xml:space="preserve"> deberían ser representativos de la población española para que tanto el diagnóstico basal como el seguimiento a lo largo del tiempo</w:t>
      </w:r>
      <w:r w:rsidR="0096641B">
        <w:rPr>
          <w:rFonts w:eastAsia="Open Sans" w:cstheme="minorHAnsi"/>
          <w:color w:val="1D1D1B"/>
          <w:highlight w:val="white"/>
        </w:rPr>
        <w:t>,</w:t>
      </w:r>
      <w:r w:rsidRPr="0051709F">
        <w:rPr>
          <w:rFonts w:eastAsia="Open Sans" w:cstheme="minorHAnsi"/>
          <w:color w:val="1D1D1B"/>
          <w:highlight w:val="white"/>
        </w:rPr>
        <w:t xml:space="preserve"> permitan obtener unos resultados extrapolables al conjunto de la población. </w:t>
      </w:r>
    </w:p>
    <w:p w14:paraId="48126C78" w14:textId="77777777" w:rsidR="00EF3BE6" w:rsidRPr="0051709F" w:rsidRDefault="00EF3BE6" w:rsidP="002773E8">
      <w:pPr>
        <w:ind w:left="40"/>
        <w:jc w:val="both"/>
        <w:rPr>
          <w:rFonts w:eastAsia="Open Sans" w:cstheme="minorHAnsi"/>
          <w:color w:val="1D1D1B"/>
          <w:highlight w:val="white"/>
        </w:rPr>
      </w:pPr>
    </w:p>
    <w:p w14:paraId="61CB49A8" w14:textId="5D55DB1A"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 xml:space="preserve">Las herramientas de evaluación propuestas para recopilar los indicadores de impacto seleccionados se pueden recoger mediante cuestionarios validados de actividad física y métodos más objetivos como la </w:t>
      </w:r>
      <w:proofErr w:type="spellStart"/>
      <w:r w:rsidRPr="0051709F">
        <w:rPr>
          <w:rFonts w:eastAsia="Open Sans" w:cstheme="minorHAnsi"/>
          <w:color w:val="1D1D1B"/>
          <w:highlight w:val="white"/>
        </w:rPr>
        <w:t>acelerometría</w:t>
      </w:r>
      <w:proofErr w:type="spellEnd"/>
      <w:r w:rsidRPr="0051709F">
        <w:rPr>
          <w:rFonts w:eastAsia="Open Sans" w:cstheme="minorHAnsi"/>
          <w:color w:val="1D1D1B"/>
          <w:highlight w:val="white"/>
        </w:rPr>
        <w:t>.</w:t>
      </w:r>
    </w:p>
    <w:p w14:paraId="4C330BBB" w14:textId="77777777" w:rsidR="00EF3BE6" w:rsidRPr="0051709F" w:rsidRDefault="00EF3BE6" w:rsidP="002773E8">
      <w:pPr>
        <w:ind w:left="40"/>
        <w:jc w:val="both"/>
        <w:rPr>
          <w:rFonts w:eastAsia="Open Sans" w:cstheme="minorHAnsi"/>
          <w:color w:val="1D1D1B"/>
          <w:highlight w:val="white"/>
        </w:rPr>
      </w:pPr>
    </w:p>
    <w:p w14:paraId="4ED59755" w14:textId="5CFB8868"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lastRenderedPageBreak/>
        <w:t>Las herramientas de evaluación indirecta, como los cuestionarios deben adaptarse y flexibilizarse a la población a la que va dirigida asegurando la reducción de la brecha digital dando la oportunidad a todas las personas a participar mediante el uso de cuestionarios en papel. Para obtener datos socioeconómicos a nivel poblacional, la Renta Media por Persona anual según sección censal, índice de pobreza, estado ocupacional o el nivel de estudios entre otros</w:t>
      </w:r>
      <w:r w:rsidR="0096641B">
        <w:rPr>
          <w:rFonts w:eastAsia="Open Sans" w:cstheme="minorHAnsi"/>
          <w:color w:val="1D1D1B"/>
          <w:highlight w:val="white"/>
        </w:rPr>
        <w:t>,</w:t>
      </w:r>
      <w:r w:rsidRPr="0051709F">
        <w:rPr>
          <w:rFonts w:eastAsia="Open Sans" w:cstheme="minorHAnsi"/>
          <w:color w:val="1D1D1B"/>
          <w:highlight w:val="white"/>
        </w:rPr>
        <w:t xml:space="preserve"> pueden ser de gran valor para definirlos. En referencia al estado de salud, lugar de procedencia, presencia o no de enfermedad, grado de discapacidad o autopercepción de género no binario, se puede registrar mediante la historia clínica de la persona. Estos indicadores socioeconómicos permiten establecer comparativas con los resultados de inactividad física y sedentarismo para después estratificarlos por género (incluyendo el colectivo LGTBI</w:t>
      </w:r>
      <w:r w:rsidR="0096641B">
        <w:rPr>
          <w:rFonts w:eastAsia="Open Sans" w:cstheme="minorHAnsi"/>
          <w:color w:val="1D1D1B"/>
          <w:highlight w:val="white"/>
        </w:rPr>
        <w:t>Q+</w:t>
      </w:r>
      <w:r w:rsidRPr="0051709F">
        <w:rPr>
          <w:rFonts w:eastAsia="Open Sans" w:cstheme="minorHAnsi"/>
          <w:color w:val="1D1D1B"/>
          <w:highlight w:val="white"/>
        </w:rPr>
        <w:t>), edad, nivel socioeconómico, presencia o no de enfermedad crónica y lugar de procedencia.</w:t>
      </w:r>
    </w:p>
    <w:p w14:paraId="273E486F" w14:textId="77777777" w:rsidR="00CE492D" w:rsidRPr="0051709F" w:rsidRDefault="00CE492D" w:rsidP="002773E8">
      <w:pPr>
        <w:ind w:left="40"/>
        <w:jc w:val="both"/>
        <w:rPr>
          <w:rFonts w:eastAsia="Open Sans" w:cstheme="minorHAnsi"/>
          <w:color w:val="1D1D1B"/>
          <w:highlight w:val="white"/>
        </w:rPr>
      </w:pPr>
    </w:p>
    <w:p w14:paraId="731B87E5" w14:textId="69D09B45" w:rsidR="002773E8" w:rsidRPr="0051709F" w:rsidRDefault="002773E8" w:rsidP="002773E8">
      <w:pPr>
        <w:ind w:left="40"/>
        <w:jc w:val="both"/>
        <w:rPr>
          <w:rFonts w:eastAsia="Open Sans" w:cstheme="minorHAnsi"/>
          <w:color w:val="000000"/>
          <w:highlight w:val="white"/>
        </w:rPr>
      </w:pPr>
      <w:r w:rsidRPr="0051709F">
        <w:rPr>
          <w:rFonts w:eastAsia="Open Sans" w:cstheme="minorHAnsi"/>
          <w:color w:val="1D1D1B"/>
          <w:highlight w:val="white"/>
        </w:rPr>
        <w:t xml:space="preserve">Desde la Gasol </w:t>
      </w:r>
      <w:proofErr w:type="spellStart"/>
      <w:r w:rsidRPr="0051709F">
        <w:rPr>
          <w:rFonts w:eastAsia="Open Sans" w:cstheme="minorHAnsi"/>
          <w:color w:val="1D1D1B"/>
          <w:highlight w:val="white"/>
        </w:rPr>
        <w:t>Foundation</w:t>
      </w:r>
      <w:proofErr w:type="spellEnd"/>
      <w:r w:rsidRPr="0051709F">
        <w:rPr>
          <w:rFonts w:eastAsia="Open Sans" w:cstheme="minorHAnsi"/>
          <w:color w:val="1D1D1B"/>
          <w:highlight w:val="white"/>
        </w:rPr>
        <w:t xml:space="preserve">, en el marco del estudio PASOS, se ha validado un cuestionario breve, PAU-7S, para evaluar los niveles de actividad física en una muestra representativa a nivel estatal de 8 a 16 años </w:t>
      </w:r>
      <w:sdt>
        <w:sdtPr>
          <w:rPr>
            <w:rFonts w:eastAsia="Open Sans" w:cstheme="minorHAnsi"/>
            <w:color w:val="000000"/>
            <w:highlight w:val="white"/>
          </w:rPr>
          <w:tag w:val="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"/>
          <w:id w:val="883520962"/>
          <w:placeholder>
            <w:docPart w:val="B62044B0AEE982468526D76406A053AC"/>
          </w:placeholder>
        </w:sdtPr>
        <w:sdtContent>
          <w:r w:rsidRPr="0051709F">
            <w:rPr>
              <w:rFonts w:eastAsia="Open Sans" w:cstheme="minorHAnsi"/>
              <w:color w:val="000000"/>
              <w:highlight w:val="white"/>
            </w:rPr>
            <w:t>(</w:t>
          </w:r>
          <w:proofErr w:type="spellStart"/>
          <w:r w:rsidRPr="0051709F">
            <w:rPr>
              <w:rFonts w:eastAsia="Open Sans" w:cstheme="minorHAnsi"/>
              <w:color w:val="000000"/>
              <w:highlight w:val="white"/>
            </w:rPr>
            <w:t>Schröder</w:t>
          </w:r>
          <w:proofErr w:type="spellEnd"/>
          <w:r w:rsidRPr="0051709F">
            <w:rPr>
              <w:rFonts w:eastAsia="Open Sans" w:cstheme="minorHAnsi"/>
              <w:color w:val="000000"/>
              <w:highlight w:val="white"/>
            </w:rPr>
            <w:t xml:space="preserve"> et al., 2021)</w:t>
          </w:r>
          <w:r w:rsidR="0096641B">
            <w:rPr>
              <w:rFonts w:eastAsia="Open Sans" w:cstheme="minorHAnsi"/>
              <w:color w:val="000000"/>
              <w:highlight w:val="white"/>
            </w:rPr>
            <w:t>.</w:t>
          </w:r>
        </w:sdtContent>
      </w:sdt>
      <w:r w:rsidRPr="0051709F">
        <w:rPr>
          <w:rFonts w:eastAsia="Open Sans" w:cstheme="minorHAnsi"/>
          <w:color w:val="000000"/>
          <w:highlight w:val="white"/>
        </w:rPr>
        <w:t xml:space="preserve"> </w:t>
      </w:r>
      <w:r w:rsidRPr="0051709F">
        <w:rPr>
          <w:rFonts w:eastAsia="Open Sans" w:cstheme="minorHAnsi"/>
          <w:color w:val="1D1D1B"/>
          <w:highlight w:val="white"/>
        </w:rPr>
        <w:t xml:space="preserve">En futuros estudios, se propone validar, ajustar y calibrar la herramienta en población infantil, adulta y en personas mayores de 70 años. Para medir el comportamiento sedentario, se propone la administración del cuestionario validado </w:t>
      </w:r>
      <w:proofErr w:type="spellStart"/>
      <w:r w:rsidRPr="0051709F">
        <w:rPr>
          <w:rFonts w:eastAsia="Open Sans" w:cstheme="minorHAnsi"/>
          <w:i/>
          <w:iCs/>
          <w:color w:val="1D1D1B"/>
          <w:highlight w:val="white"/>
        </w:rPr>
        <w:t>Screen</w:t>
      </w:r>
      <w:proofErr w:type="spellEnd"/>
      <w:r w:rsidRPr="0051709F">
        <w:rPr>
          <w:rFonts w:eastAsia="Open Sans" w:cstheme="minorHAnsi"/>
          <w:i/>
          <w:iCs/>
          <w:color w:val="1D1D1B"/>
          <w:highlight w:val="white"/>
        </w:rPr>
        <w:t xml:space="preserve"> time-</w:t>
      </w:r>
      <w:proofErr w:type="spellStart"/>
      <w:r w:rsidRPr="0051709F">
        <w:rPr>
          <w:rFonts w:eastAsia="Open Sans" w:cstheme="minorHAnsi"/>
          <w:i/>
          <w:iCs/>
          <w:color w:val="1D1D1B"/>
          <w:highlight w:val="white"/>
        </w:rPr>
        <w:t>based</w:t>
      </w:r>
      <w:proofErr w:type="spellEnd"/>
      <w:r w:rsidRPr="0051709F">
        <w:rPr>
          <w:rFonts w:eastAsia="Open Sans" w:cstheme="minorHAnsi"/>
          <w:i/>
          <w:iCs/>
          <w:color w:val="1D1D1B"/>
          <w:highlight w:val="white"/>
        </w:rPr>
        <w:t xml:space="preserve"> </w:t>
      </w:r>
      <w:proofErr w:type="spellStart"/>
      <w:r w:rsidRPr="0051709F">
        <w:rPr>
          <w:rFonts w:eastAsia="Open Sans" w:cstheme="minorHAnsi"/>
          <w:i/>
          <w:iCs/>
          <w:color w:val="1D1D1B"/>
          <w:highlight w:val="white"/>
        </w:rPr>
        <w:t>Sedentary</w:t>
      </w:r>
      <w:proofErr w:type="spellEnd"/>
      <w:r w:rsidRPr="0051709F">
        <w:rPr>
          <w:rFonts w:eastAsia="Open Sans" w:cstheme="minorHAnsi"/>
          <w:i/>
          <w:iCs/>
          <w:color w:val="1D1D1B"/>
          <w:highlight w:val="white"/>
        </w:rPr>
        <w:t xml:space="preserve"> </w:t>
      </w:r>
      <w:proofErr w:type="spellStart"/>
      <w:r w:rsidRPr="0051709F">
        <w:rPr>
          <w:rFonts w:eastAsia="Open Sans" w:cstheme="minorHAnsi"/>
          <w:i/>
          <w:iCs/>
          <w:color w:val="1D1D1B"/>
          <w:highlight w:val="white"/>
        </w:rPr>
        <w:t>Behaviour</w:t>
      </w:r>
      <w:proofErr w:type="spellEnd"/>
      <w:r w:rsidRPr="0051709F">
        <w:rPr>
          <w:rFonts w:eastAsia="Open Sans" w:cstheme="minorHAnsi"/>
          <w:i/>
          <w:iCs/>
          <w:color w:val="1D1D1B"/>
          <w:highlight w:val="white"/>
        </w:rPr>
        <w:t xml:space="preserve"> </w:t>
      </w:r>
      <w:proofErr w:type="spellStart"/>
      <w:r w:rsidRPr="0051709F">
        <w:rPr>
          <w:rFonts w:eastAsia="Open Sans" w:cstheme="minorHAnsi"/>
          <w:i/>
          <w:iCs/>
          <w:color w:val="1D1D1B"/>
          <w:highlight w:val="white"/>
        </w:rPr>
        <w:t>Questionnaire</w:t>
      </w:r>
      <w:proofErr w:type="spellEnd"/>
      <w:r w:rsidRPr="0051709F">
        <w:rPr>
          <w:rFonts w:eastAsia="Open Sans" w:cstheme="minorHAnsi"/>
          <w:color w:val="1D1D1B"/>
          <w:highlight w:val="white"/>
        </w:rPr>
        <w:t xml:space="preserve"> (</w:t>
      </w:r>
      <w:sdt>
        <w:sdtPr>
          <w:rPr>
            <w:rFonts w:cstheme="minorHAnsi"/>
          </w:rPr>
          <w:tag w:val="goog_rdk_5"/>
          <w:id w:val="697980690"/>
        </w:sdtPr>
        <w:sdtContent/>
      </w:sdt>
      <w:r w:rsidRPr="0051709F">
        <w:rPr>
          <w:rFonts w:eastAsia="Open Sans" w:cstheme="minorHAnsi"/>
          <w:color w:val="1D1D1B"/>
          <w:highlight w:val="white"/>
        </w:rPr>
        <w:t xml:space="preserve">SSBQ) </w:t>
      </w:r>
      <w:sdt>
        <w:sdtPr>
          <w:rPr>
            <w:rFonts w:eastAsia="Open Sans" w:cstheme="minorHAnsi"/>
            <w:color w:val="000000"/>
            <w:highlight w:val="white"/>
          </w:rPr>
          <w:tag w:val="MENDELEY_CITATION_v3_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"/>
          <w:id w:val="-615824544"/>
          <w:placeholder>
            <w:docPart w:val="B62044B0AEE982468526D76406A053AC"/>
          </w:placeholder>
        </w:sdtPr>
        <w:sdtContent>
          <w:r w:rsidRPr="0051709F">
            <w:rPr>
              <w:rFonts w:eastAsia="Open Sans" w:cstheme="minorHAnsi"/>
              <w:color w:val="000000"/>
              <w:highlight w:val="white"/>
            </w:rPr>
            <w:t>(Rey-López et al., 2012)</w:t>
          </w:r>
        </w:sdtContent>
      </w:sdt>
      <w:r w:rsidRPr="0051709F">
        <w:rPr>
          <w:rFonts w:eastAsia="Open Sans" w:cstheme="minorHAnsi"/>
          <w:color w:val="000000"/>
          <w:highlight w:val="white"/>
        </w:rPr>
        <w:t>.</w:t>
      </w:r>
    </w:p>
    <w:p w14:paraId="58598FC4" w14:textId="77777777" w:rsidR="00CE492D" w:rsidRPr="0051709F" w:rsidRDefault="00CE492D" w:rsidP="002773E8">
      <w:pPr>
        <w:ind w:left="40"/>
        <w:jc w:val="both"/>
        <w:rPr>
          <w:rFonts w:eastAsia="Open Sans" w:cstheme="minorHAnsi"/>
          <w:color w:val="1D1D1B"/>
          <w:highlight w:val="white"/>
        </w:rPr>
      </w:pPr>
    </w:p>
    <w:p w14:paraId="02394B3D" w14:textId="0E71109D"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Asimismo, la sostenibilidad del plan de evaluación debe asegurarse</w:t>
      </w:r>
      <w:r w:rsidR="0096641B">
        <w:rPr>
          <w:rFonts w:eastAsia="Open Sans" w:cstheme="minorHAnsi"/>
          <w:color w:val="1D1D1B"/>
          <w:highlight w:val="white"/>
        </w:rPr>
        <w:t>,</w:t>
      </w:r>
      <w:r w:rsidRPr="0051709F">
        <w:rPr>
          <w:rFonts w:eastAsia="Open Sans" w:cstheme="minorHAnsi"/>
          <w:color w:val="1D1D1B"/>
          <w:highlight w:val="white"/>
        </w:rPr>
        <w:t xml:space="preserve"> por lo que la metodología basada en </w:t>
      </w:r>
      <w:proofErr w:type="spellStart"/>
      <w:r w:rsidRPr="0051709F">
        <w:rPr>
          <w:rFonts w:eastAsia="Open Sans" w:cstheme="minorHAnsi"/>
          <w:color w:val="1D1D1B"/>
          <w:highlight w:val="white"/>
        </w:rPr>
        <w:t>acelerometría</w:t>
      </w:r>
      <w:proofErr w:type="spellEnd"/>
      <w:r w:rsidRPr="0051709F">
        <w:rPr>
          <w:rFonts w:eastAsia="Open Sans" w:cstheme="minorHAnsi"/>
          <w:color w:val="1D1D1B"/>
          <w:highlight w:val="white"/>
        </w:rPr>
        <w:t>, debido a su elevado coste, se propone incorporarla en una submuestra del 10% también representativa de la población residente en España. La combinación de ambas herramientas de evaluación permite validar y calibrar cuestionarios indirectos mediante herramientas más objetivas que ejercen de Gold Standard.</w:t>
      </w:r>
    </w:p>
    <w:p w14:paraId="109301FF" w14:textId="77777777" w:rsidR="00CE492D" w:rsidRPr="0051709F" w:rsidRDefault="00CE492D" w:rsidP="002773E8">
      <w:pPr>
        <w:ind w:left="40"/>
        <w:jc w:val="both"/>
        <w:rPr>
          <w:rFonts w:eastAsia="Open Sans" w:cstheme="minorHAnsi"/>
          <w:color w:val="1D1D1B"/>
          <w:highlight w:val="white"/>
        </w:rPr>
      </w:pPr>
    </w:p>
    <w:p w14:paraId="6B081E20" w14:textId="77777777" w:rsidR="002773E8" w:rsidRPr="0051709F" w:rsidRDefault="002773E8" w:rsidP="002773E8">
      <w:pPr>
        <w:ind w:left="40"/>
        <w:jc w:val="both"/>
        <w:rPr>
          <w:rFonts w:eastAsia="Open Sans" w:cstheme="minorHAnsi"/>
          <w:color w:val="1D1D1B"/>
          <w:highlight w:val="white"/>
        </w:rPr>
      </w:pPr>
      <w:r w:rsidRPr="0051709F">
        <w:rPr>
          <w:rFonts w:eastAsia="Open Sans" w:cstheme="minorHAnsi"/>
          <w:color w:val="1D1D1B"/>
          <w:highlight w:val="white"/>
        </w:rPr>
        <w:t xml:space="preserve">Por ello, la evidencia actual precisa del diseño de nuevas herramientas para evaluar la actividad física y los comportamientos sedentarios en colectivos que no suelen entrar en los criterios de inclusión de estudios científicos como es el caso de personas que viven con discapacidad. También existe la necesidad de adaptar los cuestionarios existentes en primera infancia, adultez y en mayores </w:t>
      </w:r>
      <w:r w:rsidRPr="0051709F">
        <w:rPr>
          <w:rFonts w:eastAsia="Open Sans" w:cstheme="minorHAnsi"/>
          <w:color w:val="1D1D1B"/>
        </w:rPr>
        <w:t xml:space="preserve">de 70 años </w:t>
      </w:r>
      <w:r w:rsidRPr="0051709F">
        <w:rPr>
          <w:rFonts w:eastAsia="Open Sans" w:cstheme="minorHAnsi"/>
          <w:color w:val="1D1D1B"/>
          <w:highlight w:val="white"/>
        </w:rPr>
        <w:t>para validarlos, calibrarlos y utilizarlos para evaluar el impacto de la estrategia nacional de reducción de la inactividad física y el sedentarismo.</w:t>
      </w:r>
    </w:p>
    <w:p w14:paraId="3178AFF5" w14:textId="77777777" w:rsidR="002773E8" w:rsidRPr="0051709F" w:rsidRDefault="002773E8" w:rsidP="002773E8">
      <w:pPr>
        <w:ind w:left="40"/>
        <w:jc w:val="both"/>
        <w:rPr>
          <w:rFonts w:eastAsia="Open Sans" w:cstheme="minorHAnsi"/>
          <w:color w:val="1D1D1B"/>
          <w:highlight w:val="white"/>
        </w:rPr>
      </w:pPr>
    </w:p>
    <w:p w14:paraId="7E031DFF" w14:textId="2E6E65F1" w:rsidR="002773E8" w:rsidRPr="0051709F" w:rsidRDefault="002773E8" w:rsidP="00374DB3">
      <w:pPr>
        <w:pStyle w:val="Ttulo2"/>
        <w:numPr>
          <w:ilvl w:val="0"/>
          <w:numId w:val="0"/>
        </w:numPr>
        <w:ind w:left="40"/>
        <w:jc w:val="both"/>
        <w:rPr>
          <w:rFonts w:asciiTheme="minorHAnsi" w:eastAsia="Open Sans" w:hAnsiTheme="minorHAnsi" w:cstheme="minorHAnsi"/>
          <w:sz w:val="24"/>
          <w:szCs w:val="24"/>
          <w:highlight w:val="white"/>
          <w:lang w:val="es-ES"/>
        </w:rPr>
      </w:pPr>
      <w:r w:rsidRPr="0051709F">
        <w:rPr>
          <w:rFonts w:asciiTheme="minorHAnsi" w:eastAsia="Open Sans" w:hAnsiTheme="minorHAnsi" w:cstheme="minorHAnsi"/>
          <w:sz w:val="24"/>
          <w:szCs w:val="24"/>
          <w:highlight w:val="white"/>
          <w:lang w:val="es-ES"/>
        </w:rPr>
        <w:t xml:space="preserve">Recomendaciones generales para la integración de la propuesta dentro de la </w:t>
      </w:r>
      <w:r w:rsidR="00CE492D" w:rsidRPr="0051709F">
        <w:rPr>
          <w:rFonts w:asciiTheme="minorHAnsi" w:eastAsia="Open Sans" w:hAnsiTheme="minorHAnsi" w:cstheme="minorHAnsi"/>
          <w:sz w:val="24"/>
          <w:szCs w:val="24"/>
          <w:highlight w:val="white"/>
          <w:lang w:val="es-ES"/>
        </w:rPr>
        <w:t>E</w:t>
      </w:r>
      <w:r w:rsidRPr="0051709F">
        <w:rPr>
          <w:rFonts w:asciiTheme="minorHAnsi" w:eastAsia="Open Sans" w:hAnsiTheme="minorHAnsi" w:cstheme="minorHAnsi"/>
          <w:sz w:val="24"/>
          <w:szCs w:val="24"/>
          <w:highlight w:val="white"/>
          <w:lang w:val="es-ES"/>
        </w:rPr>
        <w:t>strategia</w:t>
      </w:r>
      <w:r w:rsidR="00CE492D" w:rsidRPr="0051709F">
        <w:rPr>
          <w:rFonts w:asciiTheme="minorHAnsi" w:eastAsia="Open Sans" w:hAnsiTheme="minorHAnsi" w:cstheme="minorHAnsi"/>
          <w:sz w:val="24"/>
          <w:szCs w:val="24"/>
          <w:highlight w:val="white"/>
          <w:lang w:val="es-ES"/>
        </w:rPr>
        <w:t xml:space="preserve"> Nacional</w:t>
      </w:r>
    </w:p>
    <w:p w14:paraId="58A2B13A" w14:textId="77777777" w:rsidR="002773E8" w:rsidRPr="0051709F" w:rsidRDefault="002773E8" w:rsidP="002773E8">
      <w:pPr>
        <w:shd w:val="clear" w:color="auto" w:fill="FFFFFF"/>
        <w:jc w:val="both"/>
        <w:rPr>
          <w:rFonts w:eastAsia="Open Sans" w:cstheme="minorHAnsi"/>
          <w:i/>
          <w:color w:val="C00000"/>
        </w:rPr>
      </w:pPr>
    </w:p>
    <w:p w14:paraId="7475E5FE" w14:textId="656F730B" w:rsidR="002773E8" w:rsidRPr="0051709F" w:rsidRDefault="002773E8" w:rsidP="002773E8">
      <w:pPr>
        <w:shd w:val="clear" w:color="auto" w:fill="FFFFFF"/>
        <w:jc w:val="both"/>
        <w:rPr>
          <w:rFonts w:eastAsia="Open Sans" w:cstheme="minorHAnsi"/>
          <w:color w:val="1D1D1B"/>
          <w:highlight w:val="white"/>
        </w:rPr>
      </w:pPr>
      <w:r w:rsidRPr="0051709F">
        <w:rPr>
          <w:rFonts w:eastAsia="Open Sans" w:cstheme="minorHAnsi"/>
          <w:color w:val="1D1D1B"/>
          <w:highlight w:val="white"/>
        </w:rPr>
        <w:t xml:space="preserve">En el caso de la etapa infantojuvenil, el </w:t>
      </w:r>
      <w:r w:rsidRPr="0051709F">
        <w:rPr>
          <w:rFonts w:eastAsia="Open Sans" w:cstheme="minorHAnsi"/>
          <w:b/>
          <w:bCs/>
          <w:i/>
          <w:iCs/>
          <w:color w:val="1D1D1B"/>
          <w:highlight w:val="white"/>
        </w:rPr>
        <w:t xml:space="preserve">Plan Estratégico Nacional para la reducción de la </w:t>
      </w:r>
      <w:r w:rsidR="00CE492D" w:rsidRPr="0051709F">
        <w:rPr>
          <w:rFonts w:eastAsia="Open Sans" w:cstheme="minorHAnsi"/>
          <w:b/>
          <w:bCs/>
          <w:i/>
          <w:iCs/>
          <w:color w:val="1D1D1B"/>
          <w:highlight w:val="white"/>
        </w:rPr>
        <w:t>O</w:t>
      </w:r>
      <w:r w:rsidRPr="0051709F">
        <w:rPr>
          <w:rFonts w:eastAsia="Open Sans" w:cstheme="minorHAnsi"/>
          <w:b/>
          <w:bCs/>
          <w:i/>
          <w:iCs/>
          <w:color w:val="1D1D1B"/>
          <w:highlight w:val="white"/>
        </w:rPr>
        <w:t xml:space="preserve">besidad Infantil (2022-2030) </w:t>
      </w:r>
      <w:r w:rsidRPr="0051709F">
        <w:rPr>
          <w:rFonts w:eastAsia="Open Sans" w:cstheme="minorHAnsi"/>
          <w:color w:val="1D1D1B"/>
          <w:highlight w:val="white"/>
        </w:rPr>
        <w:t xml:space="preserve">impulsado desde el Gobierno de España y coordinado por el Alto Comisionado contra la Pobreza Infantil en Presidencia de Gobierno, con la Gasol </w:t>
      </w:r>
      <w:proofErr w:type="spellStart"/>
      <w:r w:rsidRPr="0051709F">
        <w:rPr>
          <w:rFonts w:eastAsia="Open Sans" w:cstheme="minorHAnsi"/>
          <w:color w:val="1D1D1B"/>
          <w:highlight w:val="white"/>
        </w:rPr>
        <w:t>Foundation</w:t>
      </w:r>
      <w:proofErr w:type="spellEnd"/>
      <w:r w:rsidRPr="0051709F">
        <w:rPr>
          <w:rFonts w:eastAsia="Open Sans" w:cstheme="minorHAnsi"/>
          <w:color w:val="1D1D1B"/>
          <w:highlight w:val="white"/>
        </w:rPr>
        <w:t xml:space="preserve"> como aliado clave, </w:t>
      </w:r>
      <w:r w:rsidR="00CE492D" w:rsidRPr="0051709F">
        <w:rPr>
          <w:rFonts w:eastAsia="Open Sans" w:cstheme="minorHAnsi"/>
          <w:color w:val="1D1D1B"/>
          <w:highlight w:val="white"/>
        </w:rPr>
        <w:t>ha sido</w:t>
      </w:r>
      <w:r w:rsidRPr="0051709F">
        <w:rPr>
          <w:rFonts w:eastAsia="Open Sans" w:cstheme="minorHAnsi"/>
          <w:color w:val="1D1D1B"/>
          <w:highlight w:val="white"/>
        </w:rPr>
        <w:t xml:space="preserve"> concebido como una hoja de ruta para los próximos diez años con el objetivo de alcanzar una España en la que crecer de forma saludable sea un derecho para todo los niños, niñas y adolescentes </w:t>
      </w:r>
      <w:sdt>
        <w:sdtPr>
          <w:rPr>
            <w:rFonts w:eastAsia="Open Sans" w:cstheme="minorHAnsi"/>
            <w:color w:val="000000"/>
            <w:highlight w:val="white"/>
          </w:rPr>
          <w:tag w:val="MENDELEY_CITATION_v3_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"/>
          <w:id w:val="583111991"/>
          <w:placeholder>
            <w:docPart w:val="B62044B0AEE982468526D76406A053AC"/>
          </w:placeholder>
        </w:sdtPr>
        <w:sdtContent>
          <w:r w:rsidRPr="0051709F">
            <w:rPr>
              <w:rFonts w:eastAsia="Open Sans" w:cstheme="minorHAnsi"/>
              <w:color w:val="000000"/>
              <w:highlight w:val="white"/>
            </w:rPr>
            <w:t>(Gobierno de España, 2023)</w:t>
          </w:r>
          <w:r w:rsidR="0096641B">
            <w:rPr>
              <w:rFonts w:eastAsia="Open Sans" w:cstheme="minorHAnsi"/>
              <w:color w:val="000000"/>
              <w:highlight w:val="white"/>
            </w:rPr>
            <w:t>.</w:t>
          </w:r>
        </w:sdtContent>
      </w:sdt>
    </w:p>
    <w:p w14:paraId="6A053F00" w14:textId="77777777" w:rsidR="002773E8" w:rsidRPr="0051709F" w:rsidRDefault="002773E8" w:rsidP="002773E8">
      <w:pPr>
        <w:shd w:val="clear" w:color="auto" w:fill="FFFFFF"/>
        <w:jc w:val="both"/>
        <w:rPr>
          <w:rFonts w:eastAsia="Open Sans" w:cstheme="minorHAnsi"/>
          <w:color w:val="1D1D1B"/>
          <w:highlight w:val="white"/>
        </w:rPr>
      </w:pPr>
    </w:p>
    <w:p w14:paraId="4F2F0FA8" w14:textId="277C2BD6" w:rsidR="00CE492D" w:rsidRPr="0051709F" w:rsidRDefault="002773E8" w:rsidP="002773E8">
      <w:pPr>
        <w:shd w:val="clear" w:color="auto" w:fill="FFFFFF"/>
        <w:jc w:val="both"/>
        <w:rPr>
          <w:rFonts w:eastAsia="Open Sans" w:cstheme="minorHAnsi"/>
          <w:color w:val="1D1D1B"/>
          <w:highlight w:val="white"/>
        </w:rPr>
      </w:pPr>
      <w:r w:rsidRPr="0051709F">
        <w:rPr>
          <w:rFonts w:eastAsia="Open Sans" w:cstheme="minorHAnsi"/>
          <w:color w:val="1D1D1B"/>
          <w:highlight w:val="white"/>
        </w:rPr>
        <w:lastRenderedPageBreak/>
        <w:t xml:space="preserve">Es por ello por lo que impulsa un conjunto de medidas en las que también se contempla la reducción de la brecha social y las desigualdades por género, edad, condición o procedencia. Las medidas incluidas en el Plan Estratégico Nacional de </w:t>
      </w:r>
      <w:r w:rsidR="0096641B" w:rsidRPr="0051709F">
        <w:rPr>
          <w:rFonts w:eastAsia="Open Sans" w:cstheme="minorHAnsi"/>
          <w:color w:val="1D1D1B"/>
          <w:highlight w:val="white"/>
        </w:rPr>
        <w:t>Reducción</w:t>
      </w:r>
      <w:r w:rsidRPr="0051709F">
        <w:rPr>
          <w:rFonts w:eastAsia="Open Sans" w:cstheme="minorHAnsi"/>
          <w:color w:val="1D1D1B"/>
          <w:highlight w:val="white"/>
        </w:rPr>
        <w:t xml:space="preserve"> de la Obesidad Infantil se elaboraron desde una perspectiva generacional que permita el abordaje de los factores de riesgo (entre ellos la inactividad física) a lo largo de todas las etapas de la vida. </w:t>
      </w:r>
    </w:p>
    <w:p w14:paraId="365E6367" w14:textId="77777777" w:rsidR="00CE492D" w:rsidRPr="0051709F" w:rsidRDefault="00CE492D" w:rsidP="002773E8">
      <w:pPr>
        <w:shd w:val="clear" w:color="auto" w:fill="FFFFFF"/>
        <w:jc w:val="both"/>
        <w:rPr>
          <w:rFonts w:eastAsia="Open Sans" w:cstheme="minorHAnsi"/>
          <w:color w:val="1D1D1B"/>
          <w:highlight w:val="white"/>
        </w:rPr>
      </w:pPr>
    </w:p>
    <w:p w14:paraId="664EDB68" w14:textId="1690387E" w:rsidR="002773E8" w:rsidRPr="0051709F" w:rsidRDefault="00CE492D" w:rsidP="002773E8">
      <w:pPr>
        <w:shd w:val="clear" w:color="auto" w:fill="FFFFFF"/>
        <w:jc w:val="both"/>
        <w:rPr>
          <w:rFonts w:eastAsia="Open Sans" w:cstheme="minorHAnsi"/>
          <w:color w:val="1D1D1B"/>
          <w:highlight w:val="white"/>
        </w:rPr>
      </w:pPr>
      <w:r w:rsidRPr="0051709F">
        <w:rPr>
          <w:rFonts w:eastAsia="Open Sans" w:cstheme="minorHAnsi"/>
          <w:color w:val="1D1D1B"/>
          <w:highlight w:val="white"/>
        </w:rPr>
        <w:t xml:space="preserve">Pues bien, dichas medidas serían extrapolables a esta propuesta de Estrategia Nacional, seleccionando especialmente aquellas </w:t>
      </w:r>
      <w:r w:rsidR="002773E8" w:rsidRPr="0051709F">
        <w:rPr>
          <w:rFonts w:eastAsia="Open Sans" w:cstheme="minorHAnsi"/>
          <w:color w:val="1D1D1B"/>
          <w:highlight w:val="white"/>
        </w:rPr>
        <w:t>que benefician a todas las franjas de edad</w:t>
      </w:r>
      <w:r w:rsidRPr="0051709F">
        <w:rPr>
          <w:rFonts w:eastAsia="Open Sans" w:cstheme="minorHAnsi"/>
          <w:color w:val="1D1D1B"/>
          <w:highlight w:val="white"/>
        </w:rPr>
        <w:t>,</w:t>
      </w:r>
      <w:r w:rsidR="002773E8" w:rsidRPr="0051709F">
        <w:rPr>
          <w:rFonts w:eastAsia="Open Sans" w:cstheme="minorHAnsi"/>
          <w:color w:val="1D1D1B"/>
          <w:highlight w:val="white"/>
        </w:rPr>
        <w:t xml:space="preserve"> y </w:t>
      </w:r>
      <w:r w:rsidRPr="0051709F">
        <w:rPr>
          <w:rFonts w:eastAsia="Open Sans" w:cstheme="minorHAnsi"/>
          <w:color w:val="1D1D1B"/>
          <w:highlight w:val="white"/>
        </w:rPr>
        <w:t xml:space="preserve">que </w:t>
      </w:r>
      <w:r w:rsidR="002773E8" w:rsidRPr="0051709F">
        <w:rPr>
          <w:rFonts w:eastAsia="Open Sans" w:cstheme="minorHAnsi"/>
          <w:color w:val="1D1D1B"/>
          <w:highlight w:val="white"/>
        </w:rPr>
        <w:t>se muestran a continuación:</w:t>
      </w:r>
    </w:p>
    <w:p w14:paraId="7A442102" w14:textId="77777777" w:rsidR="002773E8" w:rsidRPr="0051709F" w:rsidRDefault="002773E8" w:rsidP="002773E8">
      <w:pPr>
        <w:shd w:val="clear" w:color="auto" w:fill="FFFFFF"/>
        <w:jc w:val="both"/>
        <w:rPr>
          <w:rFonts w:eastAsia="Open Sans" w:cstheme="minorHAnsi"/>
          <w:color w:val="1D1D1B"/>
          <w:highlight w:val="white"/>
        </w:rPr>
      </w:pPr>
    </w:p>
    <w:p w14:paraId="22B35013" w14:textId="77777777" w:rsidR="002773E8" w:rsidRPr="0051709F" w:rsidRDefault="002773E8" w:rsidP="00E6399B">
      <w:pPr>
        <w:numPr>
          <w:ilvl w:val="0"/>
          <w:numId w:val="75"/>
        </w:numPr>
        <w:pBdr>
          <w:top w:val="nil"/>
          <w:left w:val="nil"/>
          <w:bottom w:val="nil"/>
          <w:right w:val="nil"/>
          <w:between w:val="nil"/>
        </w:pBdr>
        <w:shd w:val="clear" w:color="auto" w:fill="FFFFFF"/>
        <w:ind w:left="426" w:hanging="283"/>
        <w:jc w:val="both"/>
        <w:rPr>
          <w:rFonts w:eastAsia="Open Sans" w:cstheme="minorHAnsi"/>
          <w:color w:val="1D1D1B"/>
          <w:highlight w:val="white"/>
        </w:rPr>
      </w:pPr>
      <w:r w:rsidRPr="0051709F">
        <w:rPr>
          <w:rFonts w:eastAsia="Open Sans" w:cstheme="minorHAnsi"/>
          <w:color w:val="1D1D1B"/>
          <w:highlight w:val="white"/>
        </w:rPr>
        <w:t>Reducción de la brecha social en el acceso a la práctica de actividad física y deporte (ED3).</w:t>
      </w:r>
    </w:p>
    <w:p w14:paraId="5413B69A"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1D1D1B"/>
          <w:highlight w:val="white"/>
        </w:rPr>
      </w:pPr>
      <w:r w:rsidRPr="0051709F">
        <w:rPr>
          <w:rFonts w:eastAsia="Open Sans" w:cstheme="minorHAnsi"/>
          <w:color w:val="1D1D1B"/>
          <w:highlight w:val="white"/>
        </w:rPr>
        <w:t>Creación de un marco estratégico nacional que promueva la actividad física y el deporte.</w:t>
      </w:r>
    </w:p>
    <w:p w14:paraId="135119A6"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1D1D1B"/>
          <w:highlight w:val="white"/>
        </w:rPr>
      </w:pPr>
      <w:r w:rsidRPr="0051709F">
        <w:rPr>
          <w:rFonts w:eastAsia="Open Sans" w:cstheme="minorHAnsi"/>
          <w:color w:val="1D1D1B"/>
          <w:highlight w:val="white"/>
        </w:rPr>
        <w:t>Aumento del deporte y la actividad física en familia.</w:t>
      </w:r>
    </w:p>
    <w:p w14:paraId="2951B7C5"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1D1D1B"/>
          <w:highlight w:val="white"/>
        </w:rPr>
      </w:pPr>
      <w:r w:rsidRPr="0051709F">
        <w:rPr>
          <w:rFonts w:eastAsia="Open Sans" w:cstheme="minorHAnsi"/>
          <w:color w:val="1D1D1B"/>
          <w:highlight w:val="white"/>
        </w:rPr>
        <w:t>Incremento del ocio activo y disminución del sedentarismo en el entorno familiar.</w:t>
      </w:r>
    </w:p>
    <w:p w14:paraId="3F03B877"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1D1D1B"/>
          <w:highlight w:val="white"/>
        </w:rPr>
      </w:pPr>
      <w:r w:rsidRPr="0051709F">
        <w:rPr>
          <w:rFonts w:eastAsia="Open Sans" w:cstheme="minorHAnsi"/>
          <w:color w:val="1D1D1B"/>
          <w:highlight w:val="white"/>
        </w:rPr>
        <w:t>Trasformación de los centros escolares en entornos facilitadores de la práctica de actividad física y deporte en familia.</w:t>
      </w:r>
    </w:p>
    <w:p w14:paraId="0CC8740B"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Desarrollo de la prescripción de actividad física</w:t>
      </w:r>
      <w:r w:rsidRPr="0051709F">
        <w:rPr>
          <w:rFonts w:eastAsia="Open Sans" w:cstheme="minorHAnsi"/>
        </w:rPr>
        <w:t xml:space="preserve"> (ED5).</w:t>
      </w:r>
    </w:p>
    <w:p w14:paraId="01187010"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Aumento de la disponibilidad de instalaciones y actividades de ocio activo y deportivas. </w:t>
      </w:r>
      <w:r w:rsidRPr="0051709F">
        <w:rPr>
          <w:rFonts w:eastAsia="Open Sans" w:cstheme="minorHAnsi"/>
          <w:color w:val="000000"/>
        </w:rPr>
        <w:tab/>
      </w:r>
    </w:p>
    <w:p w14:paraId="218FD3C8"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Disminución de la brecha de género en la práctica de actividad física y deporte (ED2).</w:t>
      </w:r>
    </w:p>
    <w:p w14:paraId="25BC5B74"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 xml:space="preserve">Incremento de la oferta pública destinada a la práctica de actividad física y deportiva (ED1 </w:t>
      </w:r>
      <w:r w:rsidRPr="0051709F">
        <w:rPr>
          <w:rFonts w:eastAsia="Open Sans" w:cstheme="minorHAnsi"/>
        </w:rPr>
        <w:t>a ED7)</w:t>
      </w:r>
      <w:r w:rsidRPr="0051709F">
        <w:rPr>
          <w:rFonts w:eastAsia="Open Sans" w:cstheme="minorHAnsi"/>
          <w:color w:val="000000"/>
        </w:rPr>
        <w:t>.</w:t>
      </w:r>
    </w:p>
    <w:p w14:paraId="460D2E2B" w14:textId="2FD484BF"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 xml:space="preserve">Garantía de que los espacios destinados a la actividad física y al deporte de </w:t>
      </w:r>
      <w:r w:rsidR="0096641B">
        <w:rPr>
          <w:rFonts w:eastAsia="Open Sans" w:cstheme="minorHAnsi"/>
          <w:color w:val="000000"/>
        </w:rPr>
        <w:t>niños, niñas y adolescentes (</w:t>
      </w:r>
      <w:r w:rsidRPr="0051709F">
        <w:rPr>
          <w:rFonts w:eastAsia="Open Sans" w:cstheme="minorHAnsi"/>
          <w:color w:val="000000"/>
        </w:rPr>
        <w:t>NNA</w:t>
      </w:r>
      <w:r w:rsidR="0096641B">
        <w:rPr>
          <w:rFonts w:eastAsia="Open Sans" w:cstheme="minorHAnsi"/>
          <w:color w:val="000000"/>
        </w:rPr>
        <w:t>)</w:t>
      </w:r>
      <w:r w:rsidRPr="0051709F">
        <w:rPr>
          <w:rFonts w:eastAsia="Open Sans" w:cstheme="minorHAnsi"/>
          <w:color w:val="000000"/>
        </w:rPr>
        <w:t xml:space="preserve"> están libres de violencia y discriminación (ED</w:t>
      </w:r>
      <w:r w:rsidRPr="0051709F">
        <w:rPr>
          <w:rFonts w:eastAsia="Open Sans" w:cstheme="minorHAnsi"/>
        </w:rPr>
        <w:t xml:space="preserve">4 y </w:t>
      </w:r>
      <w:r w:rsidRPr="0051709F">
        <w:rPr>
          <w:rFonts w:eastAsia="Open Sans" w:cstheme="minorHAnsi"/>
          <w:color w:val="000000"/>
        </w:rPr>
        <w:t>ED7). </w:t>
      </w:r>
      <w:r w:rsidRPr="0051709F">
        <w:rPr>
          <w:rFonts w:eastAsia="Open Sans" w:cstheme="minorHAnsi"/>
          <w:color w:val="000000"/>
        </w:rPr>
        <w:tab/>
      </w:r>
    </w:p>
    <w:p w14:paraId="02B11296"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Aumento del conocimiento sobre la oferta de ocio activo, actividad física y deporte para familias.</w:t>
      </w:r>
    </w:p>
    <w:p w14:paraId="5E22AFF3"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 xml:space="preserve">Sensibilización y formación específica a decisores y técnicos de entidades locales acerca de las posibilidades que ofrece el entorno urbano para facilitar </w:t>
      </w:r>
      <w:r w:rsidRPr="0051709F">
        <w:rPr>
          <w:rFonts w:eastAsia="Open Sans" w:cstheme="minorHAnsi"/>
        </w:rPr>
        <w:t>la práctica de actividad física y deporte</w:t>
      </w:r>
      <w:r w:rsidRPr="0051709F">
        <w:rPr>
          <w:rFonts w:eastAsia="Open Sans" w:cstheme="minorHAnsi"/>
          <w:color w:val="000000"/>
        </w:rPr>
        <w:t>.</w:t>
      </w:r>
    </w:p>
    <w:p w14:paraId="73C4E49A"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 xml:space="preserve">Promover </w:t>
      </w:r>
      <w:r w:rsidRPr="0051709F">
        <w:rPr>
          <w:rFonts w:eastAsia="Open Sans" w:cstheme="minorHAnsi"/>
        </w:rPr>
        <w:t xml:space="preserve">áreas urbanas </w:t>
      </w:r>
      <w:r w:rsidRPr="0051709F">
        <w:rPr>
          <w:rFonts w:eastAsia="Open Sans" w:cstheme="minorHAnsi"/>
          <w:color w:val="000000"/>
        </w:rPr>
        <w:t>saludables y seguras.</w:t>
      </w:r>
    </w:p>
    <w:p w14:paraId="6382EB4B" w14:textId="77777777" w:rsidR="002773E8" w:rsidRPr="0051709F" w:rsidRDefault="002773E8" w:rsidP="00E6399B">
      <w:pPr>
        <w:numPr>
          <w:ilvl w:val="0"/>
          <w:numId w:val="75"/>
        </w:numPr>
        <w:pBdr>
          <w:top w:val="nil"/>
          <w:left w:val="nil"/>
          <w:bottom w:val="nil"/>
          <w:right w:val="nil"/>
          <w:between w:val="nil"/>
        </w:pBdr>
        <w:ind w:left="426" w:hanging="283"/>
        <w:jc w:val="both"/>
        <w:rPr>
          <w:rFonts w:eastAsia="Open Sans" w:cstheme="minorHAnsi"/>
          <w:color w:val="000000"/>
        </w:rPr>
      </w:pPr>
      <w:r w:rsidRPr="0051709F">
        <w:rPr>
          <w:rFonts w:eastAsia="Open Sans" w:cstheme="minorHAnsi"/>
          <w:color w:val="000000"/>
        </w:rPr>
        <w:t>Promoción del uso de zonas verdes y equipamientos saludables.</w:t>
      </w:r>
    </w:p>
    <w:p w14:paraId="205DE99C" w14:textId="12EA2F66" w:rsidR="00CE492D" w:rsidRPr="0051709F" w:rsidRDefault="002773E8" w:rsidP="00E6399B">
      <w:pPr>
        <w:numPr>
          <w:ilvl w:val="0"/>
          <w:numId w:val="75"/>
        </w:numPr>
        <w:pBdr>
          <w:top w:val="nil"/>
          <w:left w:val="nil"/>
          <w:bottom w:val="nil"/>
          <w:right w:val="nil"/>
          <w:between w:val="nil"/>
        </w:pBdr>
        <w:ind w:left="426" w:hanging="283"/>
        <w:jc w:val="both"/>
        <w:rPr>
          <w:rFonts w:eastAsia="Open Sans" w:cstheme="minorHAnsi"/>
          <w:b/>
          <w:color w:val="222222"/>
          <w:highlight w:val="white"/>
        </w:rPr>
      </w:pPr>
      <w:r w:rsidRPr="0051709F">
        <w:rPr>
          <w:rFonts w:eastAsia="Open Sans" w:cstheme="minorHAnsi"/>
          <w:color w:val="000000"/>
        </w:rPr>
        <w:t>Disminución del tiempo de uso de pantallas.</w:t>
      </w:r>
    </w:p>
    <w:p w14:paraId="6C75C3F8" w14:textId="77777777" w:rsidR="00CE492D" w:rsidRPr="0051709F" w:rsidRDefault="00CE492D" w:rsidP="002773E8">
      <w:pPr>
        <w:ind w:left="426" w:hanging="283"/>
        <w:jc w:val="both"/>
        <w:rPr>
          <w:rFonts w:eastAsia="Open Sans" w:cstheme="minorHAnsi"/>
          <w:b/>
          <w:color w:val="222222"/>
          <w:highlight w:val="white"/>
        </w:rPr>
      </w:pPr>
    </w:p>
    <w:p w14:paraId="16F117CD" w14:textId="77777777" w:rsidR="0053027D" w:rsidRDefault="0053027D" w:rsidP="0032285C">
      <w:pPr>
        <w:pStyle w:val="Ttulo1"/>
        <w:rPr>
          <w:rFonts w:asciiTheme="minorHAnsi" w:hAnsiTheme="minorHAnsi" w:cstheme="minorHAnsi"/>
          <w:sz w:val="24"/>
          <w:szCs w:val="24"/>
        </w:rPr>
      </w:pPr>
    </w:p>
    <w:p w14:paraId="1946E59C" w14:textId="77777777" w:rsidR="0053027D" w:rsidRDefault="0053027D" w:rsidP="0032285C">
      <w:pPr>
        <w:pStyle w:val="Ttulo1"/>
        <w:rPr>
          <w:rFonts w:asciiTheme="minorHAnsi" w:hAnsiTheme="minorHAnsi" w:cstheme="minorHAnsi"/>
          <w:sz w:val="24"/>
          <w:szCs w:val="24"/>
        </w:rPr>
      </w:pPr>
    </w:p>
    <w:p w14:paraId="2582C230" w14:textId="77777777" w:rsidR="00492E3F" w:rsidRDefault="00492E3F" w:rsidP="0032285C">
      <w:pPr>
        <w:pStyle w:val="Ttulo1"/>
        <w:rPr>
          <w:rFonts w:asciiTheme="minorHAnsi" w:hAnsiTheme="minorHAnsi" w:cstheme="minorHAnsi"/>
          <w:sz w:val="28"/>
          <w:szCs w:val="28"/>
        </w:rPr>
      </w:pPr>
    </w:p>
    <w:p w14:paraId="20D840AA" w14:textId="77777777" w:rsidR="00492E3F" w:rsidRDefault="00492E3F" w:rsidP="0032285C">
      <w:pPr>
        <w:pStyle w:val="Ttulo1"/>
        <w:rPr>
          <w:rFonts w:asciiTheme="minorHAnsi" w:hAnsiTheme="minorHAnsi" w:cstheme="minorHAnsi"/>
          <w:sz w:val="28"/>
          <w:szCs w:val="28"/>
        </w:rPr>
      </w:pPr>
    </w:p>
    <w:p w14:paraId="558F52BE" w14:textId="77777777" w:rsidR="00492E3F" w:rsidRDefault="00492E3F" w:rsidP="0032285C">
      <w:pPr>
        <w:pStyle w:val="Ttulo1"/>
        <w:rPr>
          <w:rFonts w:asciiTheme="minorHAnsi" w:hAnsiTheme="minorHAnsi" w:cstheme="minorHAnsi"/>
          <w:sz w:val="28"/>
          <w:szCs w:val="28"/>
        </w:rPr>
      </w:pPr>
    </w:p>
    <w:p w14:paraId="4617DFD6" w14:textId="77777777" w:rsidR="00492E3F" w:rsidRDefault="00492E3F" w:rsidP="0032285C">
      <w:pPr>
        <w:pStyle w:val="Ttulo1"/>
        <w:rPr>
          <w:rFonts w:asciiTheme="minorHAnsi" w:hAnsiTheme="minorHAnsi" w:cstheme="minorHAnsi"/>
          <w:sz w:val="28"/>
          <w:szCs w:val="28"/>
        </w:rPr>
      </w:pPr>
    </w:p>
    <w:p w14:paraId="2FEE0DD6" w14:textId="77777777" w:rsidR="00492E3F" w:rsidRDefault="00492E3F" w:rsidP="0032285C">
      <w:pPr>
        <w:pStyle w:val="Ttulo1"/>
        <w:rPr>
          <w:rFonts w:asciiTheme="minorHAnsi" w:hAnsiTheme="minorHAnsi" w:cstheme="minorHAnsi"/>
          <w:sz w:val="28"/>
          <w:szCs w:val="28"/>
        </w:rPr>
      </w:pPr>
    </w:p>
    <w:p w14:paraId="36512269" w14:textId="77777777" w:rsidR="00492E3F" w:rsidRDefault="00492E3F" w:rsidP="0032285C">
      <w:pPr>
        <w:pStyle w:val="Ttulo1"/>
        <w:rPr>
          <w:rFonts w:asciiTheme="minorHAnsi" w:hAnsiTheme="minorHAnsi" w:cstheme="minorHAnsi"/>
          <w:sz w:val="28"/>
          <w:szCs w:val="28"/>
        </w:rPr>
      </w:pPr>
    </w:p>
    <w:p w14:paraId="1AE27AD8" w14:textId="77777777" w:rsidR="00492E3F" w:rsidRDefault="00492E3F" w:rsidP="0032285C">
      <w:pPr>
        <w:pStyle w:val="Ttulo1"/>
        <w:rPr>
          <w:rFonts w:asciiTheme="minorHAnsi" w:hAnsiTheme="minorHAnsi" w:cstheme="minorHAnsi"/>
          <w:sz w:val="28"/>
          <w:szCs w:val="28"/>
        </w:rPr>
      </w:pPr>
    </w:p>
    <w:p w14:paraId="039AAE54" w14:textId="77777777" w:rsidR="00492E3F" w:rsidRDefault="00492E3F" w:rsidP="0032285C">
      <w:pPr>
        <w:pStyle w:val="Ttulo1"/>
        <w:rPr>
          <w:rFonts w:asciiTheme="minorHAnsi" w:hAnsiTheme="minorHAnsi" w:cstheme="minorHAnsi"/>
          <w:sz w:val="28"/>
          <w:szCs w:val="28"/>
        </w:rPr>
      </w:pPr>
    </w:p>
    <w:p w14:paraId="0C468EC7" w14:textId="77777777" w:rsidR="00492E3F" w:rsidRDefault="00492E3F" w:rsidP="0032285C">
      <w:pPr>
        <w:pStyle w:val="Ttulo1"/>
        <w:rPr>
          <w:rFonts w:asciiTheme="minorHAnsi" w:hAnsiTheme="minorHAnsi" w:cstheme="minorHAnsi"/>
          <w:sz w:val="28"/>
          <w:szCs w:val="28"/>
        </w:rPr>
      </w:pPr>
    </w:p>
    <w:p w14:paraId="76765C26" w14:textId="77777777" w:rsidR="00492E3F" w:rsidRDefault="00492E3F" w:rsidP="0032285C">
      <w:pPr>
        <w:pStyle w:val="Ttulo1"/>
        <w:rPr>
          <w:rFonts w:asciiTheme="minorHAnsi" w:hAnsiTheme="minorHAnsi" w:cstheme="minorHAnsi"/>
          <w:sz w:val="28"/>
          <w:szCs w:val="28"/>
        </w:rPr>
      </w:pPr>
    </w:p>
    <w:p w14:paraId="3DDF1E57" w14:textId="77777777" w:rsidR="00492E3F" w:rsidRDefault="00492E3F" w:rsidP="0032285C">
      <w:pPr>
        <w:pStyle w:val="Ttulo1"/>
        <w:rPr>
          <w:rFonts w:asciiTheme="minorHAnsi" w:hAnsiTheme="minorHAnsi" w:cstheme="minorHAnsi"/>
          <w:sz w:val="28"/>
          <w:szCs w:val="28"/>
        </w:rPr>
      </w:pPr>
    </w:p>
    <w:p w14:paraId="788F22F9" w14:textId="77777777" w:rsidR="00492E3F" w:rsidRDefault="00492E3F" w:rsidP="0032285C">
      <w:pPr>
        <w:pStyle w:val="Ttulo1"/>
        <w:rPr>
          <w:rFonts w:asciiTheme="minorHAnsi" w:hAnsiTheme="minorHAnsi" w:cstheme="minorHAnsi"/>
          <w:sz w:val="28"/>
          <w:szCs w:val="28"/>
        </w:rPr>
      </w:pPr>
    </w:p>
    <w:p w14:paraId="4B075F7C" w14:textId="269832C2" w:rsidR="00492E3F" w:rsidRDefault="00492E3F" w:rsidP="00492E3F">
      <w:pPr>
        <w:pStyle w:val="Ttulo1"/>
        <w:jc w:val="right"/>
        <w:rPr>
          <w:rFonts w:asciiTheme="minorHAnsi" w:hAnsiTheme="minorHAnsi" w:cstheme="minorHAnsi"/>
        </w:rPr>
      </w:pPr>
      <w:r w:rsidRPr="00492E3F">
        <w:rPr>
          <w:rFonts w:asciiTheme="minorHAnsi" w:hAnsiTheme="minorHAnsi" w:cstheme="minorHAnsi"/>
        </w:rPr>
        <w:t>#</w:t>
      </w:r>
      <w:r w:rsidR="00330A24">
        <w:rPr>
          <w:rFonts w:asciiTheme="minorHAnsi" w:hAnsiTheme="minorHAnsi" w:cstheme="minorHAnsi"/>
        </w:rPr>
        <w:t>5</w:t>
      </w:r>
      <w:r w:rsidRPr="00492E3F">
        <w:rPr>
          <w:rFonts w:asciiTheme="minorHAnsi" w:hAnsiTheme="minorHAnsi" w:cstheme="minorHAnsi"/>
        </w:rPr>
        <w:t>.</w:t>
      </w:r>
      <w:r w:rsidR="00330A24">
        <w:rPr>
          <w:rFonts w:asciiTheme="minorHAnsi" w:hAnsiTheme="minorHAnsi" w:cstheme="minorHAnsi"/>
        </w:rPr>
        <w:t>7</w:t>
      </w:r>
      <w:r w:rsidRPr="00492E3F">
        <w:rPr>
          <w:rFonts w:asciiTheme="minorHAnsi" w:hAnsiTheme="minorHAnsi" w:cstheme="minorHAnsi"/>
        </w:rPr>
        <w:t xml:space="preserve"> Área de acción 7: </w:t>
      </w:r>
    </w:p>
    <w:p w14:paraId="5C3C0A3B" w14:textId="77777777" w:rsidR="00492E3F" w:rsidRDefault="00492E3F" w:rsidP="00492E3F">
      <w:pPr>
        <w:pStyle w:val="Ttulo1"/>
        <w:jc w:val="right"/>
        <w:rPr>
          <w:rFonts w:asciiTheme="minorHAnsi" w:hAnsiTheme="minorHAnsi" w:cstheme="minorHAnsi"/>
        </w:rPr>
      </w:pPr>
    </w:p>
    <w:p w14:paraId="6320FA21" w14:textId="74E6FB1A" w:rsidR="00492E3F" w:rsidRPr="00492E3F" w:rsidRDefault="00492E3F" w:rsidP="00492E3F">
      <w:pPr>
        <w:pStyle w:val="Ttulo1"/>
        <w:jc w:val="right"/>
        <w:rPr>
          <w:rStyle w:val="Prrafo"/>
          <w:rFonts w:asciiTheme="minorHAnsi" w:hAnsiTheme="minorHAnsi" w:cstheme="minorHAnsi"/>
          <w:sz w:val="32"/>
          <w:szCs w:val="32"/>
        </w:rPr>
      </w:pPr>
      <w:r w:rsidRPr="00492E3F">
        <w:rPr>
          <w:rFonts w:asciiTheme="minorHAnsi" w:hAnsiTheme="minorHAnsi" w:cstheme="minorHAnsi"/>
        </w:rPr>
        <w:t>Intervenciones en el entorno físico</w:t>
      </w:r>
    </w:p>
    <w:p w14:paraId="26CBC6F0" w14:textId="77777777" w:rsidR="00492E3F" w:rsidRDefault="00492E3F" w:rsidP="0032285C">
      <w:pPr>
        <w:pStyle w:val="Ttulo1"/>
        <w:rPr>
          <w:rFonts w:asciiTheme="minorHAnsi" w:hAnsiTheme="minorHAnsi" w:cstheme="minorHAnsi"/>
          <w:sz w:val="28"/>
          <w:szCs w:val="28"/>
        </w:rPr>
      </w:pPr>
    </w:p>
    <w:p w14:paraId="5B4CE91A" w14:textId="77777777" w:rsidR="00492E3F" w:rsidRDefault="00492E3F" w:rsidP="0032285C">
      <w:pPr>
        <w:pStyle w:val="Ttulo1"/>
        <w:rPr>
          <w:rFonts w:asciiTheme="minorHAnsi" w:hAnsiTheme="minorHAnsi" w:cstheme="minorHAnsi"/>
          <w:sz w:val="28"/>
          <w:szCs w:val="28"/>
        </w:rPr>
      </w:pPr>
    </w:p>
    <w:p w14:paraId="3E0E323D" w14:textId="77777777" w:rsidR="00492E3F" w:rsidRDefault="00492E3F" w:rsidP="0032285C">
      <w:pPr>
        <w:pStyle w:val="Ttulo1"/>
        <w:rPr>
          <w:rFonts w:asciiTheme="minorHAnsi" w:hAnsiTheme="minorHAnsi" w:cstheme="minorHAnsi"/>
          <w:sz w:val="28"/>
          <w:szCs w:val="28"/>
        </w:rPr>
      </w:pPr>
    </w:p>
    <w:p w14:paraId="38855165" w14:textId="77777777" w:rsidR="00492E3F" w:rsidRDefault="00492E3F" w:rsidP="0032285C">
      <w:pPr>
        <w:pStyle w:val="Ttulo1"/>
        <w:rPr>
          <w:rFonts w:asciiTheme="minorHAnsi" w:hAnsiTheme="minorHAnsi" w:cstheme="minorHAnsi"/>
          <w:sz w:val="28"/>
          <w:szCs w:val="28"/>
        </w:rPr>
      </w:pPr>
    </w:p>
    <w:p w14:paraId="58D41093" w14:textId="77777777" w:rsidR="00492E3F" w:rsidRDefault="00492E3F" w:rsidP="0032285C">
      <w:pPr>
        <w:pStyle w:val="Ttulo1"/>
        <w:rPr>
          <w:rFonts w:asciiTheme="minorHAnsi" w:hAnsiTheme="minorHAnsi" w:cstheme="minorHAnsi"/>
          <w:sz w:val="28"/>
          <w:szCs w:val="28"/>
        </w:rPr>
      </w:pPr>
    </w:p>
    <w:p w14:paraId="61DDD268" w14:textId="77777777" w:rsidR="00492E3F" w:rsidRDefault="00492E3F" w:rsidP="00492E3F"/>
    <w:p w14:paraId="781B03EE" w14:textId="77777777" w:rsidR="00492E3F" w:rsidRDefault="00492E3F" w:rsidP="00492E3F"/>
    <w:p w14:paraId="2C719710" w14:textId="77777777" w:rsidR="00492E3F" w:rsidRDefault="00492E3F" w:rsidP="00492E3F"/>
    <w:p w14:paraId="1CCB74D1" w14:textId="77777777" w:rsidR="00492E3F" w:rsidRPr="00492E3F" w:rsidRDefault="00492E3F" w:rsidP="00492E3F"/>
    <w:p w14:paraId="66D3B704" w14:textId="77777777" w:rsidR="00492E3F" w:rsidRDefault="00492E3F" w:rsidP="0032285C">
      <w:pPr>
        <w:pStyle w:val="Ttulo1"/>
        <w:rPr>
          <w:rFonts w:asciiTheme="minorHAnsi" w:hAnsiTheme="minorHAnsi" w:cstheme="minorHAnsi"/>
          <w:sz w:val="28"/>
          <w:szCs w:val="28"/>
        </w:rPr>
      </w:pPr>
    </w:p>
    <w:p w14:paraId="1B83CDDE" w14:textId="268663FC" w:rsidR="00555AEB" w:rsidRPr="003C43AA" w:rsidRDefault="00DE2181" w:rsidP="0032285C">
      <w:pPr>
        <w:pStyle w:val="Ttulo1"/>
        <w:rPr>
          <w:rStyle w:val="Prrafo"/>
          <w:rFonts w:asciiTheme="minorHAnsi" w:hAnsiTheme="minorHAnsi" w:cstheme="minorHAnsi"/>
          <w:sz w:val="28"/>
          <w:szCs w:val="28"/>
        </w:rPr>
      </w:pPr>
      <w:r w:rsidRPr="003C43AA">
        <w:rPr>
          <w:rFonts w:asciiTheme="minorHAnsi" w:hAnsiTheme="minorHAnsi" w:cstheme="minorHAnsi"/>
          <w:sz w:val="28"/>
          <w:szCs w:val="28"/>
        </w:rPr>
        <w:t>#</w:t>
      </w:r>
      <w:r w:rsidR="00330A24">
        <w:rPr>
          <w:rFonts w:asciiTheme="minorHAnsi" w:hAnsiTheme="minorHAnsi" w:cstheme="minorHAnsi"/>
          <w:sz w:val="28"/>
          <w:szCs w:val="28"/>
        </w:rPr>
        <w:t>5.7</w:t>
      </w:r>
      <w:r w:rsidRPr="003C43AA">
        <w:rPr>
          <w:rFonts w:asciiTheme="minorHAnsi" w:hAnsiTheme="minorHAnsi" w:cstheme="minorHAnsi"/>
          <w:sz w:val="28"/>
          <w:szCs w:val="28"/>
        </w:rPr>
        <w:t xml:space="preserve">. </w:t>
      </w:r>
      <w:r w:rsidR="00555AEB" w:rsidRPr="003C43AA">
        <w:rPr>
          <w:rFonts w:asciiTheme="minorHAnsi" w:hAnsiTheme="minorHAnsi" w:cstheme="minorHAnsi"/>
          <w:sz w:val="28"/>
          <w:szCs w:val="28"/>
        </w:rPr>
        <w:t xml:space="preserve">Área de acción </w:t>
      </w:r>
      <w:r w:rsidR="003911B9" w:rsidRPr="003C43AA">
        <w:rPr>
          <w:rFonts w:asciiTheme="minorHAnsi" w:hAnsiTheme="minorHAnsi" w:cstheme="minorHAnsi"/>
          <w:sz w:val="28"/>
          <w:szCs w:val="28"/>
        </w:rPr>
        <w:t>7</w:t>
      </w:r>
      <w:r w:rsidR="00555AEB" w:rsidRPr="003C43AA">
        <w:rPr>
          <w:rFonts w:asciiTheme="minorHAnsi" w:hAnsiTheme="minorHAnsi" w:cstheme="minorHAnsi"/>
          <w:sz w:val="28"/>
          <w:szCs w:val="28"/>
        </w:rPr>
        <w:t>: Intervenciones en el entorno físico</w:t>
      </w:r>
    </w:p>
    <w:p w14:paraId="2A7D6FC7" w14:textId="77777777" w:rsidR="00555AEB" w:rsidRPr="0051709F" w:rsidRDefault="00555AEB" w:rsidP="00555AEB">
      <w:pPr>
        <w:rPr>
          <w:rFonts w:cstheme="minorHAnsi"/>
        </w:rPr>
      </w:pPr>
    </w:p>
    <w:p w14:paraId="2935ECA0" w14:textId="7637C513" w:rsidR="00555AEB" w:rsidRPr="0051709F" w:rsidRDefault="00555AEB" w:rsidP="0032285C">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Caracterización del reto de la inactividad física y el sedentarismo en la ciudad del siglo XXI</w:t>
      </w:r>
    </w:p>
    <w:p w14:paraId="14C38CF8" w14:textId="77777777" w:rsidR="00555AEB" w:rsidRPr="0051709F" w:rsidRDefault="00555AEB" w:rsidP="00555AEB">
      <w:pPr>
        <w:rPr>
          <w:rFonts w:cstheme="minorHAnsi"/>
        </w:rPr>
      </w:pPr>
    </w:p>
    <w:p w14:paraId="2D03CD94" w14:textId="2BDF4E6D" w:rsidR="00555AEB" w:rsidRPr="0051709F" w:rsidRDefault="00555AEB" w:rsidP="00555AEB">
      <w:pPr>
        <w:jc w:val="both"/>
        <w:rPr>
          <w:rFonts w:cstheme="minorHAnsi"/>
        </w:rPr>
      </w:pPr>
      <w:r w:rsidRPr="007B667D">
        <w:rPr>
          <w:rFonts w:cstheme="minorHAnsi"/>
        </w:rPr>
        <w:t>El frenético desarrollo urbano de las últimas décadas</w:t>
      </w:r>
      <w:r w:rsidR="00652A56" w:rsidRPr="007B667D">
        <w:rPr>
          <w:rFonts w:cstheme="minorHAnsi"/>
        </w:rPr>
        <w:t xml:space="preserve"> (</w:t>
      </w:r>
      <w:proofErr w:type="spellStart"/>
      <w:r w:rsidR="00652A56" w:rsidRPr="007B667D">
        <w:rPr>
          <w:rFonts w:cstheme="minorHAnsi"/>
        </w:rPr>
        <w:t>Oginga-Martins</w:t>
      </w:r>
      <w:proofErr w:type="spellEnd"/>
      <w:r w:rsidR="00652A56" w:rsidRPr="007B667D">
        <w:rPr>
          <w:rFonts w:cstheme="minorHAnsi"/>
        </w:rPr>
        <w:t xml:space="preserve"> &amp; </w:t>
      </w:r>
      <w:proofErr w:type="spellStart"/>
      <w:r w:rsidR="00652A56" w:rsidRPr="007B667D">
        <w:rPr>
          <w:rFonts w:cstheme="minorHAnsi"/>
        </w:rPr>
        <w:t>Sharifi</w:t>
      </w:r>
      <w:proofErr w:type="spellEnd"/>
      <w:r w:rsidR="00652A56" w:rsidRPr="007B667D">
        <w:rPr>
          <w:rFonts w:cstheme="minorHAnsi"/>
        </w:rPr>
        <w:t>, 2022)</w:t>
      </w:r>
      <w:r w:rsidRPr="007B667D">
        <w:rPr>
          <w:rFonts w:cstheme="minorHAnsi"/>
        </w:rPr>
        <w:t xml:space="preserve"> ha generado problemas muy variados con consecuencias perniciosas para la salud de las personas</w:t>
      </w:r>
      <w:r w:rsidRPr="000E6914">
        <w:rPr>
          <w:rFonts w:cstheme="minorHAnsi"/>
        </w:rPr>
        <w:t>:</w:t>
      </w:r>
      <w:r w:rsidRPr="0051709F">
        <w:rPr>
          <w:rFonts w:cstheme="minorHAnsi"/>
        </w:rPr>
        <w:t xml:space="preserve"> desde la mala calidad ambiental debida a la contaminación del aire, hasta los diagnósticos crecientes de enfermedades relacionadas con el sedentarismo excesivo </w:t>
      </w:r>
      <w:r w:rsidRPr="0051709F">
        <w:rPr>
          <w:rFonts w:cstheme="minorHAnsi"/>
        </w:rPr>
        <w:fldChar w:fldCharType="begin"/>
      </w:r>
      <w:r w:rsidRPr="0051709F">
        <w:rPr>
          <w:rFonts w:cstheme="minorHAnsi"/>
        </w:rPr>
        <w:instrText xml:space="preserve"> ADDIN ZOTERO_ITEM CSL_CITATION {"citationID":"PRXaCk11","properties":{"formattedCitation":"(Frank, Andresen, &amp; Schmid, 2004; Swinburn et al., 2019)","plainCitation":"(Frank, Andresen, &amp; Schmid, 2004; Swinburn et al., 2019)","noteIndex":0},"citationItems":[{"id":815,"uris":["http://zotero.org/users/10547302/items/AKJGWBAX"],"itemData":{"id":815,"type":"article-journal","abstract":"Background: Obesity is a major health problem in the United States and around the world. To date, relationships between obesity and aspects of the built environment have not been evaluated empirically at the individual level.\nObjective: To evaluate the relationship between the built environment around each participant’s place of residence and self-reported travel patterns (walking and time in a car), body mass index (BMI), and obesity for speciﬁc gender and ethnicity classiﬁcations.\nMethods: Body Mass Index, minutes spent in a car, kilometers walked, age, income, educational attainment, and gender were derived through a travel survey of 10,878 participants in the Atlanta, Georgia region. Objective measures of land use mix, net residential density, and street connectivity were developed within a 1-kilometer network distance of each participant’s place of residence. A cross-sectional design was used to associate urban form measures with obesity, BMI, and transportation-related activity when adjusting for sociodemographic covariates. Discrete analyses were conducted across gender and ethnicity. The data were collected between 2000 and 2002 and analysis was conducted in 2004.\nResults: Land-use mix had the strongest association with obesity (BMIՆ30 kg/m2), with each quartile increase being associated with a 12.2% reduction in the likelihood of obesity across gender and ethnicity. Each additional hour spent in a car per day was associated with a 6% increase in the likelihood of obesity. Conversely, each additional kilometer walked per day was associated with a 4.8% reduction in the likelihood of obesity. As a continuous measure, BMI was signiﬁcantly associated with urban form for white cohorts. Relationships among urban form, walk distance, and time in a car were stronger among white than black cohorts.\nConclusions: Measures of the built environment and travel patterns are important predictors of obesity","container-title":"American Journal of Preventive Medicine","DOI":"10.1016/j.amepre.2004.04.011","ISSN":"07493797","issue":"2","journalAbbreviation":"American Journal of Preventive Medicine","language":"en","page":"87-96","source":"DOI.org (Crossref)","title":"Obesity relationships with community design, physical activity, and time spent in cars","volume":"27","author":[{"family":"Frank","given":"Lawrence D."},{"family":"Andresen","given":"Martin A."},{"family":"Schmid","given":"Thomas L."}],"issued":{"date-parts":[["2004",8]]}}},{"id":404,"uris":["http://zotero.org/users/10547302/items/MR8CHTKY"],"itemData":{"id":404,"type":"article-journal","container-title":"The Lancet","DOI":"10.1016/S0140-6736(18)32822-8","ISSN":"01406736","issue":"10173","journalAbbreviation":"The Lancet","language":"En","page":"791-846","source":"DOI.org (Crossref)","title":"The Global Syndemic of Obesity, Undernutrition, and Climate Change: The Lancet Commission report","title-short":"The Global Syndemic of Obesity, Undernutrition, and Climate Change","volume":"393","author":[{"family":"Swinburn","given":"Boyd A"},{"family":"Kraak","given":"Vivica I"},{"family":"Allender","given":"Steven"},{"family":"Atkins","given":"Vincent J"},{"family":"Baker","given":"Phillip I"},{"family":"Bogard","given":"Jessica R"},{"family":"Brinsden","given":"Hannah"},{"family":"Calvillo","given":"Alejandro"},{"family":"De Schutter","given":"Olivier"},{"family":"Devarajan","given":"Raji"},{"family":"Ezzati","given":"Majid"},{"family":"Friel","given":"Sharon"},{"family":"Goenka","given":"Shifalika"},{"family":"Hammond","given":"Ross A"},{"family":"Hastings","given":"Gerard"},{"family":"Hawkes","given":"Corinna"},{"family":"Herrero","given":"Mario"},{"family":"Hovmand","given":"Peter S"},{"family":"Howden","given":"Mark"},{"family":"Jaacks","given":"Lindsay M"},{"family":"Kapetanaki","given":"Ariadne B"},{"family":"Kasman","given":"Matt"},{"family":"Kuhnlein","given":"Harriet V"},{"family":"Kumanyika","given":"Shiriki K"},{"family":"Larijani","given":"Bagher"},{"family":"Lobstein","given":"Tim"},{"family":"Long","given":"Michael W"},{"family":"Matsudo","given":"Victor K R"},{"family":"Mills","given":"Susanna D H"},{"family":"Morgan","given":"Gareth"},{"family":"Morshed","given":"Alexandra"},{"family":"Nece","given":"Patricia M"},{"family":"Pan","given":"An"},{"family":"Patterson","given":"David W"},{"family":"Sacks","given":"Gary"},{"family":"Shekar","given":"Meera"},{"family":"Simmons","given":"Geoff L"},{"family":"Smit","given":"Warren"},{"family":"Tootee","given":"Ali"},{"family":"Vandevijvere","given":"Stefanie"},{"family":"Waterlander","given":"Wilma E"},{"family":"Wolfenden","given":"Luke"},{"family":"Dietz","given":"William H"}],"issued":{"date-parts":[["2019",2]]}}}],"schema":"https://github.com/citation-style-language/schema/raw/master/csl-citation.json"} </w:instrText>
      </w:r>
      <w:r w:rsidRPr="0051709F">
        <w:rPr>
          <w:rFonts w:cstheme="minorHAnsi"/>
        </w:rPr>
        <w:fldChar w:fldCharType="separate"/>
      </w:r>
      <w:r w:rsidRPr="0051709F">
        <w:rPr>
          <w:rFonts w:cstheme="minorHAnsi"/>
        </w:rPr>
        <w:t>(Frank, Andresen, &amp; Schmid, 2004; Swinburn et al., 2019)</w:t>
      </w:r>
      <w:r w:rsidRPr="0051709F">
        <w:rPr>
          <w:rFonts w:cstheme="minorHAnsi"/>
        </w:rPr>
        <w:fldChar w:fldCharType="end"/>
      </w:r>
      <w:r w:rsidRPr="0051709F">
        <w:rPr>
          <w:rFonts w:cstheme="minorHAnsi"/>
        </w:rPr>
        <w:t xml:space="preserve">  o con la falta de interacción social, que afecta muy negativamente al bienestar mental de los ciudadanos. No obstante, la sociedad contemporánea busca la salud con determinación, incluso de manera obsesiva. Pero, aunque se adoptan hábitos para conservarla, se mantienen ciertas costumbres que resultan contradictorias como fumar o beber alcohol en exceso, entre otras. Es, desde luego, una decisión individual pero, como ha sido puesto de relieve por la Organización Mundial de la Salud </w:t>
      </w:r>
      <w:r w:rsidRPr="0051709F">
        <w:rPr>
          <w:rFonts w:cstheme="minorHAnsi"/>
        </w:rPr>
        <w:fldChar w:fldCharType="begin"/>
      </w:r>
      <w:r w:rsidRPr="0051709F">
        <w:rPr>
          <w:rFonts w:cstheme="minorHAnsi"/>
        </w:rPr>
        <w:instrText xml:space="preserve"> ADDIN ZOTERO_ITEM CSL_CITATION {"citationID":"Fe7V53B5","properties":{"formattedCitation":"(WHO, 2022)","plainCitation":"(WHO, 2022)","noteIndex":0},"citationItems":[{"id":817,"uris":["http://zotero.org/users/10547302/items/RT99GG7X"],"itemData":{"id":817,"type":"book","event-place":"Geneva","ISBN":"978-92-4-005916-0","language":"En","license":"CC BY-NC-SA 3.0 IGO.","note":"type: Publications","number-of-pages":"xiii, 112 p.","publisher":"World Health Organization","publisher-place":"Geneva","title":"Global status report on physical activity 2022","URL":"https://apps.who.int/iris/bitstream/handle/10665/363607/9789240059153-eng.pdf?sequence=1&amp;isAllowed=y","author":[{"literal":"World Health Organization, WHO"}],"issued":{"date-parts":[["2022"]]}},"label":"page","suppress-author":true,"prefix":"WHO,"}],"schema":"https://github.com/citation-style-language/schema/raw/master/csl-citation.json"} </w:instrText>
      </w:r>
      <w:r w:rsidRPr="0051709F">
        <w:rPr>
          <w:rFonts w:cstheme="minorHAnsi"/>
        </w:rPr>
        <w:fldChar w:fldCharType="separate"/>
      </w:r>
      <w:r w:rsidRPr="0051709F">
        <w:rPr>
          <w:rFonts w:cstheme="minorHAnsi"/>
        </w:rPr>
        <w:t>(</w:t>
      </w:r>
      <w:r w:rsidR="000B6D22" w:rsidRPr="0051709F">
        <w:rPr>
          <w:rFonts w:eastAsia="Times New Roman" w:cstheme="minorHAnsi"/>
          <w:lang w:eastAsia="es-ES"/>
        </w:rPr>
        <w:t xml:space="preserve"> World Health Organization</w:t>
      </w:r>
      <w:r w:rsidRPr="0051709F">
        <w:rPr>
          <w:rFonts w:cstheme="minorHAnsi"/>
        </w:rPr>
        <w:t>, 2022)</w:t>
      </w:r>
      <w:r w:rsidRPr="0051709F">
        <w:rPr>
          <w:rFonts w:cstheme="minorHAnsi"/>
        </w:rPr>
        <w:fldChar w:fldCharType="end"/>
      </w:r>
      <w:r w:rsidRPr="0051709F">
        <w:rPr>
          <w:rFonts w:cstheme="minorHAnsi"/>
        </w:rPr>
        <w:t xml:space="preserve">, ésta tiene conexiones muy directas con temas comunitarios como, por ejemplo, la gestión de los sistemas sanitarios públicos o los de seguridad social. </w:t>
      </w:r>
    </w:p>
    <w:p w14:paraId="5C279197" w14:textId="77777777" w:rsidR="00555AEB" w:rsidRPr="007B667D" w:rsidRDefault="00555AEB" w:rsidP="00555AEB">
      <w:pPr>
        <w:jc w:val="both"/>
        <w:rPr>
          <w:rStyle w:val="Prrafo"/>
          <w:rFonts w:asciiTheme="minorHAnsi" w:hAnsiTheme="minorHAnsi" w:cstheme="minorHAnsi"/>
          <w:sz w:val="24"/>
          <w:szCs w:val="24"/>
          <w:highlight w:val="yellow"/>
        </w:rPr>
      </w:pPr>
    </w:p>
    <w:p w14:paraId="75092C69" w14:textId="77777777" w:rsidR="00555AEB" w:rsidRPr="003C43AA" w:rsidRDefault="00555AEB" w:rsidP="00F536A2">
      <w:pPr>
        <w:pStyle w:val="Ttulo3"/>
        <w:numPr>
          <w:ilvl w:val="0"/>
          <w:numId w:val="0"/>
        </w:numPr>
        <w:ind w:left="720" w:hanging="720"/>
        <w:jc w:val="both"/>
        <w:rPr>
          <w:rFonts w:asciiTheme="minorHAnsi" w:hAnsiTheme="minorHAnsi" w:cstheme="minorHAnsi"/>
          <w:b/>
          <w:bCs/>
          <w:i/>
          <w:iCs/>
          <w:color w:val="000000" w:themeColor="text1"/>
          <w:lang w:val="es-ES"/>
        </w:rPr>
      </w:pPr>
      <w:r w:rsidRPr="003C43AA">
        <w:rPr>
          <w:rFonts w:asciiTheme="minorHAnsi" w:hAnsiTheme="minorHAnsi" w:cstheme="minorHAnsi"/>
          <w:b/>
          <w:bCs/>
          <w:i/>
          <w:iCs/>
          <w:color w:val="000000" w:themeColor="text1"/>
          <w:lang w:val="es-ES"/>
        </w:rPr>
        <w:t>Un problema reciente y global</w:t>
      </w:r>
    </w:p>
    <w:p w14:paraId="7BF9C12F" w14:textId="77777777" w:rsidR="00555AEB" w:rsidRPr="003C43AA" w:rsidRDefault="00555AEB" w:rsidP="00555AEB">
      <w:pPr>
        <w:rPr>
          <w:rFonts w:cstheme="minorHAnsi"/>
        </w:rPr>
      </w:pPr>
    </w:p>
    <w:p w14:paraId="377530D2" w14:textId="77777777" w:rsidR="00555AEB" w:rsidRPr="003C43AA" w:rsidRDefault="00555AEB" w:rsidP="00555AEB">
      <w:pPr>
        <w:jc w:val="both"/>
        <w:rPr>
          <w:rStyle w:val="Prrafo"/>
          <w:rFonts w:asciiTheme="minorHAnsi" w:hAnsiTheme="minorHAnsi" w:cstheme="minorHAnsi"/>
          <w:sz w:val="24"/>
          <w:szCs w:val="24"/>
        </w:rPr>
      </w:pPr>
      <w:r w:rsidRPr="003C43AA">
        <w:rPr>
          <w:rStyle w:val="Prrafo"/>
          <w:rFonts w:asciiTheme="minorHAnsi" w:hAnsiTheme="minorHAnsi" w:cstheme="minorHAnsi"/>
          <w:sz w:val="24"/>
          <w:szCs w:val="24"/>
        </w:rPr>
        <w:t xml:space="preserve">La inactividad y el sedentarismo son fenómenos muy recientes. </w:t>
      </w:r>
    </w:p>
    <w:p w14:paraId="25DEAECC" w14:textId="77777777" w:rsidR="00555AEB" w:rsidRPr="003C43AA" w:rsidRDefault="00555AEB" w:rsidP="00555AEB">
      <w:pPr>
        <w:jc w:val="both"/>
        <w:rPr>
          <w:rStyle w:val="Prrafo"/>
          <w:rFonts w:asciiTheme="minorHAnsi" w:hAnsiTheme="minorHAnsi" w:cstheme="minorHAnsi"/>
          <w:sz w:val="24"/>
          <w:szCs w:val="24"/>
        </w:rPr>
      </w:pPr>
    </w:p>
    <w:p w14:paraId="6AE49F06" w14:textId="77777777" w:rsidR="00555AEB" w:rsidRPr="003C43AA" w:rsidRDefault="00555AEB" w:rsidP="00555AEB">
      <w:pPr>
        <w:jc w:val="both"/>
        <w:rPr>
          <w:rStyle w:val="Prrafo"/>
          <w:rFonts w:asciiTheme="minorHAnsi" w:hAnsiTheme="minorHAnsi" w:cstheme="minorHAnsi"/>
          <w:sz w:val="24"/>
          <w:szCs w:val="24"/>
        </w:rPr>
      </w:pPr>
      <w:r w:rsidRPr="003C43AA">
        <w:rPr>
          <w:rStyle w:val="Prrafo"/>
          <w:rFonts w:asciiTheme="minorHAnsi" w:hAnsiTheme="minorHAnsi" w:cstheme="minorHAnsi"/>
          <w:sz w:val="24"/>
          <w:szCs w:val="24"/>
        </w:rPr>
        <w:t xml:space="preserve">A pesar de que siempre hayan existido individuos e, incluso, clases “ociosas”, la realidad es que, hasta hace unas pocas generaciones, la actividad física había sido una constante a lo largo de la vida de las personas. De hecho, la evolución del ser humano desde sus orígenes ha estado condicionada por su capacidad para el movimiento continuado y la realización de actividades físicas para buscar y obtener los recursos que le permiten subsistir. </w:t>
      </w:r>
    </w:p>
    <w:p w14:paraId="6A2E5E51" w14:textId="77777777" w:rsidR="00555AEB" w:rsidRPr="003C43AA" w:rsidRDefault="00555AEB" w:rsidP="00555AEB">
      <w:pPr>
        <w:jc w:val="both"/>
        <w:rPr>
          <w:rFonts w:cstheme="minorHAnsi"/>
        </w:rPr>
      </w:pPr>
    </w:p>
    <w:p w14:paraId="0FE5443D" w14:textId="384D2E73" w:rsidR="00555AEB" w:rsidRPr="003C43AA" w:rsidRDefault="003C43AA" w:rsidP="00555AEB">
      <w:pPr>
        <w:jc w:val="both"/>
        <w:rPr>
          <w:rStyle w:val="Prrafo"/>
          <w:rFonts w:asciiTheme="minorHAnsi" w:hAnsiTheme="minorHAnsi" w:cstheme="minorHAnsi"/>
          <w:i/>
          <w:sz w:val="24"/>
          <w:szCs w:val="24"/>
        </w:rPr>
      </w:pPr>
      <w:r>
        <w:rPr>
          <w:rStyle w:val="Prrafo"/>
          <w:rFonts w:asciiTheme="minorHAnsi" w:hAnsiTheme="minorHAnsi" w:cstheme="minorHAnsi"/>
          <w:sz w:val="24"/>
          <w:szCs w:val="24"/>
        </w:rPr>
        <w:t>Ahora bien, l</w:t>
      </w:r>
      <w:r w:rsidR="00555AEB" w:rsidRPr="003C43AA">
        <w:rPr>
          <w:rStyle w:val="Prrafo"/>
          <w:rFonts w:asciiTheme="minorHAnsi" w:hAnsiTheme="minorHAnsi" w:cstheme="minorHAnsi"/>
          <w:sz w:val="24"/>
          <w:szCs w:val="24"/>
        </w:rPr>
        <w:t xml:space="preserve">a tendencia </w:t>
      </w:r>
      <w:r>
        <w:rPr>
          <w:rStyle w:val="Prrafo"/>
          <w:rFonts w:asciiTheme="minorHAnsi" w:hAnsiTheme="minorHAnsi" w:cstheme="minorHAnsi"/>
          <w:sz w:val="24"/>
          <w:szCs w:val="24"/>
        </w:rPr>
        <w:t xml:space="preserve">actual </w:t>
      </w:r>
      <w:r w:rsidR="00555AEB" w:rsidRPr="003C43AA">
        <w:rPr>
          <w:rStyle w:val="Prrafo"/>
          <w:rFonts w:asciiTheme="minorHAnsi" w:hAnsiTheme="minorHAnsi" w:cstheme="minorHAnsi"/>
          <w:sz w:val="24"/>
          <w:szCs w:val="24"/>
        </w:rPr>
        <w:t xml:space="preserve">hacia la inactividad y el sedentarismo se ha acelerado, más si cabe, en las últimas décadas. De hecho, como apunta un reciente estudio </w:t>
      </w:r>
      <w:proofErr w:type="spellStart"/>
      <w:r w:rsidR="00555AEB" w:rsidRPr="003C43AA">
        <w:rPr>
          <w:rStyle w:val="Prrafo"/>
          <w:rFonts w:asciiTheme="minorHAnsi" w:hAnsiTheme="minorHAnsi" w:cstheme="minorHAnsi"/>
          <w:i/>
          <w:iCs/>
          <w:sz w:val="24"/>
          <w:szCs w:val="24"/>
        </w:rPr>
        <w:t>Design</w:t>
      </w:r>
      <w:proofErr w:type="spellEnd"/>
      <w:r w:rsidR="00555AEB" w:rsidRPr="003C43AA">
        <w:rPr>
          <w:rStyle w:val="Prrafo"/>
          <w:rFonts w:asciiTheme="minorHAnsi" w:hAnsiTheme="minorHAnsi" w:cstheme="minorHAnsi"/>
          <w:i/>
          <w:iCs/>
          <w:sz w:val="24"/>
          <w:szCs w:val="24"/>
        </w:rPr>
        <w:t xml:space="preserve"> </w:t>
      </w:r>
      <w:proofErr w:type="spellStart"/>
      <w:r w:rsidR="00555AEB" w:rsidRPr="003C43AA">
        <w:rPr>
          <w:rStyle w:val="Prrafo"/>
          <w:rFonts w:asciiTheme="minorHAnsi" w:hAnsiTheme="minorHAnsi" w:cstheme="minorHAnsi"/>
          <w:i/>
          <w:iCs/>
          <w:sz w:val="24"/>
          <w:szCs w:val="24"/>
        </w:rPr>
        <w:t>to</w:t>
      </w:r>
      <w:proofErr w:type="spellEnd"/>
      <w:r w:rsidR="00555AEB" w:rsidRPr="003C43AA">
        <w:rPr>
          <w:rStyle w:val="Prrafo"/>
          <w:rFonts w:asciiTheme="minorHAnsi" w:hAnsiTheme="minorHAnsi" w:cstheme="minorHAnsi"/>
          <w:i/>
          <w:iCs/>
          <w:sz w:val="24"/>
          <w:szCs w:val="24"/>
        </w:rPr>
        <w:t xml:space="preserve"> </w:t>
      </w:r>
      <w:proofErr w:type="spellStart"/>
      <w:r w:rsidR="00555AEB" w:rsidRPr="003C43AA">
        <w:rPr>
          <w:rStyle w:val="Prrafo"/>
          <w:rFonts w:asciiTheme="minorHAnsi" w:hAnsiTheme="minorHAnsi" w:cstheme="minorHAnsi"/>
          <w:i/>
          <w:iCs/>
          <w:sz w:val="24"/>
          <w:szCs w:val="24"/>
        </w:rPr>
        <w:t>Move</w:t>
      </w:r>
      <w:proofErr w:type="spellEnd"/>
      <w:r w:rsidR="00555AEB" w:rsidRPr="003C43AA">
        <w:rPr>
          <w:rStyle w:val="Prrafo"/>
          <w:rFonts w:asciiTheme="minorHAnsi" w:hAnsiTheme="minorHAnsi" w:cstheme="minorHAnsi"/>
          <w:sz w:val="24"/>
          <w:szCs w:val="24"/>
        </w:rPr>
        <w:t xml:space="preserve"> </w:t>
      </w:r>
      <w:r w:rsidR="00555AEB" w:rsidRPr="003C43AA">
        <w:rPr>
          <w:rFonts w:cstheme="minorHAnsi"/>
        </w:rPr>
        <w:fldChar w:fldCharType="begin"/>
      </w:r>
      <w:r w:rsidR="00555AEB" w:rsidRPr="003C43AA">
        <w:rPr>
          <w:rFonts w:cstheme="minorHAnsi"/>
        </w:rPr>
        <w:instrText xml:space="preserve"> ADDIN ZOTERO_ITEM CSL_CITATION {"citationID":"SetPFheC","properties":{"formattedCitation":"(MacCallum, Howson, &amp; Gopu, 2016)","plainCitation":"(MacCallum, Howson, &amp; Gopu, 2016)","noteIndex":0},"citationItems":[{"id":304,"uris":["http://zotero.org/users/10547302/items/75FE7G2C"],"itemData":{"id":304,"type":"document","abstract":"the world has stopped moving\nJust a few generations ago, physical activity\nwas an integral part of daily life. In the name\nof progress, we’ve now chipped away at it so\nthoroughly that physical inactivity actually\nseems normal. The economic costs are unacceptable, the human costs are unforgiveable.\nDesigned to Move is founded on a robust evidence base. The science is clear. The debate is over. Urgent priority must be given to dramatically increase the world’s commitment to physical activity.\nDesigned to Move is a framework for action.\nIt’s meant for the “changemakers”—people,\ncompanies, institutions and governments with\nthe resources to turn this situation around. It’s\nfor nations who want to invest in unleashing\nthe human potential of their citizens.\nThe impacts of what has become a widespread\nphysical inactivity epidemic affect everyone in\nevery nation. To put solutions into practice\nat scale, changemakers must align on what\nneeds to be done and how.\nThat is the purpose of Designed to Move.","language":"En","license":"©  Copyright 2012 by Nike, Inc. All rights reserved. 112912","publisher":"The American College of Sports Medicine (ACSM). NIKE, Inc. The International Council of Sport Science and Physical Education (ICSSPE)","title":"Design to move. A Physical Activity Action Agenda. A Guide for City Leaders","title-short":"Design to move.","author":[{"family":"MacCallum","given":"Lisa"},{"family":"Howson","given":"Nicole"},{"family":"Gopu","given":"Nithya"}],"issued":{"date-parts":[["2016"]]}}}],"schema":"https://github.com/citation-style-language/schema/raw/master/csl-citation.json"} </w:instrText>
      </w:r>
      <w:r w:rsidR="00555AEB" w:rsidRPr="003C43AA">
        <w:rPr>
          <w:rFonts w:cstheme="minorHAnsi"/>
        </w:rPr>
        <w:fldChar w:fldCharType="separate"/>
      </w:r>
      <w:r w:rsidR="00555AEB" w:rsidRPr="003C43AA">
        <w:rPr>
          <w:rFonts w:cstheme="minorHAnsi"/>
        </w:rPr>
        <w:t>(MacCallum, Howson, &amp; Gopu, 2016)</w:t>
      </w:r>
      <w:r w:rsidR="00555AEB" w:rsidRPr="003C43AA">
        <w:rPr>
          <w:rFonts w:cstheme="minorHAnsi"/>
        </w:rPr>
        <w:fldChar w:fldCharType="end"/>
      </w:r>
      <w:r w:rsidR="00555AEB" w:rsidRPr="003C43AA">
        <w:rPr>
          <w:rFonts w:cstheme="minorHAnsi"/>
        </w:rPr>
        <w:t>,</w:t>
      </w:r>
      <w:r w:rsidR="00555AEB" w:rsidRPr="003C43AA">
        <w:rPr>
          <w:rStyle w:val="Prrafo"/>
          <w:rFonts w:asciiTheme="minorHAnsi" w:hAnsiTheme="minorHAnsi" w:cstheme="minorHAnsi"/>
          <w:sz w:val="24"/>
          <w:szCs w:val="24"/>
        </w:rPr>
        <w:t xml:space="preserve"> las </w:t>
      </w:r>
      <w:r w:rsidR="00555AEB" w:rsidRPr="003C43AA">
        <w:rPr>
          <w:rStyle w:val="Prrafo"/>
          <w:rFonts w:asciiTheme="minorHAnsi" w:hAnsiTheme="minorHAnsi" w:cstheme="minorHAnsi"/>
          <w:i/>
          <w:sz w:val="24"/>
          <w:szCs w:val="24"/>
        </w:rPr>
        <w:t xml:space="preserve">economías desarrolladas han experimentado una reducción significativa en los niveles de actividad física en poco menos de dos generaciones. </w:t>
      </w:r>
    </w:p>
    <w:p w14:paraId="69778078" w14:textId="77777777" w:rsidR="00555AEB" w:rsidRPr="003C43AA" w:rsidRDefault="00555AEB" w:rsidP="00555AEB">
      <w:pPr>
        <w:jc w:val="both"/>
        <w:rPr>
          <w:rStyle w:val="Prrafo"/>
          <w:rFonts w:asciiTheme="minorHAnsi" w:hAnsiTheme="minorHAnsi" w:cstheme="minorHAnsi"/>
          <w:sz w:val="24"/>
          <w:szCs w:val="24"/>
        </w:rPr>
      </w:pPr>
    </w:p>
    <w:p w14:paraId="28887128" w14:textId="77777777" w:rsidR="00555AEB" w:rsidRPr="0051709F" w:rsidRDefault="00555AEB" w:rsidP="00555AEB">
      <w:pPr>
        <w:jc w:val="both"/>
        <w:rPr>
          <w:rStyle w:val="Prrafo"/>
          <w:rFonts w:asciiTheme="minorHAnsi" w:hAnsiTheme="minorHAnsi" w:cstheme="minorHAnsi"/>
          <w:sz w:val="24"/>
          <w:szCs w:val="24"/>
        </w:rPr>
      </w:pPr>
      <w:r w:rsidRPr="003C43AA">
        <w:rPr>
          <w:rStyle w:val="Prrafo"/>
          <w:rFonts w:asciiTheme="minorHAnsi" w:hAnsiTheme="minorHAnsi" w:cstheme="minorHAnsi"/>
          <w:sz w:val="24"/>
          <w:szCs w:val="24"/>
        </w:rPr>
        <w:t>La inactividad y el sedentarismo tampoco son hábitos que caractericen solo a las sociedades desarrolladas. Las economías emergentes también parecen seguir esta dinámica, debido, en gran medida, a fenómenos como la concentración de la población en las ciudades y a la rápida motorización del transporte.</w:t>
      </w:r>
      <w:r w:rsidRPr="0051709F">
        <w:rPr>
          <w:rStyle w:val="Prrafo"/>
          <w:rFonts w:asciiTheme="minorHAnsi" w:hAnsiTheme="minorHAnsi" w:cstheme="minorHAnsi"/>
          <w:sz w:val="24"/>
          <w:szCs w:val="24"/>
        </w:rPr>
        <w:t xml:space="preserve"> </w:t>
      </w:r>
    </w:p>
    <w:p w14:paraId="1569E526" w14:textId="77777777" w:rsidR="00555AEB" w:rsidRPr="0051709F" w:rsidRDefault="00555AEB" w:rsidP="00555AEB">
      <w:pPr>
        <w:jc w:val="both"/>
        <w:rPr>
          <w:rStyle w:val="Prrafo"/>
          <w:rFonts w:asciiTheme="minorHAnsi" w:hAnsiTheme="minorHAnsi" w:cstheme="minorHAnsi"/>
          <w:sz w:val="24"/>
          <w:szCs w:val="24"/>
        </w:rPr>
      </w:pPr>
    </w:p>
    <w:p w14:paraId="1A889F93" w14:textId="77777777" w:rsidR="00555AEB" w:rsidRPr="003C43AA" w:rsidRDefault="00555AEB" w:rsidP="00F536A2">
      <w:pPr>
        <w:pStyle w:val="Ttulo3"/>
        <w:numPr>
          <w:ilvl w:val="0"/>
          <w:numId w:val="0"/>
        </w:numPr>
        <w:ind w:left="720" w:hanging="720"/>
        <w:jc w:val="both"/>
        <w:rPr>
          <w:rFonts w:asciiTheme="minorHAnsi" w:hAnsiTheme="minorHAnsi" w:cstheme="minorHAnsi"/>
          <w:b/>
          <w:bCs/>
          <w:i/>
          <w:iCs/>
          <w:color w:val="000000" w:themeColor="text1"/>
          <w:lang w:val="es-ES"/>
        </w:rPr>
      </w:pPr>
      <w:r w:rsidRPr="003C43AA">
        <w:rPr>
          <w:rFonts w:asciiTheme="minorHAnsi" w:hAnsiTheme="minorHAnsi" w:cstheme="minorHAnsi"/>
          <w:b/>
          <w:bCs/>
          <w:i/>
          <w:iCs/>
          <w:color w:val="000000" w:themeColor="text1"/>
          <w:lang w:val="es-ES"/>
        </w:rPr>
        <w:t>Problema complejo, solución sencilla</w:t>
      </w:r>
    </w:p>
    <w:p w14:paraId="065E89CC" w14:textId="77777777" w:rsidR="00555AEB" w:rsidRPr="003C43AA" w:rsidRDefault="00555AEB" w:rsidP="00555AEB">
      <w:pPr>
        <w:rPr>
          <w:rFonts w:cstheme="minorHAnsi"/>
        </w:rPr>
      </w:pPr>
    </w:p>
    <w:p w14:paraId="73D8FDD8" w14:textId="77777777" w:rsidR="00555AEB" w:rsidRPr="003C43AA" w:rsidRDefault="00555AEB" w:rsidP="00555AEB">
      <w:pPr>
        <w:jc w:val="both"/>
        <w:rPr>
          <w:rStyle w:val="Prrafo"/>
          <w:rFonts w:asciiTheme="minorHAnsi" w:hAnsiTheme="minorHAnsi" w:cstheme="minorHAnsi"/>
          <w:sz w:val="24"/>
          <w:szCs w:val="24"/>
        </w:rPr>
      </w:pPr>
      <w:r w:rsidRPr="003C43AA">
        <w:rPr>
          <w:rStyle w:val="Prrafo"/>
          <w:rFonts w:asciiTheme="minorHAnsi" w:hAnsiTheme="minorHAnsi" w:cstheme="minorHAnsi"/>
          <w:sz w:val="24"/>
          <w:szCs w:val="24"/>
        </w:rPr>
        <w:t xml:space="preserve">La aceleración y globalización del sedentarismo de las últimas décadas es el resultado perverso de los profundos cambios acaecidos en torno a las formas de producción y </w:t>
      </w:r>
      <w:r w:rsidRPr="003C43AA">
        <w:rPr>
          <w:rStyle w:val="Prrafo"/>
          <w:rFonts w:asciiTheme="minorHAnsi" w:hAnsiTheme="minorHAnsi" w:cstheme="minorHAnsi"/>
          <w:sz w:val="24"/>
          <w:szCs w:val="24"/>
        </w:rPr>
        <w:lastRenderedPageBreak/>
        <w:t xml:space="preserve">entretenimiento, así como a los procesos de urbanización y motorización mundial </w:t>
      </w:r>
      <w:r w:rsidRPr="003C43AA">
        <w:rPr>
          <w:rStyle w:val="Prrafo"/>
          <w:rFonts w:asciiTheme="minorHAnsi" w:hAnsiTheme="minorHAnsi" w:cstheme="minorHAnsi"/>
          <w:sz w:val="24"/>
          <w:szCs w:val="24"/>
        </w:rPr>
        <w:fldChar w:fldCharType="begin"/>
      </w:r>
      <w:r w:rsidRPr="003C43AA">
        <w:rPr>
          <w:rStyle w:val="Prrafo"/>
          <w:rFonts w:asciiTheme="minorHAnsi" w:hAnsiTheme="minorHAnsi" w:cstheme="minorHAnsi"/>
          <w:sz w:val="24"/>
          <w:szCs w:val="24"/>
        </w:rPr>
        <w:instrText xml:space="preserve"> ADDIN ZOTERO_ITEM CSL_CITATION {"citationID":"iKs4Odng","properties":{"formattedCitation":"(Blasco Abad, Lahoz Palacio, &amp; Mart\\uc0\\u237{}nez-Arrar\\uc0\\u225{}s Caro, 2022)","plainCitation":"(Blasco Abad, Lahoz Palacio, &amp; Martínez-Arrarás Caro, 2022)","noteIndex":0},"citationItems":[{"id":5,"uris":["http://zotero.org/users/10547302/items/HJITPGM7"],"itemData":{"id":5,"type":"book","event-place":"Madrid","ISBN":"978-84-11-22406-2","language":"Es","note":"OCLC: 1349364698","publisher":"Dykinson","publisher-place":"Madrid","source":"Open WorldCat","title":"Hacia la ciudad activa: estrategias urbanas para hacer las ciudades más vivibles y saludables","title-short":"Hacia la ciudad activa","author":[{"family":"Blasco Abad","given":"José Antonio"},{"family":"Lahoz Palacio","given":"Carlos F."},{"family":"Martínez-Arrarás Caro","given":"Carlos"}],"issued":{"date-parts":[["2022"]]}}}],"schema":"https://github.com/citation-style-language/schema/raw/master/csl-citation.json"} </w:instrText>
      </w:r>
      <w:r w:rsidRPr="003C43AA">
        <w:rPr>
          <w:rStyle w:val="Prrafo"/>
          <w:rFonts w:asciiTheme="minorHAnsi" w:hAnsiTheme="minorHAnsi" w:cstheme="minorHAnsi"/>
          <w:sz w:val="24"/>
          <w:szCs w:val="24"/>
        </w:rPr>
        <w:fldChar w:fldCharType="separate"/>
      </w:r>
      <w:r w:rsidRPr="003C43AA">
        <w:rPr>
          <w:rFonts w:cstheme="minorHAnsi"/>
        </w:rPr>
        <w:t>(Blasco Abad, Lahoz Palacio, &amp; Martínez-Arrarás Caro, 2022)</w:t>
      </w:r>
      <w:r w:rsidRPr="003C43AA">
        <w:rPr>
          <w:rStyle w:val="Prrafo"/>
          <w:rFonts w:asciiTheme="minorHAnsi" w:hAnsiTheme="minorHAnsi" w:cstheme="minorHAnsi"/>
          <w:sz w:val="24"/>
          <w:szCs w:val="24"/>
        </w:rPr>
        <w:fldChar w:fldCharType="end"/>
      </w:r>
      <w:r w:rsidRPr="003C43AA">
        <w:rPr>
          <w:rStyle w:val="Prrafo"/>
          <w:rFonts w:asciiTheme="minorHAnsi" w:hAnsiTheme="minorHAnsi" w:cstheme="minorHAnsi"/>
          <w:sz w:val="24"/>
          <w:szCs w:val="24"/>
        </w:rPr>
        <w:t xml:space="preserve"> sin embargo, todas estas transformaciones y avances no se produjeron con la intención de perjudicar al ser humano, sino en la búsqueda de generar mayores niveles de confort y bienestar. De hecho, a pesar de la existencia de raras excepciones, en los últimos tiempos, la humanidad no ha parado de prosperar. Por tanto, los niveles de progreso alcanzados en las últimas décadas llevan implícita una dualidad aviesa, al tiempo que se han alcanzado los mayores índices de bienestar de la historia gracias a estos avances, este progreso conlleva emparejado la pérdida de calidad de vida, siendo una de las causantes básicas de dicha pérdida, el sedentarismo y la inactividad. Por ello, es preciso reorientar la dirección y luchar contra esta epidemia volviendo a integrar la actividad física en los modos y hábitos de vida de la población.</w:t>
      </w:r>
    </w:p>
    <w:p w14:paraId="668F4426" w14:textId="77777777" w:rsidR="00555AEB" w:rsidRPr="003C43AA" w:rsidRDefault="00555AEB" w:rsidP="00555AEB">
      <w:pPr>
        <w:jc w:val="both"/>
        <w:rPr>
          <w:rFonts w:cstheme="minorHAnsi"/>
        </w:rPr>
      </w:pPr>
    </w:p>
    <w:p w14:paraId="2136493D" w14:textId="35490419" w:rsidR="00555AEB" w:rsidRPr="003C43AA" w:rsidRDefault="00555AEB" w:rsidP="00555AEB">
      <w:pPr>
        <w:jc w:val="both"/>
        <w:rPr>
          <w:rFonts w:cstheme="minorHAnsi"/>
        </w:rPr>
      </w:pPr>
      <w:r w:rsidRPr="003C43AA">
        <w:rPr>
          <w:rFonts w:cstheme="minorHAnsi"/>
        </w:rPr>
        <w:t xml:space="preserve">A pesar de que el fenómeno de la inactividad y el sedentarismo </w:t>
      </w:r>
      <w:r w:rsidRPr="003C43AA">
        <w:rPr>
          <w:rStyle w:val="Prrafo"/>
          <w:rFonts w:asciiTheme="minorHAnsi" w:hAnsiTheme="minorHAnsi" w:cstheme="minorHAnsi"/>
          <w:sz w:val="24"/>
          <w:szCs w:val="24"/>
        </w:rPr>
        <w:t xml:space="preserve">es un problema reciente, global y muy complejo </w:t>
      </w:r>
      <w:r w:rsidRPr="003C43AA">
        <w:rPr>
          <w:rFonts w:cstheme="minorHAnsi"/>
        </w:rPr>
        <w:t xml:space="preserve">que representan un enorme reto, sin embargo, </w:t>
      </w:r>
      <w:r w:rsidRPr="003C43AA">
        <w:rPr>
          <w:rStyle w:val="Prrafo"/>
          <w:rFonts w:asciiTheme="minorHAnsi" w:hAnsiTheme="minorHAnsi" w:cstheme="minorHAnsi"/>
          <w:sz w:val="24"/>
          <w:szCs w:val="24"/>
        </w:rPr>
        <w:t>a diferencia de otros desafíos a los que debe hacer frente la humanidad, como el cambio climático o evitar la aparición de nuevas pandemias,</w:t>
      </w:r>
      <w:r w:rsidRPr="003C43AA">
        <w:rPr>
          <w:rFonts w:cstheme="minorHAnsi"/>
        </w:rPr>
        <w:t xml:space="preserve"> este fenómeno </w:t>
      </w:r>
      <w:r w:rsidRPr="003C43AA">
        <w:rPr>
          <w:rStyle w:val="Prrafo"/>
          <w:rFonts w:asciiTheme="minorHAnsi" w:hAnsiTheme="minorHAnsi" w:cstheme="minorHAnsi"/>
          <w:sz w:val="24"/>
          <w:szCs w:val="24"/>
        </w:rPr>
        <w:t xml:space="preserve">encuentra su solución en una fórmula bien sencilla y natural: priorizar la actividad física </w:t>
      </w:r>
      <w:r w:rsidRPr="003C43AA">
        <w:rPr>
          <w:rFonts w:cstheme="minorHAnsi"/>
        </w:rPr>
        <w:fldChar w:fldCharType="begin"/>
      </w:r>
      <w:r w:rsidRPr="003C43AA">
        <w:rPr>
          <w:rFonts w:cstheme="minorHAnsi"/>
        </w:rPr>
        <w:instrText xml:space="preserve"> ADDIN ZOTERO_ITEM CSL_CITATION {"citationID":"XFTiWyMG","properties":{"formattedCitation":"(WHO, 2010)","plainCitation":"(WHO, 2010)","noteIndex":0},"citationItems":[{"id":819,"uris":["http://zotero.org/users/10547302/items/GFAT6XZG"],"itemData":{"id":819,"type":"article-journal","container-title":"Recommandations mondiales sur l'activité physique pour la santé","ISSN":"9789241599979","journalAbbreviation":"Recommandations mondiales sur l'activité physique pour la santé","language":"en","note":"publisher-place: Geneva\npublisher: World Health Organization\nsection: The Ukrainian version published by Medical Center of Physical Therapy and Pain Medicine.","page":"58","source":"WHO IRIS","title":"Global recommendations on physical activity for health","author":[{"literal":"World Health Organization, WHO"}],"issued":{"date-parts":[["2010"]]}},"label":"page","suppress-author":true,"prefix":"WHO,"}],"schema":"https://github.com/citation-style-language/schema/raw/master/csl-citation.json"} </w:instrText>
      </w:r>
      <w:r w:rsidRPr="003C43AA">
        <w:rPr>
          <w:rFonts w:cstheme="minorHAnsi"/>
        </w:rPr>
        <w:fldChar w:fldCharType="separate"/>
      </w:r>
      <w:r w:rsidRPr="003C43AA">
        <w:rPr>
          <w:rFonts w:cstheme="minorHAnsi"/>
        </w:rPr>
        <w:t>(</w:t>
      </w:r>
      <w:r w:rsidR="000B6D22" w:rsidRPr="003C43AA">
        <w:rPr>
          <w:rFonts w:eastAsia="Times New Roman" w:cstheme="minorHAnsi"/>
          <w:lang w:eastAsia="es-ES"/>
        </w:rPr>
        <w:t>World Health Organization</w:t>
      </w:r>
      <w:r w:rsidRPr="003C43AA">
        <w:rPr>
          <w:rFonts w:cstheme="minorHAnsi"/>
        </w:rPr>
        <w:t>, 2010)</w:t>
      </w:r>
      <w:r w:rsidRPr="003C43AA">
        <w:rPr>
          <w:rFonts w:cstheme="minorHAnsi"/>
        </w:rPr>
        <w:fldChar w:fldCharType="end"/>
      </w:r>
      <w:r w:rsidRPr="003C43AA">
        <w:rPr>
          <w:rStyle w:val="Prrafo"/>
          <w:rFonts w:asciiTheme="minorHAnsi" w:hAnsiTheme="minorHAnsi" w:cstheme="minorHAnsi"/>
          <w:sz w:val="24"/>
          <w:szCs w:val="24"/>
        </w:rPr>
        <w:t xml:space="preserve">. Es decir, </w:t>
      </w:r>
      <w:r w:rsidRPr="003C43AA">
        <w:rPr>
          <w:rFonts w:cstheme="minorHAnsi"/>
        </w:rPr>
        <w:t xml:space="preserve">la inactividad física se combate haciendo que los ciudadanos sean (vuelvan a ser) activos. Ello implica reconsiderar la forma en que se desplazan, la manera en que se relacionan, las decisiones cotidianas que toman, etc. y la ciudad, el entorno físico, resulta determinante para ello </w:t>
      </w:r>
      <w:r w:rsidRPr="003C43AA">
        <w:rPr>
          <w:rFonts w:cstheme="minorHAnsi"/>
        </w:rPr>
        <w:fldChar w:fldCharType="begin"/>
      </w:r>
      <w:r w:rsidRPr="003C43AA">
        <w:rPr>
          <w:rFonts w:cstheme="minorHAnsi"/>
        </w:rPr>
        <w:instrText xml:space="preserve"> ADDIN ZOTERO_ITEM CSL_CITATION {"citationID":"lhrvAMot","properties":{"formattedCitation":"(Edwards &amp; Tsouros, 2006)","plainCitation":"(Edwards &amp; Tsouros, 2006)","noteIndex":0},"citationItems":[{"id":133,"uris":["http://zotero.org/users/10547302/items/SCZD39PW"],"itemData":{"id":133,"type":"book","abstract":"People's participation in physical activity is influenced by the built, natural and social environments in which people live as well as by personal factors such as sex, age, ability, time and motivation. The way people organize cities, design the urban environment and provide access to the natural environment can be an encouragement or a barrier to physical activity and active living. Other barriers exit in the social environments within which people work, learn, play and live.  Physical activity is an essential component of any strategy that aims to address the problems of sedentary living and obesity among children and adults. Active living contributes to individual physical and mental health but also to social cohesion and community well-being. Opportunities for being physically active are not limited to sports and organized recreation; opportunities exist everywhere - where people live and work, in neighbourhoods and in educational and health establishments.  The healthy Cities and urban governance programme of the WHO Regional Office for Europe has focused on how local governments can implement healthy urban planning to generate environments that promote opportunities for physical activity and active living.  This publication presents the best available evidence on physical activity in the urban environment and makes suggestions for policy and practice based on that evidence. Mayors and other elected city officials can use this information to address the needs and contributions of all citizens in different settings of everyday life with the aims of ensuring equitable and comprehensive efforts to promote physical activity and active living.","ISBN":"978-92-890-2181-4","language":"En","note":"Google-Books-ID: FzRNS8TGmYIC","publisher":"World Health Organization. Regional Office Europe","source":"Google Books","title":"Promoting Physical Activity and Active Living in Urban Environments: The Role of Local Governments","title-short":"Promoting Physical Activity and Active Living in Urban Environments","author":[{"family":"Edwards","given":"Peggy"},{"family":"Tsouros","given":"Agis D."}],"issued":{"date-parts":[["2006"]]}}}],"schema":"https://github.com/citation-style-language/schema/raw/master/csl-citation.json"} </w:instrText>
      </w:r>
      <w:r w:rsidRPr="003C43AA">
        <w:rPr>
          <w:rFonts w:cstheme="minorHAnsi"/>
        </w:rPr>
        <w:fldChar w:fldCharType="separate"/>
      </w:r>
      <w:r w:rsidRPr="003C43AA">
        <w:rPr>
          <w:rFonts w:cstheme="minorHAnsi"/>
        </w:rPr>
        <w:t>(Edwards &amp; Tsouros, 2006)</w:t>
      </w:r>
      <w:r w:rsidRPr="003C43AA">
        <w:rPr>
          <w:rFonts w:cstheme="minorHAnsi"/>
        </w:rPr>
        <w:fldChar w:fldCharType="end"/>
      </w:r>
      <w:r w:rsidRPr="003C43AA">
        <w:rPr>
          <w:rFonts w:cstheme="minorHAnsi"/>
        </w:rPr>
        <w:t xml:space="preserve">. Así, en el siglo XXI, </w:t>
      </w:r>
      <w:r w:rsidRPr="003C43AA">
        <w:rPr>
          <w:rFonts w:cstheme="minorHAnsi"/>
          <w:b/>
          <w:bCs/>
        </w:rPr>
        <w:t>la salud ha entrado en juego</w:t>
      </w:r>
      <w:r w:rsidRPr="003C43AA">
        <w:rPr>
          <w:rFonts w:cstheme="minorHAnsi"/>
        </w:rPr>
        <w:t xml:space="preserve"> señalando el camino: el comportamiento activo de los ciudadanos. </w:t>
      </w:r>
    </w:p>
    <w:p w14:paraId="3AA45E0F" w14:textId="77777777" w:rsidR="00555AEB" w:rsidRPr="003C43AA" w:rsidRDefault="00555AEB" w:rsidP="00555AEB">
      <w:pPr>
        <w:jc w:val="both"/>
        <w:rPr>
          <w:rFonts w:cstheme="minorHAnsi"/>
        </w:rPr>
      </w:pPr>
    </w:p>
    <w:p w14:paraId="4EB9486E" w14:textId="77777777" w:rsidR="00555AEB" w:rsidRPr="007B667D" w:rsidRDefault="00555AEB" w:rsidP="007B667D">
      <w:pPr>
        <w:pStyle w:val="Ttulo2"/>
        <w:numPr>
          <w:ilvl w:val="0"/>
          <w:numId w:val="0"/>
        </w:numPr>
        <w:rPr>
          <w:rFonts w:asciiTheme="minorHAnsi" w:hAnsiTheme="minorHAnsi" w:cstheme="minorHAnsi"/>
          <w:lang w:val="es-ES"/>
        </w:rPr>
      </w:pPr>
      <w:r w:rsidRPr="003C43AA">
        <w:rPr>
          <w:rFonts w:asciiTheme="minorHAnsi" w:hAnsiTheme="minorHAnsi" w:cstheme="minorHAnsi"/>
          <w:sz w:val="24"/>
          <w:szCs w:val="24"/>
          <w:lang w:val="es-ES"/>
        </w:rPr>
        <w:t>Salud y Urbanismo</w:t>
      </w:r>
    </w:p>
    <w:p w14:paraId="351C7BC7" w14:textId="77777777" w:rsidR="00555AEB" w:rsidRPr="0051709F" w:rsidRDefault="00555AEB" w:rsidP="00555AEB">
      <w:pPr>
        <w:rPr>
          <w:rFonts w:cstheme="minorHAnsi"/>
        </w:rPr>
      </w:pPr>
    </w:p>
    <w:p w14:paraId="20C556A3" w14:textId="77777777" w:rsidR="00555AEB" w:rsidRPr="0051709F" w:rsidRDefault="00555AEB" w:rsidP="00555AEB">
      <w:pPr>
        <w:jc w:val="both"/>
        <w:rPr>
          <w:rFonts w:cstheme="minorHAnsi"/>
        </w:rPr>
      </w:pPr>
      <w:r w:rsidRPr="0051709F">
        <w:rPr>
          <w:rFonts w:cstheme="minorHAnsi"/>
        </w:rPr>
        <w:t xml:space="preserve">Las ciudades, como principal escenario para la vida humana, tienen una gran responsabilidad para favorecer la realización de ejercicio físico. En consecuencia, la arquitectura y la ciudad tienen una repercusión sustancial en el estado de salud de sus habitantes </w:t>
      </w:r>
      <w:r w:rsidRPr="0051709F">
        <w:rPr>
          <w:rFonts w:cstheme="minorHAnsi"/>
        </w:rPr>
        <w:fldChar w:fldCharType="begin"/>
      </w:r>
      <w:r w:rsidRPr="0051709F">
        <w:rPr>
          <w:rFonts w:cstheme="minorHAnsi"/>
        </w:rPr>
        <w:instrText xml:space="preserve"> ADDIN ZOTERO_ITEM CSL_CITATION {"citationID":"hRb8vkDE","properties":{"unsorted":true,"formattedCitation":"(Edwards &amp; Tsouros, 2008; Active Well-being Initiative, 2017)","plainCitation":"(Edwards &amp; Tsouros, 2008; Active Well-being Initiative, 2017)","noteIndex":0},"citationItems":[{"id":103,"uris":["http://zotero.org/users/10547302/items/W3CLRBID"],"itemData":{"id":103,"type":"book","event-place":"Kopenhagen","ISBN":"978-92-890-4291-8","language":"en","note":"OCLC: 1024131883","publisher":"World Health Organization","publisher-place":"Kopenhagen","source":"Open WorldCat","title":"A healthy city is an active city: a physical activity planning guide","title-short":"A healthy city is an active city","author":[{"family":"Edwards","given":"Peggy"},{"family":"Tsouros","given":"Agis D."}],"issued":{"date-parts":[["2008"]]}}},{"id":335,"uris":["http://zotero.org/users/10547302/items/JLU7N3US"],"itemData":{"id":335,"type":"report","language":"En","publisher":"Active Well-being Initiative","title":"The 2017 Active Well-being Initiative White Paper on urbanisation, non-communicable diseases and the potential for cities to enhance the individual and collective well-being of their population.","URL":"http://activewellbeing.org/wp-content/uploads/2017/09/AWI-White-Paper-2017.pdf","author":[{"literal":"Active Well-being Initiative"}],"issued":{"date-parts":[["2017",9]]}}}],"schema":"https://github.com/citation-style-language/schema/raw/master/csl-citation.json"} </w:instrText>
      </w:r>
      <w:r w:rsidRPr="0051709F">
        <w:rPr>
          <w:rFonts w:cstheme="minorHAnsi"/>
        </w:rPr>
        <w:fldChar w:fldCharType="separate"/>
      </w:r>
      <w:r w:rsidRPr="0051709F">
        <w:rPr>
          <w:rFonts w:cstheme="minorHAnsi"/>
        </w:rPr>
        <w:t>(Edwards &amp; Tsouros, 2008; Active Well-being Initiative, 2017)</w:t>
      </w:r>
      <w:r w:rsidRPr="0051709F">
        <w:rPr>
          <w:rFonts w:cstheme="minorHAnsi"/>
        </w:rPr>
        <w:fldChar w:fldCharType="end"/>
      </w:r>
      <w:r w:rsidRPr="0051709F">
        <w:rPr>
          <w:rFonts w:cstheme="minorHAnsi"/>
        </w:rPr>
        <w:t xml:space="preserve">, hasta el punto de que puede afirmarse que el urbanismo y la salud son dos conceptos indisolublemente unidos. De hecho, desde los albores del fenómeno urbano, la salud, de una manera u otra, siempre ha estado presente como uno de los vectores que han dirigido las transformaciones urbanas. Esto es debido a que, a pesar de que la concentración de la ciudad albergaba innumerables ventajas, también escondía inconvenientes, como la necesidad de consumir grandes cantidades de recursos, la contaminación o la proliferación de plagas y epidemias. </w:t>
      </w:r>
    </w:p>
    <w:p w14:paraId="4D9980C8" w14:textId="77777777" w:rsidR="00555AEB" w:rsidRPr="0051709F" w:rsidRDefault="00555AEB" w:rsidP="00555AEB">
      <w:pPr>
        <w:jc w:val="both"/>
        <w:rPr>
          <w:rFonts w:cstheme="minorHAnsi"/>
        </w:rPr>
      </w:pPr>
    </w:p>
    <w:p w14:paraId="14EE6322" w14:textId="613BC63B" w:rsidR="00555AEB" w:rsidRPr="0051709F" w:rsidRDefault="00555AEB" w:rsidP="00555AEB">
      <w:pPr>
        <w:jc w:val="both"/>
        <w:rPr>
          <w:rFonts w:cstheme="minorHAnsi"/>
        </w:rPr>
      </w:pPr>
      <w:r w:rsidRPr="0051709F">
        <w:rPr>
          <w:rFonts w:cstheme="minorHAnsi"/>
        </w:rPr>
        <w:t xml:space="preserve">Esta relación se ve verificada, hasta el punto de que, por ejemplo, tal y como afirma Beatriz Colomina en su libro Arquitectura de rayos X </w:t>
      </w:r>
      <w:r w:rsidRPr="0051709F">
        <w:rPr>
          <w:rFonts w:cstheme="minorHAnsi"/>
        </w:rPr>
        <w:fldChar w:fldCharType="begin"/>
      </w:r>
      <w:r w:rsidRPr="0051709F">
        <w:rPr>
          <w:rFonts w:cstheme="minorHAnsi"/>
        </w:rPr>
        <w:instrText xml:space="preserve"> ADDIN ZOTERO_ITEM CSL_CITATION {"citationID":"yZH2wo4x","properties":{"formattedCitation":"(Colomina, 2021)","plainCitation":"(Colomina, 2021)","noteIndex":0},"citationItems":[{"id":153,"uris":["http://zotero.org/users/10547302/items/3DY7FNUD"],"itemData":{"id":153,"type":"book","event-place":"Barcelona","ISBN":"978-84-949694-8-5","language":"Es","publisher":"Puente Editores","publisher-place":"Barcelona","title":"Arquitectura de rayos X","author":[{"family":"Colomina","given":"B."}],"issued":{"date-parts":[["2021"]]}}}],"schema":"https://github.com/citation-style-language/schema/raw/master/csl-citation.json"} </w:instrText>
      </w:r>
      <w:r w:rsidRPr="0051709F">
        <w:rPr>
          <w:rFonts w:cstheme="minorHAnsi"/>
        </w:rPr>
        <w:fldChar w:fldCharType="separate"/>
      </w:r>
      <w:r w:rsidRPr="0051709F">
        <w:rPr>
          <w:rFonts w:cstheme="minorHAnsi"/>
        </w:rPr>
        <w:t>(Colomina, 2021)</w:t>
      </w:r>
      <w:r w:rsidRPr="0051709F">
        <w:rPr>
          <w:rFonts w:cstheme="minorHAnsi"/>
        </w:rPr>
        <w:fldChar w:fldCharType="end"/>
      </w:r>
      <w:r w:rsidRPr="0051709F">
        <w:rPr>
          <w:rFonts w:cstheme="minorHAnsi"/>
          <w:i/>
          <w:iCs/>
        </w:rPr>
        <w:t>,</w:t>
      </w:r>
      <w:r w:rsidRPr="0051709F">
        <w:rPr>
          <w:rFonts w:cstheme="minorHAnsi"/>
        </w:rPr>
        <w:t xml:space="preserve"> en el que explora la enorme influencia del discurso médico y sus tecnologías asociadas </w:t>
      </w:r>
      <w:r w:rsidR="009D0464">
        <w:rPr>
          <w:rFonts w:cstheme="minorHAnsi"/>
        </w:rPr>
        <w:t>a</w:t>
      </w:r>
      <w:r w:rsidR="009D0464" w:rsidRPr="0051709F">
        <w:rPr>
          <w:rFonts w:cstheme="minorHAnsi"/>
        </w:rPr>
        <w:t xml:space="preserve"> </w:t>
      </w:r>
      <w:r w:rsidRPr="0051709F">
        <w:rPr>
          <w:rFonts w:cstheme="minorHAnsi"/>
        </w:rPr>
        <w:t xml:space="preserve">las bases conceptuales y formales de la arquitectura del Movimiento moderno: </w:t>
      </w:r>
      <w:r w:rsidRPr="0051709F">
        <w:rPr>
          <w:rFonts w:cstheme="minorHAnsi"/>
          <w:i/>
          <w:iCs/>
        </w:rPr>
        <w:t>la modernidad estuvo impulsada por la enfermedad</w:t>
      </w:r>
      <w:r w:rsidRPr="0051709F">
        <w:rPr>
          <w:rFonts w:cstheme="minorHAnsi"/>
        </w:rPr>
        <w:t xml:space="preserve">. En tiempos más recientes, las ciudades han vuelto a adquirir protagonismo como principales centros de batalla contra las epidemias. No solo el COVID-19, también contra el sedentarismo. </w:t>
      </w:r>
    </w:p>
    <w:p w14:paraId="185DC71A" w14:textId="77777777" w:rsidR="00555AEB" w:rsidRPr="0051709F" w:rsidRDefault="00555AEB" w:rsidP="00555AEB">
      <w:pPr>
        <w:jc w:val="both"/>
        <w:rPr>
          <w:rFonts w:cstheme="minorHAnsi"/>
        </w:rPr>
      </w:pPr>
    </w:p>
    <w:p w14:paraId="60ABE950" w14:textId="4D30BA8C" w:rsidR="00555AEB" w:rsidRPr="0051709F" w:rsidRDefault="00555AEB" w:rsidP="00555AEB">
      <w:pPr>
        <w:jc w:val="both"/>
        <w:rPr>
          <w:rFonts w:cstheme="minorHAnsi"/>
        </w:rPr>
      </w:pPr>
      <w:r w:rsidRPr="0051709F">
        <w:rPr>
          <w:rFonts w:cstheme="minorHAnsi"/>
        </w:rPr>
        <w:lastRenderedPageBreak/>
        <w:t xml:space="preserve">Numerosos estudios apuntan a la importancia de un diseño arquitectónico y urbano adecuado para fomentar la actividad física regular </w:t>
      </w:r>
      <w:r w:rsidRPr="0051709F">
        <w:rPr>
          <w:rFonts w:cstheme="minorHAnsi"/>
        </w:rPr>
        <w:fldChar w:fldCharType="begin"/>
      </w:r>
      <w:r w:rsidRPr="0051709F">
        <w:rPr>
          <w:rFonts w:cstheme="minorHAnsi"/>
        </w:rPr>
        <w:instrText xml:space="preserve"> ADDIN ZOTERO_ITEM CSL_CITATION {"citationID":"trM8vIXd","properties":{"formattedCitation":"(Mayo et al., 2017)","plainCitation":"(Mayo et al., 2017)","noteIndex":0},"citationItems":[{"id":171,"uris":["http://zotero.org/users/10547302/items/EVRYWS7B"],"itemData":{"id":171,"type":"book","event-place":"Madrid, Spain","ISBN":"978-84-697-4252-5","language":"Es","publisher":"Observatorio de la Vida Activa y Saludable de la Fundación España Activa. Centro de Estudios del Deporte, Universidad Rey Juan Carlos, CSIC.","publisher-place":"Madrid, Spain","source":"Coventry University","title":"X Termometro del Sedentarismo en Espana: Informe sobre la inactividad física y el sedentarismo en la población adulta española","title-short":"Termometro del Sedentarismo en Espana","volume":"1","author":[{"family":"Mayo","given":"Xian"},{"family":"Del Villar","given":"Fernando"},{"family":"Jiménez","given":"Alfonso"}],"issued":{"date-parts":[["2017",6,15]]}}}],"schema":"https://github.com/citation-style-language/schema/raw/master/csl-citation.json"} </w:instrText>
      </w:r>
      <w:r w:rsidRPr="0051709F">
        <w:rPr>
          <w:rFonts w:cstheme="minorHAnsi"/>
        </w:rPr>
        <w:fldChar w:fldCharType="separate"/>
      </w:r>
      <w:r w:rsidRPr="0051709F">
        <w:rPr>
          <w:rFonts w:cstheme="minorHAnsi"/>
        </w:rPr>
        <w:t>(Mayo et al., 2017)</w:t>
      </w:r>
      <w:r w:rsidRPr="0051709F">
        <w:rPr>
          <w:rFonts w:cstheme="minorHAnsi"/>
        </w:rPr>
        <w:fldChar w:fldCharType="end"/>
      </w:r>
      <w:r w:rsidRPr="0051709F">
        <w:rPr>
          <w:rFonts w:cstheme="minorHAnsi"/>
        </w:rPr>
        <w:t xml:space="preserve"> o la alimentación saludable </w:t>
      </w:r>
      <w:r w:rsidRPr="0051709F">
        <w:rPr>
          <w:rFonts w:cstheme="minorHAnsi"/>
        </w:rPr>
        <w:fldChar w:fldCharType="begin"/>
      </w:r>
      <w:r w:rsidRPr="0051709F">
        <w:rPr>
          <w:rFonts w:cstheme="minorHAnsi"/>
        </w:rPr>
        <w:instrText xml:space="preserve"> ADDIN ZOTERO_ITEM CSL_CITATION {"citationID":"r7pbOYWf","properties":{"formattedCitation":"(Eitler, McMahon, &amp; Thoerig, 2013)","plainCitation":"(Eitler, McMahon, &amp; Thoerig, 2013)","noteIndex":0},"citationItems":[{"id":55,"uris":["http://zotero.org/users/10547302/items/D58K6WTM"],"itemData":{"id":55,"type":"book","abstract":"\"Distilling lessons learned from three health-focused Urban Land Institute advisory services panels in Colorado, as well as other findings on public health gleaned from a workshop with leading experts, this publication includes up-to-the-minute thinking on how to design and build healthy communities. It serves as a tool for public officials, development professionals, and others to help lay out the key elements that make a community more conducive to activity and that encourage better eating and healthier living\" --","call-number":"RA566.7 .E45 2013","event-place":"Washington, DC","ISBN":"978-0-87420-283-0","language":"en","note":"OCLC: ocn856627564","number-of-pages":"31","publisher":"Urban Land Institute","publisher-place":"Washington, DC","source":"Library of Congress ISBN","title":"Ten principles for building healthy places","author":[{"family":"Eitler","given":"Thomas W."},{"family":"McMahon","given":"Edward"},{"family":"Thoerig","given":"Theodore"}],"contributor":[{"family":"Building Healthy Places Initiative","given":""},{"family":"Urban Land Institute","given":""}],"issued":{"date-parts":[["2013"]]}}}],"schema":"https://github.com/citation-style-language/schema/raw/master/csl-citation.json"} </w:instrText>
      </w:r>
      <w:r w:rsidRPr="0051709F">
        <w:rPr>
          <w:rFonts w:cstheme="minorHAnsi"/>
        </w:rPr>
        <w:fldChar w:fldCharType="separate"/>
      </w:r>
      <w:r w:rsidRPr="0051709F">
        <w:rPr>
          <w:rFonts w:cstheme="minorHAnsi"/>
        </w:rPr>
        <w:t>(Eitler, McMahon, &amp; Thoerig, 2013)</w:t>
      </w:r>
      <w:r w:rsidRPr="0051709F">
        <w:rPr>
          <w:rFonts w:cstheme="minorHAnsi"/>
        </w:rPr>
        <w:fldChar w:fldCharType="end"/>
      </w:r>
      <w:r w:rsidRPr="0051709F">
        <w:rPr>
          <w:rFonts w:cstheme="minorHAnsi"/>
        </w:rPr>
        <w:t xml:space="preserve">. Por este motivo, como ya sucedió en el siglo XIX </w:t>
      </w:r>
      <w:r w:rsidRPr="0051709F">
        <w:rPr>
          <w:rFonts w:cstheme="minorHAnsi"/>
        </w:rPr>
        <w:fldChar w:fldCharType="begin"/>
      </w:r>
      <w:r w:rsidRPr="0051709F">
        <w:rPr>
          <w:rFonts w:cstheme="minorHAnsi"/>
        </w:rPr>
        <w:instrText xml:space="preserve"> ADDIN ZOTERO_ITEM CSL_CITATION {"citationID":"al1YyYxd","properties":{"formattedCitation":"(Lahoz &amp; Blasco, 2023b)","plainCitation":"(Lahoz &amp; Blasco, 2023b)","noteIndex":0},"citationItems":[{"id":229,"uris":["http://zotero.org/users/10547302/items/KEY86VJZ"],"itemData":{"id":229,"type":"chapter","abstract":"Sedentary lifestyle is a global and complex problem that, nevertheless, finds a very natural solution: movement. However, promoting physical activity among the population is not a simple task and requires great efforts from the individuals, the society as a whole and, particularly, the urban environment. The concept of Active City arises as a response to make cities more livable and healthier.","call-number":"TH6021 .S87 2023","collection-title":"Green research, developments, and programs","container-title":"Sustainable and Healthy Building Environments","edition":"Roberto Alonso González Lezcano","event-place":"New York","ISBN":"9798886974010","language":"en","note":"BISAC: ARC018000\nDOI: 10.52305/TKOH1520","page":"75-98","publisher":"Nova Science Publishers","publisher-place":"New York","source":"Library of Congress ISBN","title":"Healthy Cities in the 21st Century: Toward the Active City","author":[{"family":"Lahoz","given":"Carlos F."},{"family":"Blasco","given":"José Antonio"}],"issued":{"date-parts":[["2023"]]}}}],"schema":"https://github.com/citation-style-language/schema/raw/master/csl-citation.json"} </w:instrText>
      </w:r>
      <w:r w:rsidRPr="0051709F">
        <w:rPr>
          <w:rFonts w:cstheme="minorHAnsi"/>
        </w:rPr>
        <w:fldChar w:fldCharType="separate"/>
      </w:r>
      <w:r w:rsidRPr="0051709F">
        <w:rPr>
          <w:rFonts w:cstheme="minorHAnsi"/>
        </w:rPr>
        <w:t>(Lahoz &amp; Blasco, 2023b)</w:t>
      </w:r>
      <w:r w:rsidRPr="0051709F">
        <w:rPr>
          <w:rFonts w:cstheme="minorHAnsi"/>
        </w:rPr>
        <w:fldChar w:fldCharType="end"/>
      </w:r>
      <w:r w:rsidRPr="0051709F">
        <w:rPr>
          <w:rFonts w:cstheme="minorHAnsi"/>
        </w:rPr>
        <w:t xml:space="preserve"> con las consecuencias de la Revolución Industrial, para procurar la salud de los ciudadanos, en el siglo XXI se vuelve a mirar hacia el ejercicio físico y el deporte como remedio. Y, de nuevo, la ciudad adquiere una gran responsabilidad. La ventaja que tiene la sociedad actual es que esas actividades se encuentran incorporadas en gran medida, aunque se trata de que dejen de ser algo puntual y vinculado al tiempo de ocio</w:t>
      </w:r>
      <w:r w:rsidR="009D0464">
        <w:rPr>
          <w:rFonts w:cstheme="minorHAnsi"/>
        </w:rPr>
        <w:t>,</w:t>
      </w:r>
      <w:r w:rsidRPr="0051709F">
        <w:rPr>
          <w:rFonts w:cstheme="minorHAnsi"/>
        </w:rPr>
        <w:t xml:space="preserve"> para convertirse en una actividad habitual, integrada en el estilo de vida de las personas. En este sentido, es importante recordar que el comportamiento activo no afecta solo a la práctica formal de deportes o a la realización de actividades físicas de carácter estructurado, sino que comprende multitud de otras prácticas como dar paseos o llevar a cabo formas de transporte activo, a pie o en bicicleta, que son muy efectivas para el mantenimiento o la mejora de la salud y para las que resultan cruciales las características del entorno. Se trata de integrar la actividad física en la vida cotidiana, pudiéndola desarrollar en la mayor cantidad de ámbitos posibles, con especial atención a aquellos lugares en los que discurre la mayor parte de la vida diaria como el espacio de trabajo o la escuela, las plazas y parques o las calles </w:t>
      </w:r>
      <w:r w:rsidRPr="0051709F">
        <w:rPr>
          <w:rFonts w:cstheme="minorHAnsi"/>
        </w:rPr>
        <w:fldChar w:fldCharType="begin"/>
      </w:r>
      <w:r w:rsidRPr="0051709F">
        <w:rPr>
          <w:rFonts w:cstheme="minorHAnsi"/>
        </w:rPr>
        <w:instrText xml:space="preserve"> ADDIN ZOTERO_ITEM CSL_CITATION {"citationID":"d3zWIPJM","properties":{"formattedCitation":"(Lahoz &amp; Blasco, 2023b)","plainCitation":"(Lahoz &amp; Blasco, 2023b)","noteIndex":0},"citationItems":[{"id":229,"uris":["http://zotero.org/users/10547302/items/KEY86VJZ"],"itemData":{"id":229,"type":"chapter","abstract":"Sedentary lifestyle is a global and complex problem that, nevertheless, finds a very natural solution: movement. However, promoting physical activity among the population is not a simple task and requires great efforts from the individuals, the society as a whole and, particularly, the urban environment. The concept of Active City arises as a response to make cities more livable and healthier.","call-number":"TH6021 .S87 2023","collection-title":"Green research, developments, and programs","container-title":"Sustainable and Healthy Building Environments","edition":"Roberto Alonso González Lezcano","event-place":"New York","ISBN":"9798886974010","language":"en","note":"BISAC: ARC018000\nDOI: 10.52305/TKOH1520","page":"75-98","publisher":"Nova Science Publishers","publisher-place":"New York","source":"Library of Congress ISBN","title":"Healthy Cities in the 21st Century: Toward the Active City","author":[{"family":"Lahoz","given":"Carlos F."},{"family":"Blasco","given":"José Antonio"}],"issued":{"date-parts":[["2023"]]}}}],"schema":"https://github.com/citation-style-language/schema/raw/master/csl-citation.json"} </w:instrText>
      </w:r>
      <w:r w:rsidRPr="0051709F">
        <w:rPr>
          <w:rFonts w:cstheme="minorHAnsi"/>
        </w:rPr>
        <w:fldChar w:fldCharType="separate"/>
      </w:r>
      <w:r w:rsidRPr="0051709F">
        <w:rPr>
          <w:rFonts w:cstheme="minorHAnsi"/>
        </w:rPr>
        <w:t>(Lahoz &amp; Blasco, 2023b)</w:t>
      </w:r>
      <w:r w:rsidRPr="0051709F">
        <w:rPr>
          <w:rFonts w:cstheme="minorHAnsi"/>
        </w:rPr>
        <w:fldChar w:fldCharType="end"/>
      </w:r>
      <w:r w:rsidRPr="0051709F">
        <w:rPr>
          <w:rFonts w:cstheme="minorHAnsi"/>
        </w:rPr>
        <w:t>.</w:t>
      </w:r>
    </w:p>
    <w:p w14:paraId="3E229D18" w14:textId="77777777" w:rsidR="00555AEB" w:rsidRPr="0051709F" w:rsidRDefault="00555AEB" w:rsidP="00555AEB">
      <w:pPr>
        <w:jc w:val="both"/>
        <w:rPr>
          <w:rFonts w:cstheme="minorHAnsi"/>
        </w:rPr>
      </w:pPr>
    </w:p>
    <w:p w14:paraId="50F1854C" w14:textId="55F0D909" w:rsidR="00555AEB" w:rsidRPr="0051709F" w:rsidRDefault="00555AEB" w:rsidP="00555AEB">
      <w:pPr>
        <w:jc w:val="both"/>
        <w:rPr>
          <w:rFonts w:cstheme="minorHAnsi"/>
        </w:rPr>
      </w:pPr>
      <w:r w:rsidRPr="0051709F">
        <w:rPr>
          <w:rFonts w:cstheme="minorHAnsi"/>
        </w:rPr>
        <w:t>Por todo e</w:t>
      </w:r>
      <w:r w:rsidR="009D0464">
        <w:rPr>
          <w:rFonts w:cstheme="minorHAnsi"/>
        </w:rPr>
        <w:t>ll</w:t>
      </w:r>
      <w:r w:rsidRPr="0051709F">
        <w:rPr>
          <w:rFonts w:cstheme="minorHAnsi"/>
        </w:rPr>
        <w:t xml:space="preserve">o, no cabe duda de que las ciudades pueden ayudar a superar esos inéditos problemas de salud favoreciendo los comportamientos activos de la población. Por ello, y como reacción positiva, muchas ciudades </w:t>
      </w:r>
      <w:r w:rsidRPr="0051709F">
        <w:rPr>
          <w:rFonts w:cstheme="minorHAnsi"/>
        </w:rPr>
        <w:fldChar w:fldCharType="begin"/>
      </w:r>
      <w:r w:rsidRPr="0051709F">
        <w:rPr>
          <w:rFonts w:cstheme="minorHAnsi"/>
        </w:rPr>
        <w:instrText xml:space="preserve"> ADDIN ZOTERO_ITEM CSL_CITATION {"citationID":"yEMS2tZE","properties":{"formattedCitation":"(\\uc0\\u8220{}Global Active City Label,\\uc0\\u8221{} n.d.)","plainCitation":"(“Global Active City Label,” n.d.)","noteIndex":0},"citationItems":[{"id":278,"uris":["http://zotero.org/users/10547302/items/VGC6J672"],"itemData":{"id":278,"type":"webpage","abstract":"GLOBAL ACTIVE CITY LABEL\nThe Global Active City (GAC) label is the ultimate recognition of the implementation of the GAC management system and the achievement of the certification process.","container-title":"Active Well-being Initiative","language":"En","title":"Global Active City Label","URL":"http://activewellbeing.org/global-active-city/","accessed":{"date-parts":[["2023",1,14]]}}}],"schema":"https://github.com/citation-style-language/schema/raw/master/csl-citation.json"} </w:instrText>
      </w:r>
      <w:r w:rsidRPr="0051709F">
        <w:rPr>
          <w:rFonts w:cstheme="minorHAnsi"/>
        </w:rPr>
        <w:fldChar w:fldCharType="separate"/>
      </w:r>
      <w:r w:rsidRPr="0051709F">
        <w:rPr>
          <w:rFonts w:cstheme="minorHAnsi"/>
        </w:rPr>
        <w:t xml:space="preserve">(“Global Active City Label,” </w:t>
      </w:r>
      <w:proofErr w:type="spellStart"/>
      <w:r w:rsidRPr="0051709F">
        <w:rPr>
          <w:rFonts w:cstheme="minorHAnsi"/>
        </w:rPr>
        <w:t>n.d</w:t>
      </w:r>
      <w:proofErr w:type="spellEnd"/>
      <w:r w:rsidRPr="0051709F">
        <w:rPr>
          <w:rFonts w:cstheme="minorHAnsi"/>
        </w:rPr>
        <w:t>.)</w:t>
      </w:r>
      <w:r w:rsidRPr="0051709F">
        <w:rPr>
          <w:rFonts w:cstheme="minorHAnsi"/>
        </w:rPr>
        <w:fldChar w:fldCharType="end"/>
      </w:r>
      <w:r w:rsidRPr="0051709F">
        <w:rPr>
          <w:rFonts w:cstheme="minorHAnsi"/>
        </w:rPr>
        <w:t xml:space="preserve">, conscientes del papel que están llamadas a jugar en la mejora de la calidad de vida de las generaciones presentes y futuras, están trabajando para crear y mejorar las oportunidades en los entornos construidos y sociales y ampliando los recursos de la comunidad para que toda la ciudadanía pueda ser físicamente activa en su vida cotidiana. Estas ciudades comienzan a ser conocidas como </w:t>
      </w:r>
      <w:r w:rsidRPr="0051709F">
        <w:rPr>
          <w:rFonts w:cstheme="minorHAnsi"/>
          <w:b/>
          <w:bCs/>
        </w:rPr>
        <w:t>Ciudades Activas</w:t>
      </w:r>
      <w:r w:rsidRPr="0051709F">
        <w:rPr>
          <w:rFonts w:cstheme="minorHAnsi"/>
        </w:rPr>
        <w:t xml:space="preserve">: un nuevo modelo para conseguir ciudades saludables y con calidad de vida. Consecuentemente, </w:t>
      </w:r>
      <w:r w:rsidRPr="0051709F">
        <w:rPr>
          <w:rFonts w:cstheme="minorHAnsi"/>
          <w:iCs/>
        </w:rPr>
        <w:t xml:space="preserve">podría afirmarse que </w:t>
      </w:r>
      <w:r w:rsidRPr="007B667D">
        <w:rPr>
          <w:rFonts w:cstheme="minorHAnsi"/>
          <w:bCs/>
          <w:iCs/>
        </w:rPr>
        <w:t>las ciudades activas son ciudades que, conscientes de la importancia de la actividad física, se comprometen a fomentar una cultura dinámica y saludable en los lugares donde sus habitantes viven, trabajan, aprenden, se mueven y se divierten</w:t>
      </w:r>
      <w:r w:rsidRPr="0051709F">
        <w:rPr>
          <w:rFonts w:cstheme="minorHAnsi"/>
          <w:b/>
          <w:iCs/>
        </w:rPr>
        <w:t xml:space="preserve"> </w:t>
      </w:r>
      <w:r w:rsidRPr="0051709F">
        <w:rPr>
          <w:rFonts w:cstheme="minorHAnsi"/>
        </w:rPr>
        <w:fldChar w:fldCharType="begin"/>
      </w:r>
      <w:r w:rsidRPr="0051709F">
        <w:rPr>
          <w:rFonts w:cstheme="minorHAnsi"/>
        </w:rPr>
        <w:instrText xml:space="preserve"> ADDIN ZOTERO_ITEM CSL_CITATION {"citationID":"GQ2AzTjp","properties":{"formattedCitation":"(Blasco Abad et al., 2022)","plainCitation":"(Blasco Abad et al., 2022)","noteIndex":0},"citationItems":[{"id":5,"uris":["http://zotero.org/users/10547302/items/HJITPGM7"],"itemData":{"id":5,"type":"book","event-place":"Madrid","ISBN":"978-84-11-22406-2","language":"Es","note":"OCLC: 1349364698","publisher":"Dykinson","publisher-place":"Madrid","source":"Open WorldCat","title":"Hacia la ciudad activa: estrategias urbanas para hacer las ciudades más vivibles y saludables","title-short":"Hacia la ciudad activa","author":[{"family":"Blasco Abad","given":"José Antonio"},{"family":"Lahoz Palacio","given":"Carlos F."},{"family":"Martínez-Arrarás Caro","given":"Carlos"}],"issued":{"date-parts":[["2022"]]}}}],"schema":"https://github.com/citation-style-language/schema/raw/master/csl-citation.json"} </w:instrText>
      </w:r>
      <w:r w:rsidRPr="0051709F">
        <w:rPr>
          <w:rFonts w:cstheme="minorHAnsi"/>
        </w:rPr>
        <w:fldChar w:fldCharType="separate"/>
      </w:r>
      <w:r w:rsidRPr="0051709F">
        <w:rPr>
          <w:rFonts w:cstheme="minorHAnsi"/>
        </w:rPr>
        <w:t>(Blasco Abad et al., 2022)</w:t>
      </w:r>
      <w:r w:rsidRPr="0051709F">
        <w:rPr>
          <w:rFonts w:cstheme="minorHAnsi"/>
        </w:rPr>
        <w:fldChar w:fldCharType="end"/>
      </w:r>
      <w:r w:rsidR="009D0464">
        <w:rPr>
          <w:rFonts w:cstheme="minorHAnsi"/>
        </w:rPr>
        <w:t>.</w:t>
      </w:r>
    </w:p>
    <w:p w14:paraId="5C939DCF" w14:textId="77777777" w:rsidR="00555AEB" w:rsidRPr="0051709F" w:rsidRDefault="00555AEB" w:rsidP="00555AEB">
      <w:pPr>
        <w:jc w:val="both"/>
        <w:rPr>
          <w:rFonts w:cstheme="minorHAnsi"/>
          <w:b/>
          <w:iCs/>
        </w:rPr>
      </w:pPr>
    </w:p>
    <w:p w14:paraId="2619E8F0" w14:textId="77777777" w:rsidR="00555AEB" w:rsidRPr="007B667D" w:rsidRDefault="00555AEB" w:rsidP="007B667D">
      <w:pPr>
        <w:pStyle w:val="Ttulo2"/>
        <w:numPr>
          <w:ilvl w:val="0"/>
          <w:numId w:val="0"/>
        </w:numPr>
        <w:rPr>
          <w:rFonts w:asciiTheme="minorHAnsi" w:hAnsiTheme="minorHAnsi" w:cstheme="minorHAnsi"/>
          <w:lang w:val="es-ES"/>
        </w:rPr>
      </w:pPr>
      <w:r w:rsidRPr="007B667D">
        <w:rPr>
          <w:rFonts w:asciiTheme="minorHAnsi" w:hAnsiTheme="minorHAnsi" w:cstheme="minorHAnsi"/>
          <w:sz w:val="24"/>
          <w:szCs w:val="24"/>
          <w:lang w:val="es-ES"/>
        </w:rPr>
        <w:t>Beneficios de la Ciudad Activa</w:t>
      </w:r>
    </w:p>
    <w:p w14:paraId="4B0A17C1" w14:textId="77777777" w:rsidR="00555AEB" w:rsidRPr="0051709F" w:rsidRDefault="00555AEB" w:rsidP="00555AEB">
      <w:pPr>
        <w:rPr>
          <w:rFonts w:cstheme="minorHAnsi"/>
        </w:rPr>
      </w:pPr>
    </w:p>
    <w:p w14:paraId="2DC0E48B" w14:textId="77777777" w:rsidR="008A069C" w:rsidRDefault="008A069C" w:rsidP="008A069C">
      <w:pPr>
        <w:rPr>
          <w:rFonts w:cstheme="minorHAnsi"/>
        </w:rPr>
      </w:pPr>
      <w:r w:rsidRPr="008A069C">
        <w:rPr>
          <w:rFonts w:cstheme="minorHAnsi"/>
        </w:rPr>
        <w:t xml:space="preserve">Se enuncian una serie de beneficios que se desprenden de la aplicación del modelo de </w:t>
      </w:r>
      <w:r w:rsidRPr="008A069C">
        <w:rPr>
          <w:rFonts w:cstheme="minorHAnsi"/>
          <w:iCs/>
        </w:rPr>
        <w:t>Ciudad Activa</w:t>
      </w:r>
      <w:r w:rsidRPr="008A069C">
        <w:rPr>
          <w:rFonts w:cstheme="minorHAnsi"/>
        </w:rPr>
        <w:t xml:space="preserve">. </w:t>
      </w:r>
    </w:p>
    <w:p w14:paraId="6024D823" w14:textId="77777777" w:rsidR="009D0464" w:rsidRPr="008A069C" w:rsidRDefault="009D0464" w:rsidP="008A069C">
      <w:pPr>
        <w:rPr>
          <w:rFonts w:cstheme="minorHAnsi"/>
        </w:rPr>
      </w:pPr>
    </w:p>
    <w:p w14:paraId="5C0C7E10" w14:textId="3DBFCBE4" w:rsidR="008A069C" w:rsidRDefault="008A069C" w:rsidP="008A069C">
      <w:pPr>
        <w:pStyle w:val="Ttulo3"/>
        <w:numPr>
          <w:ilvl w:val="0"/>
          <w:numId w:val="0"/>
        </w:numPr>
        <w:ind w:left="720" w:hanging="720"/>
        <w:rPr>
          <w:rFonts w:asciiTheme="minorHAnsi" w:eastAsiaTheme="minorHAnsi" w:hAnsiTheme="minorHAnsi" w:cstheme="minorHAnsi"/>
          <w:i/>
          <w:iCs/>
          <w:color w:val="auto"/>
          <w:lang w:val="es-ES"/>
        </w:rPr>
      </w:pPr>
      <w:bookmarkStart w:id="1" w:name="_Toc68011180"/>
      <w:bookmarkStart w:id="2" w:name="_Toc77860558"/>
      <w:r w:rsidRPr="007B667D">
        <w:rPr>
          <w:rFonts w:asciiTheme="minorHAnsi" w:eastAsiaTheme="minorHAnsi" w:hAnsiTheme="minorHAnsi" w:cstheme="minorHAnsi"/>
          <w:i/>
          <w:iCs/>
          <w:color w:val="auto"/>
          <w:lang w:val="es-ES"/>
        </w:rPr>
        <w:t>Beneficios para la salud física y mental</w:t>
      </w:r>
      <w:bookmarkEnd w:id="1"/>
      <w:bookmarkEnd w:id="2"/>
      <w:r w:rsidR="009D0464">
        <w:rPr>
          <w:rFonts w:asciiTheme="minorHAnsi" w:eastAsiaTheme="minorHAnsi" w:hAnsiTheme="minorHAnsi" w:cstheme="minorHAnsi"/>
          <w:i/>
          <w:iCs/>
          <w:color w:val="auto"/>
          <w:lang w:val="es-ES"/>
        </w:rPr>
        <w:t>:</w:t>
      </w:r>
    </w:p>
    <w:p w14:paraId="1F9E790A" w14:textId="77777777" w:rsidR="009D0464" w:rsidRPr="009D0464" w:rsidRDefault="009D0464" w:rsidP="007B667D"/>
    <w:p w14:paraId="664D1649" w14:textId="77777777" w:rsidR="008A069C" w:rsidRPr="008A069C" w:rsidRDefault="008A069C" w:rsidP="00E6399B">
      <w:pPr>
        <w:pStyle w:val="Prrafodelista"/>
        <w:numPr>
          <w:ilvl w:val="0"/>
          <w:numId w:val="113"/>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Las personas que viven más cerca de los parques son más saludables. Se ha constatado que la simple presencia de parques o su proximidad hace que los residentes se sientan más sanos, menos estresados y aislados. También experimentan menos ansiedad. Vivir cerca de un espacio verde se asocia igualmente con una disminución de la mortalidad por enfermedades cardiovasculares y respiratorias.</w:t>
      </w:r>
    </w:p>
    <w:p w14:paraId="365CCCA1" w14:textId="1AB0CAC8" w:rsidR="008A069C" w:rsidRPr="008A069C" w:rsidRDefault="008A069C" w:rsidP="00E6399B">
      <w:pPr>
        <w:pStyle w:val="Prrafodelista"/>
        <w:numPr>
          <w:ilvl w:val="0"/>
          <w:numId w:val="113"/>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lastRenderedPageBreak/>
        <w:t>Las ciudades amables con el peatón, el ciclista y la vegetación, hacen ciudadanos más saludables y seguros. La posibilidad de caminar o pedalear lleva aparejada una disminución del índice de masa corporal general de la población, mientras que la presencia del verde repercute directamente sobre los niveles estrés, rebajándolos.</w:t>
      </w:r>
    </w:p>
    <w:p w14:paraId="21231BB9" w14:textId="3C8C6350" w:rsidR="008A069C" w:rsidRPr="008A069C" w:rsidRDefault="008A069C" w:rsidP="00E6399B">
      <w:pPr>
        <w:pStyle w:val="Prrafodelista"/>
        <w:numPr>
          <w:ilvl w:val="0"/>
          <w:numId w:val="113"/>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 xml:space="preserve">El acceso a los campos de juego escolares ofrece a los ciudadanos la oportunidad de ser más activos y mejorar su tono físico. Las escuelas presentan una gran oportunidad para promover los modos de vida activa ya que suponen el espacio con mayor potencial del vecindario para el desarrollo de la actividad física, particularmente </w:t>
      </w:r>
      <w:r w:rsidR="00FD1659">
        <w:rPr>
          <w:rStyle w:val="Prrafoingls"/>
          <w:rFonts w:asciiTheme="minorHAnsi" w:hAnsiTheme="minorHAnsi" w:cstheme="minorHAnsi"/>
          <w:i w:val="0"/>
          <w:sz w:val="24"/>
          <w:szCs w:val="24"/>
          <w:lang w:val="es-ES"/>
        </w:rPr>
        <w:t>par</w:t>
      </w:r>
      <w:r w:rsidRPr="008A069C">
        <w:rPr>
          <w:rStyle w:val="Prrafoingls"/>
          <w:rFonts w:asciiTheme="minorHAnsi" w:hAnsiTheme="minorHAnsi" w:cstheme="minorHAnsi"/>
          <w:i w:val="0"/>
          <w:sz w:val="24"/>
          <w:szCs w:val="24"/>
          <w:lang w:val="es-ES"/>
        </w:rPr>
        <w:t>a los jóvenes y adultos.</w:t>
      </w:r>
    </w:p>
    <w:p w14:paraId="5AEB5CE0" w14:textId="77777777" w:rsidR="008A069C" w:rsidRDefault="008A069C" w:rsidP="007B78CE">
      <w:pPr>
        <w:pStyle w:val="Ttulo3"/>
        <w:numPr>
          <w:ilvl w:val="0"/>
          <w:numId w:val="0"/>
        </w:numPr>
        <w:jc w:val="both"/>
        <w:rPr>
          <w:rStyle w:val="Prrafoingls"/>
          <w:rFonts w:asciiTheme="minorHAnsi" w:eastAsia="PMingLiU" w:hAnsiTheme="minorHAnsi" w:cstheme="minorHAnsi"/>
          <w:color w:val="auto"/>
          <w:sz w:val="24"/>
          <w:szCs w:val="24"/>
          <w:lang w:val="es-ES"/>
        </w:rPr>
      </w:pPr>
      <w:bookmarkStart w:id="3" w:name="_Toc68011181"/>
      <w:bookmarkStart w:id="4" w:name="_Toc77860559"/>
      <w:r w:rsidRPr="007B667D">
        <w:rPr>
          <w:rStyle w:val="Prrafoingls"/>
          <w:rFonts w:asciiTheme="minorHAnsi" w:eastAsia="PMingLiU" w:hAnsiTheme="minorHAnsi" w:cstheme="minorHAnsi"/>
          <w:color w:val="auto"/>
          <w:sz w:val="24"/>
          <w:szCs w:val="24"/>
          <w:lang w:val="es-ES"/>
        </w:rPr>
        <w:t>Beneficios sociales</w:t>
      </w:r>
      <w:bookmarkEnd w:id="3"/>
      <w:bookmarkEnd w:id="4"/>
    </w:p>
    <w:p w14:paraId="16305F4F" w14:textId="77777777" w:rsidR="00FD1659" w:rsidRPr="00FD1659" w:rsidRDefault="00FD1659" w:rsidP="007B667D"/>
    <w:p w14:paraId="1256E0F5" w14:textId="77777777" w:rsidR="008A069C" w:rsidRPr="008A069C" w:rsidRDefault="008A069C" w:rsidP="007B78CE">
      <w:pPr>
        <w:pStyle w:val="Prrafodelista"/>
        <w:numPr>
          <w:ilvl w:val="0"/>
          <w:numId w:val="52"/>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Los ambientes activos fortalecen las comunidades, aumentando la cohesión social entre la población como consecuencia de la multiplicación de las interacciones entre sus miembros, que se encuentran en el espacio público.</w:t>
      </w:r>
    </w:p>
    <w:p w14:paraId="2A00D9D7" w14:textId="77777777" w:rsidR="008A069C" w:rsidRPr="008A069C" w:rsidRDefault="008A069C" w:rsidP="007B78CE">
      <w:pPr>
        <w:pStyle w:val="Prrafodelista"/>
        <w:numPr>
          <w:ilvl w:val="0"/>
          <w:numId w:val="52"/>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Los ciudadanos activos suelen mostrar un mayor compromiso cívico tanto por la participación general de sus miembros en los asuntos de la ciudad como por la dinamización del voluntariado.</w:t>
      </w:r>
    </w:p>
    <w:p w14:paraId="7DB1E7D7" w14:textId="77777777" w:rsidR="008A069C" w:rsidRPr="008A069C" w:rsidRDefault="008A069C" w:rsidP="007B78CE">
      <w:pPr>
        <w:pStyle w:val="Prrafodelista"/>
        <w:numPr>
          <w:ilvl w:val="0"/>
          <w:numId w:val="52"/>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Los parques y las zonas recreativas fortalecen el sentimiento comunitario y dinamizan el juego entre los niños. Entre los beneficios derivados se incluyen la disminución del sentimiento de soledad y el aumento del grado de integración social. Así mismo, promueven la realización de juegos y ejercicios por parte de los más jóvenes.</w:t>
      </w:r>
    </w:p>
    <w:p w14:paraId="2D182209" w14:textId="77777777" w:rsidR="008A069C" w:rsidRPr="008A069C" w:rsidRDefault="008A069C" w:rsidP="007B78CE">
      <w:pPr>
        <w:pStyle w:val="Prrafodelista"/>
        <w:numPr>
          <w:ilvl w:val="0"/>
          <w:numId w:val="52"/>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La disponibilidad de opciones de transporte activo aumenta el grado de satisfacción de los ciudadanos. Además, los espacios públicos libres de vehículos resultan más atractivos.</w:t>
      </w:r>
    </w:p>
    <w:p w14:paraId="11DE81B9" w14:textId="77777777" w:rsidR="008A069C" w:rsidRPr="008A069C" w:rsidRDefault="008A069C" w:rsidP="007B78CE">
      <w:pPr>
        <w:pStyle w:val="Prrafodelista"/>
        <w:numPr>
          <w:ilvl w:val="0"/>
          <w:numId w:val="53"/>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Abrir los colegios resulta muy beneficioso para la comunidad porque, al incorporar programas de actividades dirigidas al público general, se incrementa su uso por parte de los más jóvenes, favoreciendo las relaciones sociales y el alejamiento de los adolescentes de los focos de comportamientos problemáticos.</w:t>
      </w:r>
    </w:p>
    <w:p w14:paraId="20235081" w14:textId="77777777" w:rsidR="008A069C" w:rsidRDefault="008A069C" w:rsidP="00FD1659">
      <w:pPr>
        <w:pStyle w:val="Ttulo3"/>
        <w:numPr>
          <w:ilvl w:val="0"/>
          <w:numId w:val="0"/>
        </w:numPr>
        <w:jc w:val="both"/>
        <w:rPr>
          <w:rStyle w:val="Prrafoingls"/>
          <w:rFonts w:asciiTheme="minorHAnsi" w:eastAsia="PMingLiU" w:hAnsiTheme="minorHAnsi" w:cstheme="minorHAnsi"/>
          <w:color w:val="auto"/>
          <w:sz w:val="24"/>
          <w:szCs w:val="24"/>
          <w:lang w:val="es-ES"/>
        </w:rPr>
      </w:pPr>
      <w:bookmarkStart w:id="5" w:name="_Toc68011182"/>
      <w:bookmarkStart w:id="6" w:name="_Toc77860560"/>
      <w:r w:rsidRPr="007B667D">
        <w:rPr>
          <w:rStyle w:val="Prrafoingls"/>
          <w:rFonts w:asciiTheme="minorHAnsi" w:eastAsia="PMingLiU" w:hAnsiTheme="minorHAnsi" w:cstheme="minorHAnsi"/>
          <w:color w:val="auto"/>
          <w:sz w:val="24"/>
          <w:szCs w:val="24"/>
          <w:lang w:val="es-ES"/>
        </w:rPr>
        <w:t>Beneficios económicos</w:t>
      </w:r>
      <w:bookmarkEnd w:id="5"/>
      <w:bookmarkEnd w:id="6"/>
    </w:p>
    <w:p w14:paraId="3345CF02" w14:textId="77777777" w:rsidR="00FD1659" w:rsidRPr="00FD1659" w:rsidRDefault="00FD1659" w:rsidP="007B667D"/>
    <w:p w14:paraId="05D4247B" w14:textId="3233477A" w:rsidR="008A069C" w:rsidRPr="008A069C" w:rsidRDefault="008A069C" w:rsidP="00E6399B">
      <w:pPr>
        <w:pStyle w:val="Prrafodelista"/>
        <w:numPr>
          <w:ilvl w:val="0"/>
          <w:numId w:val="114"/>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El peatón y el ciclista favorecen los negocios: la vida peatonal, el uso de la bicicleta y la realización de deportes al aire libre dinamizan las economías locales, y en especial el comercio minorista, al inyectar vida y actividad a la escena urbana.</w:t>
      </w:r>
      <w:r w:rsidRPr="008A069C">
        <w:rPr>
          <w:rFonts w:asciiTheme="minorHAnsi" w:hAnsiTheme="minorHAnsi" w:cstheme="minorHAnsi"/>
          <w:sz w:val="24"/>
          <w:szCs w:val="24"/>
          <w:lang w:val="es-ES"/>
        </w:rPr>
        <w:t xml:space="preserve"> Los comercios locales también se ven muy beneficiados por la presencia continua e intensa de personas en las calles. Esto, indirectamente, favorece la </w:t>
      </w:r>
      <w:r w:rsidRPr="008A069C">
        <w:rPr>
          <w:rStyle w:val="Prrafoingls"/>
          <w:rFonts w:asciiTheme="minorHAnsi" w:hAnsiTheme="minorHAnsi" w:cstheme="minorHAnsi"/>
          <w:i w:val="0"/>
          <w:sz w:val="24"/>
          <w:szCs w:val="24"/>
          <w:lang w:val="es-ES"/>
        </w:rPr>
        <w:t>creación de nuevos empleos</w:t>
      </w:r>
      <w:r w:rsidRPr="008A069C">
        <w:rPr>
          <w:rFonts w:asciiTheme="minorHAnsi" w:hAnsiTheme="minorHAnsi" w:cstheme="minorHAnsi"/>
          <w:sz w:val="24"/>
          <w:szCs w:val="24"/>
          <w:lang w:val="es-ES"/>
        </w:rPr>
        <w:t xml:space="preserve"> y la recaudación de impuestos.</w:t>
      </w:r>
    </w:p>
    <w:p w14:paraId="36883E54" w14:textId="77777777" w:rsidR="008A069C" w:rsidRPr="008A069C" w:rsidRDefault="008A069C" w:rsidP="00E6399B">
      <w:pPr>
        <w:pStyle w:val="Prrafodelista"/>
        <w:numPr>
          <w:ilvl w:val="0"/>
          <w:numId w:val="114"/>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Promover el movimiento a pie y en bicicleta ayuda a reducir los costes del Sistema Sanitario.</w:t>
      </w:r>
      <w:r w:rsidRPr="008A069C">
        <w:rPr>
          <w:rFonts w:asciiTheme="minorHAnsi" w:hAnsiTheme="minorHAnsi" w:cstheme="minorHAnsi"/>
          <w:sz w:val="24"/>
          <w:szCs w:val="24"/>
          <w:lang w:val="es-ES"/>
        </w:rPr>
        <w:t xml:space="preserve"> El sistema de salud pública ve aliviado la presión con menos necesidades de atención médica, lo que permite ahorros o utilizar esos recursos para otros temas importantes.</w:t>
      </w:r>
    </w:p>
    <w:p w14:paraId="23CBE679" w14:textId="77777777" w:rsidR="008A069C" w:rsidRPr="008A069C" w:rsidRDefault="008A069C" w:rsidP="00E6399B">
      <w:pPr>
        <w:pStyle w:val="Prrafodelista"/>
        <w:numPr>
          <w:ilvl w:val="0"/>
          <w:numId w:val="114"/>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Los espacios de trabajo saludables y activos ven aumentada la productividad de las personas que trabajan en ellos al reducirse el absentismo laboral o las enfermedades cardiovasculares de los trabajadores.</w:t>
      </w:r>
    </w:p>
    <w:p w14:paraId="60556E25" w14:textId="77777777" w:rsidR="008A069C" w:rsidRPr="008A069C" w:rsidRDefault="008A069C" w:rsidP="00E6399B">
      <w:pPr>
        <w:pStyle w:val="Prrafodelista"/>
        <w:numPr>
          <w:ilvl w:val="0"/>
          <w:numId w:val="114"/>
        </w:numPr>
        <w:spacing w:after="200" w:line="240" w:lineRule="atLeast"/>
        <w:jc w:val="both"/>
        <w:rPr>
          <w:rFonts w:asciiTheme="minorHAnsi" w:hAnsiTheme="minorHAnsi" w:cstheme="minorHAnsi"/>
          <w:sz w:val="24"/>
          <w:szCs w:val="24"/>
          <w:lang w:val="es-ES"/>
        </w:rPr>
      </w:pPr>
      <w:r w:rsidRPr="008A069C">
        <w:rPr>
          <w:rFonts w:asciiTheme="minorHAnsi" w:hAnsiTheme="minorHAnsi" w:cstheme="minorHAnsi"/>
          <w:sz w:val="24"/>
          <w:szCs w:val="24"/>
          <w:lang w:val="es-ES"/>
        </w:rPr>
        <w:lastRenderedPageBreak/>
        <w:t xml:space="preserve">Hay un ahorro individual debido a que el gasto en transporte es menor al requerido por el mantenimiento de un vehículo a motor. </w:t>
      </w:r>
    </w:p>
    <w:p w14:paraId="486F7881" w14:textId="77777777" w:rsidR="008A069C" w:rsidRPr="008A069C" w:rsidRDefault="008A069C" w:rsidP="00E6399B">
      <w:pPr>
        <w:pStyle w:val="Prrafodelista"/>
        <w:numPr>
          <w:ilvl w:val="0"/>
          <w:numId w:val="114"/>
        </w:numPr>
        <w:spacing w:after="200" w:line="240" w:lineRule="atLeast"/>
        <w:jc w:val="both"/>
        <w:rPr>
          <w:rStyle w:val="Prrafoingls"/>
          <w:rFonts w:asciiTheme="minorHAnsi" w:hAnsiTheme="minorHAnsi" w:cstheme="minorHAnsi"/>
          <w:i w:val="0"/>
          <w:iCs w:val="0"/>
          <w:sz w:val="24"/>
          <w:szCs w:val="24"/>
          <w:lang w:val="es-ES"/>
        </w:rPr>
      </w:pPr>
      <w:r w:rsidRPr="008A069C">
        <w:rPr>
          <w:rFonts w:asciiTheme="minorHAnsi" w:hAnsiTheme="minorHAnsi" w:cstheme="minorHAnsi"/>
          <w:sz w:val="24"/>
          <w:szCs w:val="24"/>
          <w:lang w:val="es-ES"/>
        </w:rPr>
        <w:t>Estudios inmobiliarios están detectando incrementos de valor de las propiedades en los barrios que se están transformando en esta línea.</w:t>
      </w:r>
    </w:p>
    <w:p w14:paraId="776EB863" w14:textId="77777777" w:rsidR="008A069C" w:rsidRDefault="008A069C" w:rsidP="008A069C">
      <w:pPr>
        <w:pStyle w:val="Ttulo3"/>
        <w:numPr>
          <w:ilvl w:val="0"/>
          <w:numId w:val="0"/>
        </w:numPr>
        <w:rPr>
          <w:rFonts w:asciiTheme="minorHAnsi" w:hAnsiTheme="minorHAnsi" w:cstheme="minorHAnsi"/>
          <w:i/>
          <w:iCs/>
          <w:color w:val="auto"/>
          <w:lang w:val="es-ES"/>
        </w:rPr>
      </w:pPr>
      <w:bookmarkStart w:id="7" w:name="_Toc68011183"/>
      <w:bookmarkStart w:id="8" w:name="_Toc77860561"/>
      <w:r w:rsidRPr="007B667D">
        <w:rPr>
          <w:rFonts w:asciiTheme="minorHAnsi" w:hAnsiTheme="minorHAnsi" w:cstheme="minorHAnsi"/>
          <w:i/>
          <w:iCs/>
          <w:color w:val="auto"/>
          <w:lang w:val="es-ES"/>
        </w:rPr>
        <w:t>Beneficios para la seguridad</w:t>
      </w:r>
      <w:bookmarkEnd w:id="7"/>
      <w:r w:rsidRPr="007B667D">
        <w:rPr>
          <w:rFonts w:asciiTheme="minorHAnsi" w:hAnsiTheme="minorHAnsi" w:cstheme="minorHAnsi"/>
          <w:i/>
          <w:iCs/>
          <w:color w:val="auto"/>
          <w:lang w:val="es-ES"/>
        </w:rPr>
        <w:t xml:space="preserve"> de las personas</w:t>
      </w:r>
      <w:bookmarkEnd w:id="8"/>
    </w:p>
    <w:p w14:paraId="52787DB7" w14:textId="77777777" w:rsidR="00FD1659" w:rsidRPr="00FD1659" w:rsidRDefault="00FD1659" w:rsidP="007B667D"/>
    <w:p w14:paraId="6DA4B1C3" w14:textId="77777777" w:rsidR="008A069C" w:rsidRPr="008A069C" w:rsidRDefault="008A069C" w:rsidP="00E6399B">
      <w:pPr>
        <w:pStyle w:val="Prrafodelista"/>
        <w:numPr>
          <w:ilvl w:val="0"/>
          <w:numId w:val="115"/>
        </w:numPr>
        <w:spacing w:after="200" w:line="240" w:lineRule="atLeast"/>
        <w:jc w:val="both"/>
        <w:rPr>
          <w:rFonts w:asciiTheme="minorHAnsi" w:hAnsiTheme="minorHAnsi" w:cstheme="minorHAnsi"/>
          <w:iCs/>
          <w:sz w:val="24"/>
          <w:szCs w:val="24"/>
          <w:lang w:val="es-ES"/>
        </w:rPr>
      </w:pPr>
      <w:r w:rsidRPr="008A069C">
        <w:rPr>
          <w:rStyle w:val="Prrafoingls"/>
          <w:rFonts w:asciiTheme="minorHAnsi" w:hAnsiTheme="minorHAnsi" w:cstheme="minorHAnsi"/>
          <w:i w:val="0"/>
          <w:sz w:val="24"/>
          <w:szCs w:val="24"/>
          <w:lang w:val="es-ES"/>
        </w:rPr>
        <w:t>Los entornos propicios para la actividad física han demostrado ser más seguros, como evidencian las estadísticas que indican la reducción de los índices de criminalidad (que desciende por la presencia de más personas), así como los accidentes y las lesiones derivadas del tráfico rodado.</w:t>
      </w:r>
    </w:p>
    <w:p w14:paraId="62447329" w14:textId="77777777" w:rsidR="008A069C" w:rsidRPr="008A069C" w:rsidRDefault="008A069C" w:rsidP="00E6399B">
      <w:pPr>
        <w:pStyle w:val="Prrafodelista"/>
        <w:numPr>
          <w:ilvl w:val="0"/>
          <w:numId w:val="115"/>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Las zonas verdes tienen un impacto positivo sobre la cohesión social y los índices de violencia y vandalismo.</w:t>
      </w:r>
    </w:p>
    <w:p w14:paraId="7702C654" w14:textId="77777777" w:rsidR="008A069C" w:rsidRPr="008A069C" w:rsidRDefault="008A069C" w:rsidP="00E6399B">
      <w:pPr>
        <w:pStyle w:val="Prrafodelista"/>
        <w:numPr>
          <w:ilvl w:val="0"/>
          <w:numId w:val="115"/>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Un diseño amigable con el peatón y el ciclista salva vidas. El atemperamiento del tráfico rodado y otras medidas como las mejora en la señalización, en la iluminación o los carriles exclusivos hacen disminuir el número accidentes. Así mismo, la implementación de rutas peatonales seguras reduce las tasas de accidentes y lesiones que sufren los peatones más vulnerables, aquellos que están en edad escolar y los mayores.</w:t>
      </w:r>
      <w:bookmarkStart w:id="9" w:name="_Toc68011184"/>
      <w:bookmarkStart w:id="10" w:name="_Toc77860562"/>
    </w:p>
    <w:p w14:paraId="407F8DEF" w14:textId="77777777" w:rsidR="008A069C" w:rsidRDefault="008A069C" w:rsidP="00FD1659">
      <w:pPr>
        <w:pStyle w:val="Ttulo3"/>
        <w:numPr>
          <w:ilvl w:val="0"/>
          <w:numId w:val="0"/>
        </w:numPr>
        <w:rPr>
          <w:rFonts w:asciiTheme="minorHAnsi" w:hAnsiTheme="minorHAnsi" w:cstheme="minorHAnsi"/>
          <w:i/>
          <w:iCs/>
          <w:color w:val="auto"/>
          <w:lang w:val="es-ES"/>
        </w:rPr>
      </w:pPr>
      <w:r w:rsidRPr="007B667D">
        <w:rPr>
          <w:rFonts w:asciiTheme="minorHAnsi" w:hAnsiTheme="minorHAnsi" w:cstheme="minorHAnsi"/>
          <w:i/>
          <w:iCs/>
          <w:color w:val="auto"/>
          <w:lang w:val="es-ES"/>
        </w:rPr>
        <w:t>Beneficios medioambientales</w:t>
      </w:r>
      <w:bookmarkEnd w:id="9"/>
      <w:bookmarkEnd w:id="10"/>
    </w:p>
    <w:p w14:paraId="4F1DCF87" w14:textId="77777777" w:rsidR="00FD1659" w:rsidRPr="00FD1659" w:rsidRDefault="00FD1659" w:rsidP="007B667D"/>
    <w:p w14:paraId="7874E8C1" w14:textId="43CA55F9" w:rsidR="008A069C" w:rsidRPr="008A069C" w:rsidRDefault="008A069C" w:rsidP="00E6399B">
      <w:pPr>
        <w:pStyle w:val="Prrafodelista"/>
        <w:numPr>
          <w:ilvl w:val="0"/>
          <w:numId w:val="116"/>
        </w:numPr>
        <w:spacing w:after="200" w:line="240" w:lineRule="atLeast"/>
        <w:jc w:val="both"/>
        <w:rPr>
          <w:rStyle w:val="Prrafoingls"/>
          <w:rFonts w:asciiTheme="minorHAnsi" w:hAnsiTheme="minorHAnsi" w:cstheme="minorHAnsi"/>
          <w:i w:val="0"/>
          <w:iCs w:val="0"/>
          <w:sz w:val="24"/>
          <w:szCs w:val="24"/>
          <w:lang w:val="es-ES"/>
        </w:rPr>
      </w:pPr>
      <w:r w:rsidRPr="008A069C">
        <w:rPr>
          <w:rFonts w:asciiTheme="minorHAnsi" w:hAnsiTheme="minorHAnsi" w:cstheme="minorHAnsi"/>
          <w:sz w:val="24"/>
          <w:szCs w:val="24"/>
          <w:lang w:val="es-ES"/>
        </w:rPr>
        <w:t xml:space="preserve">La movilidad alternativa y la </w:t>
      </w:r>
      <w:r w:rsidRPr="008A069C">
        <w:rPr>
          <w:rStyle w:val="Prrafoingls"/>
          <w:rFonts w:asciiTheme="minorHAnsi" w:hAnsiTheme="minorHAnsi" w:cstheme="minorHAnsi"/>
          <w:i w:val="0"/>
          <w:sz w:val="24"/>
          <w:szCs w:val="24"/>
          <w:lang w:val="es-ES"/>
        </w:rPr>
        <w:t xml:space="preserve">apuesta por el transporte público </w:t>
      </w:r>
      <w:r w:rsidRPr="008A069C">
        <w:rPr>
          <w:rFonts w:asciiTheme="minorHAnsi" w:hAnsiTheme="minorHAnsi" w:cstheme="minorHAnsi"/>
          <w:sz w:val="24"/>
          <w:szCs w:val="24"/>
          <w:lang w:val="es-ES"/>
        </w:rPr>
        <w:t>reducen considerablemente las emisiones y hace</w:t>
      </w:r>
      <w:r w:rsidR="00FD1659">
        <w:rPr>
          <w:rFonts w:asciiTheme="minorHAnsi" w:hAnsiTheme="minorHAnsi" w:cstheme="minorHAnsi"/>
          <w:sz w:val="24"/>
          <w:szCs w:val="24"/>
          <w:lang w:val="es-ES"/>
        </w:rPr>
        <w:t>n</w:t>
      </w:r>
      <w:r w:rsidRPr="008A069C">
        <w:rPr>
          <w:rFonts w:asciiTheme="minorHAnsi" w:hAnsiTheme="minorHAnsi" w:cstheme="minorHAnsi"/>
          <w:sz w:val="24"/>
          <w:szCs w:val="24"/>
          <w:lang w:val="es-ES"/>
        </w:rPr>
        <w:t xml:space="preserve"> que las calles mejoren su calidad del aire. </w:t>
      </w:r>
    </w:p>
    <w:p w14:paraId="381239A3" w14:textId="77777777" w:rsidR="008A069C" w:rsidRPr="008A069C" w:rsidRDefault="008A069C" w:rsidP="00E6399B">
      <w:pPr>
        <w:pStyle w:val="Prrafodelista"/>
        <w:numPr>
          <w:ilvl w:val="0"/>
          <w:numId w:val="116"/>
        </w:numPr>
        <w:spacing w:after="200" w:line="240" w:lineRule="atLeast"/>
        <w:jc w:val="both"/>
        <w:rPr>
          <w:rStyle w:val="Prrafoingls"/>
          <w:rFonts w:asciiTheme="minorHAnsi" w:hAnsiTheme="minorHAnsi" w:cstheme="minorHAnsi"/>
          <w:i w:val="0"/>
          <w:iCs w:val="0"/>
          <w:sz w:val="24"/>
          <w:szCs w:val="24"/>
          <w:lang w:val="es-ES"/>
        </w:rPr>
      </w:pPr>
      <w:r w:rsidRPr="008A069C">
        <w:rPr>
          <w:rStyle w:val="Prrafoingls"/>
          <w:rFonts w:asciiTheme="minorHAnsi" w:hAnsiTheme="minorHAnsi" w:cstheme="minorHAnsi"/>
          <w:i w:val="0"/>
          <w:sz w:val="24"/>
          <w:szCs w:val="24"/>
          <w:lang w:val="es-ES"/>
        </w:rPr>
        <w:t>Los árboles combaten la contaminación y reducen la dependencia energética.</w:t>
      </w:r>
    </w:p>
    <w:p w14:paraId="2E39F011" w14:textId="77777777" w:rsidR="008A069C" w:rsidRPr="00FD1659" w:rsidRDefault="008A069C" w:rsidP="00E6399B">
      <w:pPr>
        <w:pStyle w:val="Prrafodelista"/>
        <w:numPr>
          <w:ilvl w:val="0"/>
          <w:numId w:val="116"/>
        </w:numPr>
        <w:spacing w:after="200" w:line="240" w:lineRule="atLeast"/>
        <w:jc w:val="both"/>
        <w:rPr>
          <w:rStyle w:val="Prrafoingls"/>
          <w:rFonts w:asciiTheme="minorHAnsi" w:hAnsiTheme="minorHAnsi" w:cstheme="minorHAnsi"/>
          <w:i w:val="0"/>
          <w:iCs w:val="0"/>
          <w:sz w:val="24"/>
          <w:szCs w:val="24"/>
          <w:lang w:val="es-ES"/>
        </w:rPr>
      </w:pPr>
      <w:r w:rsidRPr="007B667D">
        <w:rPr>
          <w:rStyle w:val="Prrafoingls"/>
          <w:rFonts w:asciiTheme="minorHAnsi" w:hAnsiTheme="minorHAnsi" w:cstheme="minorHAnsi"/>
          <w:i w:val="0"/>
          <w:iCs w:val="0"/>
          <w:sz w:val="24"/>
          <w:szCs w:val="24"/>
          <w:lang w:val="es-ES"/>
        </w:rPr>
        <w:t>La mezcla de usos y las altas densidades reducen los tiempos de desplazamiento y, en consecuencia, la contaminación y el consumo de combustible.</w:t>
      </w:r>
    </w:p>
    <w:p w14:paraId="7FBB8B72" w14:textId="77777777" w:rsidR="008A069C" w:rsidRPr="00FD1659" w:rsidRDefault="008A069C" w:rsidP="00E6399B">
      <w:pPr>
        <w:pStyle w:val="Prrafodelista"/>
        <w:numPr>
          <w:ilvl w:val="0"/>
          <w:numId w:val="116"/>
        </w:numPr>
        <w:spacing w:after="200" w:line="240" w:lineRule="atLeast"/>
        <w:jc w:val="both"/>
        <w:rPr>
          <w:rStyle w:val="Prrafoingls"/>
          <w:rFonts w:asciiTheme="minorHAnsi" w:hAnsiTheme="minorHAnsi" w:cstheme="minorHAnsi"/>
          <w:i w:val="0"/>
          <w:iCs w:val="0"/>
          <w:sz w:val="24"/>
          <w:szCs w:val="24"/>
          <w:lang w:val="es-ES"/>
        </w:rPr>
      </w:pPr>
      <w:r w:rsidRPr="007B667D">
        <w:rPr>
          <w:rStyle w:val="Prrafoingls"/>
          <w:rFonts w:asciiTheme="minorHAnsi" w:hAnsiTheme="minorHAnsi" w:cstheme="minorHAnsi"/>
          <w:i w:val="0"/>
          <w:iCs w:val="0"/>
          <w:sz w:val="24"/>
          <w:szCs w:val="24"/>
          <w:lang w:val="es-ES"/>
        </w:rPr>
        <w:t xml:space="preserve">El transporte activo a la escuela es mejor para los niños y el medio ambiente dado que las escuelas locales producen menos emisiones que las escuelas ubicadas en la periferia. </w:t>
      </w:r>
    </w:p>
    <w:p w14:paraId="58E19B5C" w14:textId="77777777" w:rsidR="008A069C" w:rsidRPr="008A069C" w:rsidRDefault="008A069C" w:rsidP="00E6399B">
      <w:pPr>
        <w:pStyle w:val="Prrafodelista"/>
        <w:numPr>
          <w:ilvl w:val="0"/>
          <w:numId w:val="116"/>
        </w:numPr>
        <w:spacing w:after="200" w:line="240" w:lineRule="atLeast"/>
        <w:jc w:val="both"/>
        <w:rPr>
          <w:rFonts w:asciiTheme="minorHAnsi" w:hAnsiTheme="minorHAnsi" w:cstheme="minorHAnsi"/>
          <w:sz w:val="24"/>
          <w:szCs w:val="24"/>
          <w:lang w:val="es-ES"/>
        </w:rPr>
      </w:pPr>
      <w:r w:rsidRPr="008A069C">
        <w:rPr>
          <w:rFonts w:asciiTheme="minorHAnsi" w:hAnsiTheme="minorHAnsi" w:cstheme="minorHAnsi"/>
          <w:sz w:val="24"/>
          <w:szCs w:val="24"/>
          <w:lang w:val="es-ES"/>
        </w:rPr>
        <w:t>El transporte motorizado exige grandes superficies de apoyo, principalmente de aparcamiento vinculado a la vía pública, además de los estacionamientos situados en el interior de los edificios. Con la movilidad activa se reduce la demanda de espacio para el tráfico y el almacenamiento de vehículos, hechos que colaboran en la preservación medioambiental, al margen de que pueden facilitar la disposición de lugares para albergar otras funciones.</w:t>
      </w:r>
    </w:p>
    <w:p w14:paraId="6211F781" w14:textId="77777777" w:rsidR="008A069C" w:rsidRPr="007B667D" w:rsidRDefault="008A069C" w:rsidP="007B78CE">
      <w:pPr>
        <w:pStyle w:val="Ttulo3"/>
        <w:numPr>
          <w:ilvl w:val="0"/>
          <w:numId w:val="0"/>
        </w:numPr>
        <w:jc w:val="both"/>
        <w:rPr>
          <w:rFonts w:asciiTheme="minorHAnsi" w:hAnsiTheme="minorHAnsi" w:cstheme="minorHAnsi"/>
          <w:bCs/>
          <w:i/>
          <w:iCs/>
          <w:color w:val="auto"/>
          <w:lang w:val="es-ES"/>
        </w:rPr>
      </w:pPr>
      <w:bookmarkStart w:id="11" w:name="_Toc77860451"/>
      <w:bookmarkStart w:id="12" w:name="_Toc77860563"/>
      <w:r w:rsidRPr="007B667D">
        <w:rPr>
          <w:rFonts w:asciiTheme="minorHAnsi" w:hAnsiTheme="minorHAnsi" w:cstheme="minorHAnsi"/>
          <w:bCs/>
          <w:i/>
          <w:iCs/>
          <w:color w:val="auto"/>
          <w:lang w:val="es-ES"/>
        </w:rPr>
        <w:t>Los ámbitos de intervención de la Ciudad Activa</w:t>
      </w:r>
      <w:bookmarkEnd w:id="11"/>
      <w:bookmarkEnd w:id="12"/>
    </w:p>
    <w:p w14:paraId="07A12245" w14:textId="77777777" w:rsidR="00FD1659" w:rsidRDefault="00FD1659" w:rsidP="007B78CE">
      <w:pPr>
        <w:tabs>
          <w:tab w:val="left" w:pos="2410"/>
          <w:tab w:val="left" w:pos="2694"/>
        </w:tabs>
        <w:jc w:val="both"/>
        <w:rPr>
          <w:rFonts w:cstheme="minorHAnsi"/>
        </w:rPr>
      </w:pPr>
    </w:p>
    <w:p w14:paraId="6650FCF5" w14:textId="63D1EDEA" w:rsidR="008A069C" w:rsidRPr="008A069C" w:rsidRDefault="008A069C" w:rsidP="007B78CE">
      <w:pPr>
        <w:tabs>
          <w:tab w:val="left" w:pos="2410"/>
          <w:tab w:val="left" w:pos="2694"/>
        </w:tabs>
        <w:jc w:val="both"/>
        <w:rPr>
          <w:rFonts w:cstheme="minorHAnsi"/>
        </w:rPr>
      </w:pPr>
      <w:r w:rsidRPr="008A069C">
        <w:rPr>
          <w:rFonts w:cstheme="minorHAnsi"/>
        </w:rPr>
        <w:t xml:space="preserve">Para avanzar en la dirección de la </w:t>
      </w:r>
      <w:r w:rsidRPr="008A069C">
        <w:rPr>
          <w:rFonts w:cstheme="minorHAnsi"/>
          <w:i/>
          <w:iCs/>
        </w:rPr>
        <w:t>Ciudad Activa</w:t>
      </w:r>
      <w:r w:rsidRPr="008A069C">
        <w:rPr>
          <w:rFonts w:cstheme="minorHAnsi"/>
        </w:rPr>
        <w:t xml:space="preserve">, se proponen organizar los diferentes tipos de intervenciones urbanas “activas” a través de una serie de estrategias articuladas en </w:t>
      </w:r>
      <w:r w:rsidRPr="007B667D">
        <w:rPr>
          <w:rFonts w:cstheme="minorHAnsi"/>
        </w:rPr>
        <w:t xml:space="preserve">cinco categorías, </w:t>
      </w:r>
      <w:r w:rsidRPr="00FD1659">
        <w:rPr>
          <w:rFonts w:cstheme="minorHAnsi"/>
        </w:rPr>
        <w:t xml:space="preserve">cada una de las cuales abarca 3 ámbitos distintos de intervención. El resultado son </w:t>
      </w:r>
      <w:r w:rsidRPr="007B667D">
        <w:rPr>
          <w:rFonts w:cstheme="minorHAnsi"/>
        </w:rPr>
        <w:t>quince ámbitos de intervención</w:t>
      </w:r>
      <w:r w:rsidRPr="00FD1659">
        <w:rPr>
          <w:rFonts w:cstheme="minorHAnsi"/>
        </w:rPr>
        <w:t>:</w:t>
      </w:r>
    </w:p>
    <w:p w14:paraId="0248D6D9" w14:textId="77777777" w:rsidR="00FD1659" w:rsidRDefault="00FD1659" w:rsidP="007B78CE">
      <w:pPr>
        <w:pStyle w:val="Ttulo3"/>
        <w:numPr>
          <w:ilvl w:val="0"/>
          <w:numId w:val="0"/>
        </w:numPr>
        <w:ind w:left="720" w:hanging="720"/>
        <w:jc w:val="both"/>
        <w:rPr>
          <w:rFonts w:asciiTheme="minorHAnsi" w:hAnsiTheme="minorHAnsi" w:cstheme="minorHAnsi"/>
        </w:rPr>
      </w:pPr>
    </w:p>
    <w:p w14:paraId="6AC0107E" w14:textId="77777777" w:rsidR="00E84D14" w:rsidRDefault="00E84D14" w:rsidP="00E84D14">
      <w:pPr>
        <w:rPr>
          <w:lang w:val="en-US"/>
        </w:rPr>
      </w:pPr>
    </w:p>
    <w:p w14:paraId="3BF7EA72" w14:textId="77777777" w:rsidR="00E84D14" w:rsidRDefault="00E84D14" w:rsidP="00E84D14">
      <w:pPr>
        <w:rPr>
          <w:lang w:val="en-US"/>
        </w:rPr>
      </w:pPr>
    </w:p>
    <w:p w14:paraId="165844A3" w14:textId="77777777" w:rsidR="00E84D14" w:rsidRPr="00E84D14" w:rsidRDefault="00E84D14" w:rsidP="00E84D14">
      <w:pPr>
        <w:rPr>
          <w:lang w:val="en-US"/>
        </w:rPr>
      </w:pPr>
    </w:p>
    <w:p w14:paraId="4C052ED3" w14:textId="1B5C6096" w:rsidR="008A069C" w:rsidRPr="007B667D" w:rsidRDefault="008A069C"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lastRenderedPageBreak/>
        <w:t xml:space="preserve">Entorno </w:t>
      </w:r>
    </w:p>
    <w:p w14:paraId="7DE23D19"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El modelo formal</w:t>
      </w:r>
    </w:p>
    <w:p w14:paraId="6B4EF039"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 organización funcional</w:t>
      </w:r>
    </w:p>
    <w:p w14:paraId="4E62BC8F"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 xml:space="preserve">La jerarquía estructural. </w:t>
      </w:r>
    </w:p>
    <w:p w14:paraId="3CE88B8C" w14:textId="77777777" w:rsidR="008A069C" w:rsidRPr="007B667D" w:rsidRDefault="008A069C" w:rsidP="007B667D">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Paisaje</w:t>
      </w:r>
    </w:p>
    <w:p w14:paraId="403E4C48"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 xml:space="preserve">La relación con la naturaleza </w:t>
      </w:r>
    </w:p>
    <w:p w14:paraId="31013881"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Las estancias de la ciudad</w:t>
      </w:r>
    </w:p>
    <w:p w14:paraId="16E1783E" w14:textId="3162CDFA"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 programación de actividades</w:t>
      </w:r>
      <w:r w:rsidR="00FD1659" w:rsidRPr="007B667D">
        <w:rPr>
          <w:rFonts w:asciiTheme="minorHAnsi" w:hAnsiTheme="minorHAnsi" w:cstheme="minorHAnsi"/>
          <w:sz w:val="24"/>
          <w:szCs w:val="24"/>
          <w:lang w:val="es-ES"/>
        </w:rPr>
        <w:t>.</w:t>
      </w:r>
    </w:p>
    <w:p w14:paraId="62CEB205" w14:textId="77777777" w:rsidR="008A069C" w:rsidRPr="007B667D" w:rsidRDefault="008A069C" w:rsidP="007B667D">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Espacio Urbano</w:t>
      </w:r>
    </w:p>
    <w:p w14:paraId="2E905F4E"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 relación con la sociedad</w:t>
      </w:r>
    </w:p>
    <w:p w14:paraId="73A505FB"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 conectividad</w:t>
      </w:r>
    </w:p>
    <w:p w14:paraId="1CE35570" w14:textId="66D92518"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El diseño de las calles</w:t>
      </w:r>
      <w:r w:rsidR="00FD1659" w:rsidRPr="007B667D">
        <w:rPr>
          <w:rFonts w:asciiTheme="minorHAnsi" w:hAnsiTheme="minorHAnsi" w:cstheme="minorHAnsi"/>
          <w:sz w:val="24"/>
          <w:szCs w:val="24"/>
          <w:lang w:val="es-ES"/>
        </w:rPr>
        <w:t>.</w:t>
      </w:r>
    </w:p>
    <w:p w14:paraId="585168DA" w14:textId="77777777" w:rsidR="008A069C" w:rsidRPr="007B667D" w:rsidRDefault="008A069C" w:rsidP="007B78CE">
      <w:pPr>
        <w:pStyle w:val="Ttulo3"/>
        <w:numPr>
          <w:ilvl w:val="0"/>
          <w:numId w:val="0"/>
        </w:numPr>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Movilidad</w:t>
      </w:r>
    </w:p>
    <w:p w14:paraId="463051C1"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El transporte público</w:t>
      </w:r>
    </w:p>
    <w:p w14:paraId="46BD3BCB"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El tráfico privado</w:t>
      </w:r>
    </w:p>
    <w:p w14:paraId="64ABBD0D" w14:textId="73A3C5DB"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 movilidad alternativa</w:t>
      </w:r>
      <w:r w:rsidR="00FD1659">
        <w:rPr>
          <w:rFonts w:asciiTheme="minorHAnsi" w:hAnsiTheme="minorHAnsi" w:cstheme="minorHAnsi"/>
          <w:sz w:val="24"/>
          <w:szCs w:val="24"/>
          <w:lang w:val="es-ES"/>
        </w:rPr>
        <w:t>.</w:t>
      </w:r>
    </w:p>
    <w:p w14:paraId="2B80818D" w14:textId="77777777" w:rsidR="008A069C" w:rsidRPr="007B667D" w:rsidRDefault="008A069C" w:rsidP="007B78CE">
      <w:pPr>
        <w:pStyle w:val="Ttulo3"/>
        <w:numPr>
          <w:ilvl w:val="0"/>
          <w:numId w:val="0"/>
        </w:numPr>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Arquitectura</w:t>
      </w:r>
    </w:p>
    <w:p w14:paraId="7BF6D24A"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Las dotaciones deportivas</w:t>
      </w:r>
    </w:p>
    <w:p w14:paraId="46EE5971" w14:textId="77777777"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Los equipamientos escolares</w:t>
      </w:r>
    </w:p>
    <w:p w14:paraId="40EA27EE" w14:textId="72564EFD" w:rsidR="008A069C" w:rsidRPr="007B667D"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7B667D">
        <w:rPr>
          <w:rFonts w:asciiTheme="minorHAnsi" w:hAnsiTheme="minorHAnsi" w:cstheme="minorHAnsi"/>
          <w:sz w:val="24"/>
          <w:szCs w:val="24"/>
          <w:lang w:val="es-ES"/>
        </w:rPr>
        <w:t>Los espacios de trabajo</w:t>
      </w:r>
      <w:r w:rsidR="00FD1659">
        <w:rPr>
          <w:rFonts w:asciiTheme="minorHAnsi" w:hAnsiTheme="minorHAnsi" w:cstheme="minorHAnsi"/>
          <w:sz w:val="24"/>
          <w:szCs w:val="24"/>
          <w:lang w:val="es-ES"/>
        </w:rPr>
        <w:t>.</w:t>
      </w:r>
    </w:p>
    <w:p w14:paraId="720AB42B" w14:textId="77777777" w:rsidR="008A069C" w:rsidRPr="00FD1659" w:rsidRDefault="008A069C" w:rsidP="007B78CE">
      <w:pPr>
        <w:tabs>
          <w:tab w:val="left" w:pos="2410"/>
          <w:tab w:val="left" w:pos="2694"/>
        </w:tabs>
        <w:jc w:val="both"/>
        <w:rPr>
          <w:rFonts w:cstheme="minorHAnsi"/>
        </w:rPr>
      </w:pPr>
      <w:r w:rsidRPr="00FD1659">
        <w:rPr>
          <w:rFonts w:cstheme="minorHAnsi"/>
        </w:rPr>
        <w:t xml:space="preserve">Cada uno de estos ámbitos de intervención se transforma en </w:t>
      </w:r>
      <w:r w:rsidRPr="00FD1659">
        <w:rPr>
          <w:rFonts w:cstheme="minorHAnsi"/>
          <w:i/>
          <w:iCs/>
        </w:rPr>
        <w:t>activo</w:t>
      </w:r>
      <w:r w:rsidRPr="00FD1659">
        <w:rPr>
          <w:rFonts w:cstheme="minorHAnsi"/>
        </w:rPr>
        <w:t xml:space="preserve"> mediante diferentes </w:t>
      </w:r>
      <w:r w:rsidRPr="007B667D">
        <w:rPr>
          <w:rFonts w:cstheme="minorHAnsi"/>
        </w:rPr>
        <w:t>estrategias de actuación</w:t>
      </w:r>
      <w:r w:rsidRPr="00FD1659">
        <w:rPr>
          <w:rFonts w:cstheme="minorHAnsi"/>
        </w:rPr>
        <w:t xml:space="preserve"> que son consecuencia de la aplicación de los requisitos del modelo de </w:t>
      </w:r>
      <w:r w:rsidRPr="00FD1659">
        <w:rPr>
          <w:rFonts w:cstheme="minorHAnsi"/>
          <w:i/>
          <w:iCs/>
        </w:rPr>
        <w:t>Ciudad Activa</w:t>
      </w:r>
      <w:r w:rsidRPr="00FD1659">
        <w:rPr>
          <w:rFonts w:cstheme="minorHAnsi"/>
        </w:rPr>
        <w:t xml:space="preserve">. </w:t>
      </w:r>
    </w:p>
    <w:p w14:paraId="7C73F95F" w14:textId="77777777" w:rsidR="008A069C" w:rsidRPr="00FD1659" w:rsidRDefault="008A069C" w:rsidP="007B78CE">
      <w:pPr>
        <w:tabs>
          <w:tab w:val="left" w:pos="2410"/>
          <w:tab w:val="left" w:pos="2694"/>
        </w:tabs>
        <w:jc w:val="both"/>
        <w:rPr>
          <w:rFonts w:cstheme="minorHAnsi"/>
        </w:rPr>
      </w:pPr>
    </w:p>
    <w:p w14:paraId="1FAEC63E" w14:textId="77777777" w:rsidR="008A069C" w:rsidRPr="007B667D" w:rsidRDefault="008A069C"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Entorno Activo</w:t>
      </w:r>
    </w:p>
    <w:p w14:paraId="0EF7EC4D"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 xml:space="preserve">Intensificación del modelo formal con densidad y compacidad graduales. </w:t>
      </w:r>
    </w:p>
    <w:p w14:paraId="58310D27"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Diversificación de la organización funcional, con una intensa mezcla de usos muy variados.</w:t>
      </w:r>
    </w:p>
    <w:p w14:paraId="6CD2806F"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 xml:space="preserve">Distribución de la jerarquía estructural, permitiendo que todo lo necesario quede “a mano”. </w:t>
      </w:r>
    </w:p>
    <w:p w14:paraId="62961869" w14:textId="77777777" w:rsidR="008A069C" w:rsidRPr="007B667D" w:rsidRDefault="008A069C"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Paisaje Activo</w:t>
      </w:r>
    </w:p>
    <w:p w14:paraId="3333582D"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Sistematizar la relación con la naturaleza, integrando en red la naturaleza y lo urbano.</w:t>
      </w:r>
    </w:p>
    <w:p w14:paraId="53CA7CA1" w14:textId="32389D24"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Aproximación de las estancias de la ciudad porque los espacios públicos “salen” al encuentro del ciudadano.</w:t>
      </w:r>
    </w:p>
    <w:p w14:paraId="1A1C14DE" w14:textId="40F1326A"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 xml:space="preserve">Experimentación gracias a su programación para la realización de actividades múltiples. </w:t>
      </w:r>
    </w:p>
    <w:p w14:paraId="42593D19" w14:textId="77777777" w:rsidR="008A069C" w:rsidRPr="007B667D" w:rsidRDefault="008A069C"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Espacio Urbano Activo</w:t>
      </w:r>
    </w:p>
    <w:p w14:paraId="7489C79D" w14:textId="0027D92A"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Universalización de la relación con la sociedad, debido a su carácter integrador e inclusivo para todas las edades y circunstancias.</w:t>
      </w:r>
    </w:p>
    <w:p w14:paraId="64BBC293" w14:textId="13C2CCC5"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lastRenderedPageBreak/>
        <w:t xml:space="preserve">Conectividad mejorada en el diseño de las calles con la creación de enlaces físicos con el entorno. </w:t>
      </w:r>
    </w:p>
    <w:p w14:paraId="12247B04"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 xml:space="preserve">Estimulación, porque son barrios pensados para pasear y disfrutar de los espacios. </w:t>
      </w:r>
    </w:p>
    <w:p w14:paraId="1C8FF45D" w14:textId="77777777" w:rsidR="008A069C" w:rsidRPr="007B667D" w:rsidRDefault="008A069C"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Movilidad Activa</w:t>
      </w:r>
    </w:p>
    <w:p w14:paraId="599E5832"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Priorización del transporte público con estaciones atractivas y eficientes.</w:t>
      </w:r>
    </w:p>
    <w:p w14:paraId="2AAA49C9"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 xml:space="preserve">Modulación del tráfico rodado, haciendo que el coche sea casi innecesario. </w:t>
      </w:r>
    </w:p>
    <w:p w14:paraId="61DD72C4" w14:textId="33365100"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Tonificación de los residentes, gracias a que las dinámicas de movilidad propuestas, con las formas de la “movilidad alternativa” ayudan a su forma física.</w:t>
      </w:r>
    </w:p>
    <w:p w14:paraId="0788C5BD" w14:textId="77777777" w:rsidR="008A069C" w:rsidRPr="007B667D" w:rsidRDefault="008A069C" w:rsidP="008A069C">
      <w:pPr>
        <w:pStyle w:val="Ttulo3"/>
        <w:numPr>
          <w:ilvl w:val="0"/>
          <w:numId w:val="0"/>
        </w:numPr>
        <w:ind w:left="720" w:hanging="720"/>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Arquitectura Activa</w:t>
      </w:r>
    </w:p>
    <w:p w14:paraId="251692CB"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Hibridación de las dotaciones deportivas, buscando, por ejemplo, la fusión de los espacios deportivos con la vida diaria y su integración con la ciudad construida.</w:t>
      </w:r>
    </w:p>
    <w:p w14:paraId="6E0A32E3"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Aplicación e interacción ciudadana fortaleciendo los equipamientos escolares como nuevos focos urbanos.</w:t>
      </w:r>
    </w:p>
    <w:p w14:paraId="184F10B3" w14:textId="77777777" w:rsidR="008A069C" w:rsidRPr="00FD1659" w:rsidRDefault="008A069C" w:rsidP="00E6399B">
      <w:pPr>
        <w:pStyle w:val="Prrafodelista"/>
        <w:numPr>
          <w:ilvl w:val="0"/>
          <w:numId w:val="112"/>
        </w:numPr>
        <w:spacing w:after="200" w:line="240" w:lineRule="atLeast"/>
        <w:jc w:val="both"/>
        <w:rPr>
          <w:rFonts w:asciiTheme="minorHAnsi" w:hAnsiTheme="minorHAnsi" w:cstheme="minorHAnsi"/>
          <w:sz w:val="24"/>
          <w:szCs w:val="24"/>
          <w:lang w:val="es-ES"/>
        </w:rPr>
      </w:pPr>
      <w:r w:rsidRPr="00FD1659">
        <w:rPr>
          <w:rFonts w:asciiTheme="minorHAnsi" w:hAnsiTheme="minorHAnsi" w:cstheme="minorHAnsi"/>
          <w:sz w:val="24"/>
          <w:szCs w:val="24"/>
          <w:lang w:val="es-ES"/>
        </w:rPr>
        <w:t>Conciliación en los espacios de trabajo, ayudando a compatibilizar lo laboral con el ejercicio físico.</w:t>
      </w:r>
    </w:p>
    <w:p w14:paraId="2BF3ACBF" w14:textId="13859BBD" w:rsidR="00555AEB" w:rsidRPr="007B667D" w:rsidRDefault="008A069C" w:rsidP="007B78CE">
      <w:pPr>
        <w:pStyle w:val="Ttulo2"/>
        <w:numPr>
          <w:ilvl w:val="0"/>
          <w:numId w:val="0"/>
        </w:numPr>
        <w:jc w:val="both"/>
        <w:rPr>
          <w:sz w:val="24"/>
          <w:szCs w:val="24"/>
          <w:lang w:val="es-ES"/>
        </w:rPr>
      </w:pPr>
      <w:r w:rsidRPr="007B667D">
        <w:rPr>
          <w:sz w:val="24"/>
          <w:szCs w:val="24"/>
          <w:lang w:val="es-ES"/>
        </w:rPr>
        <w:t>R</w:t>
      </w:r>
      <w:r w:rsidR="00555AEB" w:rsidRPr="007B667D">
        <w:rPr>
          <w:sz w:val="24"/>
          <w:szCs w:val="24"/>
          <w:lang w:val="es-ES"/>
        </w:rPr>
        <w:t>evisión de la literatura existente sobre posibles actuaciones y estrategias que hayan generado o pudieran generar un impacto sostenible</w:t>
      </w:r>
    </w:p>
    <w:p w14:paraId="3E36DB87" w14:textId="77777777" w:rsidR="00555AEB" w:rsidRPr="007B667D" w:rsidRDefault="00555AEB" w:rsidP="007B78CE">
      <w:pPr>
        <w:jc w:val="both"/>
        <w:rPr>
          <w:rFonts w:cstheme="minorHAnsi"/>
          <w:sz w:val="22"/>
          <w:szCs w:val="22"/>
        </w:rPr>
      </w:pPr>
    </w:p>
    <w:p w14:paraId="5990901A" w14:textId="77777777" w:rsidR="00555AEB" w:rsidRPr="00927592" w:rsidRDefault="00555AEB" w:rsidP="007B78CE">
      <w:pPr>
        <w:jc w:val="both"/>
        <w:rPr>
          <w:rFonts w:cstheme="minorHAnsi"/>
        </w:rPr>
      </w:pPr>
      <w:r w:rsidRPr="0051709F">
        <w:rPr>
          <w:rFonts w:cstheme="minorHAnsi"/>
        </w:rPr>
        <w:t>Cada vez son más las ciudades que se comprometen con el concepto de Ciudad Activa. Son numerosas las urbes de todo el mundo que están revisándose a sí mismas para promover una cultura sostenible, activa y saludable en los lugares donde se desarrolla su vida diaria. Algunas han alcanzado logros muy considerables y ocupan posiciones de vanguardia en la aplicación del modelo</w:t>
      </w:r>
      <w:r w:rsidRPr="00927592">
        <w:rPr>
          <w:rFonts w:cstheme="minorHAnsi"/>
        </w:rPr>
        <w:t xml:space="preserve">. Son ciudades que sobresalen por encima de las demás por la ambición de sus programas y el grado de cumplimiento de estos. A continuación, y para cada uno de los ámbitos de intervención anteriormente citados se desarrollará su correspondiente </w:t>
      </w:r>
      <w:r w:rsidRPr="007B667D">
        <w:rPr>
          <w:rFonts w:cstheme="minorHAnsi"/>
        </w:rPr>
        <w:t>estrategia de actuación</w:t>
      </w:r>
      <w:r w:rsidRPr="00927592">
        <w:rPr>
          <w:rFonts w:cstheme="minorHAnsi"/>
        </w:rPr>
        <w:t xml:space="preserve"> ejemplificada mediante un </w:t>
      </w:r>
      <w:r w:rsidRPr="007B667D">
        <w:rPr>
          <w:rFonts w:cstheme="minorHAnsi"/>
        </w:rPr>
        <w:t>caso de estudio</w:t>
      </w:r>
      <w:r w:rsidRPr="00927592">
        <w:rPr>
          <w:rFonts w:cstheme="minorHAnsi"/>
        </w:rPr>
        <w:t xml:space="preserve"> que muestra una experiencia concreta desarrollada en distintas ciudades. </w:t>
      </w:r>
    </w:p>
    <w:p w14:paraId="19F508EB" w14:textId="77777777" w:rsidR="00555AEB" w:rsidRPr="0051709F" w:rsidRDefault="00555AEB" w:rsidP="007B78CE">
      <w:pPr>
        <w:jc w:val="both"/>
        <w:rPr>
          <w:rFonts w:cstheme="minorHAnsi"/>
        </w:rPr>
      </w:pPr>
    </w:p>
    <w:p w14:paraId="6863E02F" w14:textId="77777777" w:rsidR="00555AEB" w:rsidRPr="007B667D" w:rsidRDefault="00555AEB" w:rsidP="007B78CE">
      <w:pPr>
        <w:pStyle w:val="Ttulo3"/>
        <w:numPr>
          <w:ilvl w:val="0"/>
          <w:numId w:val="0"/>
        </w:numPr>
        <w:ind w:left="720" w:hanging="720"/>
        <w:jc w:val="both"/>
        <w:rPr>
          <w:bCs/>
          <w:i/>
          <w:iCs/>
          <w:color w:val="auto"/>
          <w:lang w:val="es-ES"/>
        </w:rPr>
      </w:pPr>
      <w:r w:rsidRPr="007B667D">
        <w:rPr>
          <w:bCs/>
          <w:i/>
          <w:iCs/>
          <w:color w:val="auto"/>
          <w:lang w:val="es-ES"/>
        </w:rPr>
        <w:t>Quince estrategias para la Ciudad Activa</w:t>
      </w:r>
    </w:p>
    <w:p w14:paraId="5A9C497C" w14:textId="77777777" w:rsidR="00555AEB" w:rsidRPr="0051709F" w:rsidRDefault="00555AEB" w:rsidP="007B78CE">
      <w:pPr>
        <w:jc w:val="both"/>
        <w:rPr>
          <w:rFonts w:cstheme="minorHAnsi"/>
        </w:rPr>
      </w:pPr>
    </w:p>
    <w:p w14:paraId="38BBEECB" w14:textId="77777777" w:rsidR="00555AEB" w:rsidRPr="007B667D" w:rsidRDefault="00555AEB"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Intensificar (la Ciudad Activa es suficientemente densa y compacta) </w:t>
      </w:r>
    </w:p>
    <w:p w14:paraId="1CC4A5EF" w14:textId="77777777" w:rsidR="00555AEB" w:rsidRPr="0051709F" w:rsidRDefault="00555AEB" w:rsidP="007B78CE">
      <w:pPr>
        <w:jc w:val="both"/>
        <w:rPr>
          <w:rFonts w:cstheme="minorHAnsi"/>
        </w:rPr>
      </w:pPr>
    </w:p>
    <w:p w14:paraId="3F1E808A" w14:textId="77777777" w:rsidR="00555AEB" w:rsidRPr="0051709F" w:rsidRDefault="00555AEB" w:rsidP="007B78CE">
      <w:pPr>
        <w:jc w:val="both"/>
        <w:rPr>
          <w:rFonts w:cstheme="minorHAnsi"/>
          <w:i/>
          <w:iCs/>
        </w:rPr>
      </w:pPr>
      <w:r w:rsidRPr="0051709F">
        <w:rPr>
          <w:rFonts w:cstheme="minorHAnsi"/>
          <w:i/>
          <w:iCs/>
        </w:rPr>
        <w:t xml:space="preserve">La Ciudad Activa reclama la presencia de ciudadanos en el espacio público y para garantizarla es importante apostar por la densidad de personas (aumentando el número de viviendas en lo posible) y cierta compacidad espacial. </w:t>
      </w:r>
    </w:p>
    <w:p w14:paraId="10360940" w14:textId="77777777" w:rsidR="00555AEB" w:rsidRPr="0051709F" w:rsidRDefault="00555AEB" w:rsidP="007B78CE">
      <w:pPr>
        <w:jc w:val="both"/>
        <w:rPr>
          <w:rFonts w:cstheme="minorHAnsi"/>
          <w:i/>
          <w:iCs/>
        </w:rPr>
      </w:pPr>
    </w:p>
    <w:p w14:paraId="040D8AEF" w14:textId="45CE2E05" w:rsidR="00555AEB" w:rsidRPr="0051709F" w:rsidRDefault="00555AEB" w:rsidP="007B78CE">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apuesta por modelos </w:t>
      </w:r>
      <w:proofErr w:type="gramStart"/>
      <w:r w:rsidRPr="0051709F">
        <w:rPr>
          <w:rFonts w:cstheme="minorHAnsi"/>
        </w:rPr>
        <w:t>más compactos y más densos</w:t>
      </w:r>
      <w:proofErr w:type="gramEnd"/>
      <w:r w:rsidRPr="0051709F">
        <w:rPr>
          <w:rFonts w:cstheme="minorHAnsi"/>
        </w:rPr>
        <w:t xml:space="preserve">, aunque, evidentemente sin caer en los errores y especulaciones de tiempos pretéritos, tratando de intensificar puntualmente en la medida de lo posible. La compacidad y la densidad urbanas medias y altas favorecen los desplazamientos a pie y en bicicleta al acercar los destinos entre sí y viabilizan la existencia de una amplia gama de servicios y destinos de cercanía. Los efectos deseables de los dos parámetros se pueden conseguir con el aumento del número de plantas permitidas o elevando el número máximo de unidades residenciales para todo un sector o para ciertas zonas concretas. En este sentido, cabe </w:t>
      </w:r>
      <w:r w:rsidRPr="0051709F">
        <w:rPr>
          <w:rFonts w:cstheme="minorHAnsi"/>
        </w:rPr>
        <w:lastRenderedPageBreak/>
        <w:t>apuntar cómo, para conseguir entornos activos, hay ciudades que han apostado por el aumento de la densidad alrededor de los nodos de transporte colectivo, lo que se conoce con el nombre de TOD (</w:t>
      </w:r>
      <w:proofErr w:type="spellStart"/>
      <w:r w:rsidRPr="0051709F">
        <w:rPr>
          <w:rFonts w:cstheme="minorHAnsi"/>
          <w:i/>
          <w:iCs/>
        </w:rPr>
        <w:t>Transit</w:t>
      </w:r>
      <w:proofErr w:type="spellEnd"/>
      <w:r w:rsidRPr="0051709F">
        <w:rPr>
          <w:rFonts w:cstheme="minorHAnsi"/>
          <w:i/>
          <w:iCs/>
        </w:rPr>
        <w:t xml:space="preserve"> </w:t>
      </w:r>
      <w:proofErr w:type="spellStart"/>
      <w:r w:rsidRPr="0051709F">
        <w:rPr>
          <w:rFonts w:cstheme="minorHAnsi"/>
          <w:i/>
          <w:iCs/>
        </w:rPr>
        <w:t>Oriented</w:t>
      </w:r>
      <w:proofErr w:type="spellEnd"/>
      <w:r w:rsidRPr="0051709F">
        <w:rPr>
          <w:rFonts w:cstheme="minorHAnsi"/>
          <w:i/>
          <w:iCs/>
        </w:rPr>
        <w:t xml:space="preserve"> </w:t>
      </w:r>
      <w:proofErr w:type="spellStart"/>
      <w:r w:rsidRPr="0051709F">
        <w:rPr>
          <w:rFonts w:cstheme="minorHAnsi"/>
          <w:i/>
          <w:iCs/>
        </w:rPr>
        <w:t>Development</w:t>
      </w:r>
      <w:proofErr w:type="spellEnd"/>
      <w:r w:rsidRPr="0051709F">
        <w:rPr>
          <w:rFonts w:cstheme="minorHAnsi"/>
        </w:rPr>
        <w:t xml:space="preserve">). </w:t>
      </w:r>
    </w:p>
    <w:p w14:paraId="1697AC86" w14:textId="77777777" w:rsidR="00555AEB" w:rsidRPr="0051709F" w:rsidRDefault="00555AEB" w:rsidP="007B78CE">
      <w:pPr>
        <w:jc w:val="both"/>
        <w:rPr>
          <w:rFonts w:cstheme="minorHAnsi"/>
        </w:rPr>
      </w:pPr>
    </w:p>
    <w:p w14:paraId="53C23EE9" w14:textId="77777777" w:rsidR="00555AEB" w:rsidRPr="0051709F" w:rsidRDefault="00555AEB" w:rsidP="007B78CE">
      <w:pPr>
        <w:jc w:val="both"/>
        <w:rPr>
          <w:rFonts w:cstheme="minorHAnsi"/>
        </w:rPr>
      </w:pPr>
      <w:r w:rsidRPr="0051709F">
        <w:rPr>
          <w:rFonts w:cstheme="minorHAnsi"/>
        </w:rPr>
        <w:t xml:space="preserve">La estrategia TOD está siendo desarrollada en diversas ciudades, entre las que cabe destacar a Hong-Kong, Chicago, México o Vancouver. La ciudad canadiense está potenciando ciertas zonas siguiendo las líneas ferroviarias urbanas (de metro y cercanías) y proponiendo la creación de </w:t>
      </w:r>
      <w:proofErr w:type="spellStart"/>
      <w:r w:rsidRPr="0051709F">
        <w:rPr>
          <w:rFonts w:cstheme="minorHAnsi"/>
        </w:rPr>
        <w:t>TODs</w:t>
      </w:r>
      <w:proofErr w:type="spellEnd"/>
      <w:r w:rsidRPr="0051709F">
        <w:rPr>
          <w:rFonts w:cstheme="minorHAnsi"/>
        </w:rPr>
        <w:t>, reforzando los entornos alrededor de los puntos de acceso al transporte público con incrementos de edificabilidad y la presencia de actividades variadas tanto residenciales como económicas y dotacionales.</w:t>
      </w:r>
    </w:p>
    <w:p w14:paraId="5DF44D41" w14:textId="77777777" w:rsidR="00555AEB" w:rsidRPr="0051709F" w:rsidRDefault="00555AEB" w:rsidP="007B78CE">
      <w:pPr>
        <w:jc w:val="both"/>
        <w:rPr>
          <w:rFonts w:cstheme="minorHAnsi"/>
        </w:rPr>
      </w:pPr>
    </w:p>
    <w:p w14:paraId="0044A3F0" w14:textId="77777777" w:rsidR="00555AEB" w:rsidRPr="007B667D" w:rsidRDefault="00555AEB"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Diversificar (la Ciudad Activa es diversa y plural) </w:t>
      </w:r>
    </w:p>
    <w:p w14:paraId="6451E230" w14:textId="77777777" w:rsidR="00555AEB" w:rsidRPr="0051709F" w:rsidRDefault="00555AEB" w:rsidP="007B78CE">
      <w:pPr>
        <w:jc w:val="both"/>
        <w:rPr>
          <w:rFonts w:cstheme="minorHAnsi"/>
        </w:rPr>
      </w:pPr>
    </w:p>
    <w:p w14:paraId="345F2787" w14:textId="77777777" w:rsidR="00555AEB" w:rsidRPr="0051709F" w:rsidRDefault="00555AEB" w:rsidP="007B78CE">
      <w:pPr>
        <w:jc w:val="both"/>
        <w:rPr>
          <w:rFonts w:cstheme="minorHAnsi"/>
          <w:i/>
          <w:iCs/>
        </w:rPr>
      </w:pPr>
      <w:r w:rsidRPr="0051709F">
        <w:rPr>
          <w:rFonts w:cstheme="minorHAnsi"/>
          <w:i/>
          <w:iCs/>
        </w:rPr>
        <w:t>La Ciudad Activa requiere diversidad. Para ello es básica la mezcla de usos de manera que la multiplicación de actividades en un mismo lugar redunde en la vitalidad del espacio, la interacción social y la reducción de desplazamientos. La Ciudad Activa reniega de los sitios homogéneos y por eso, también solicita pluralidad social que se ve favorecida por la complejidad funcional.</w:t>
      </w:r>
    </w:p>
    <w:p w14:paraId="417C30F9" w14:textId="77777777" w:rsidR="00555AEB" w:rsidRPr="0051709F" w:rsidRDefault="00555AEB" w:rsidP="007B78CE">
      <w:pPr>
        <w:jc w:val="both"/>
        <w:rPr>
          <w:rFonts w:cstheme="minorHAnsi"/>
          <w:i/>
          <w:iCs/>
        </w:rPr>
      </w:pPr>
    </w:p>
    <w:p w14:paraId="546F8C82" w14:textId="77777777" w:rsidR="00555AEB" w:rsidRPr="0051709F" w:rsidRDefault="00555AEB" w:rsidP="007B78CE">
      <w:pPr>
        <w:jc w:val="both"/>
        <w:rPr>
          <w:rFonts w:cstheme="minorHAnsi"/>
          <w:iCs/>
        </w:rPr>
      </w:pPr>
      <w:r w:rsidRPr="0051709F">
        <w:rPr>
          <w:rFonts w:cstheme="minorHAnsi"/>
        </w:rPr>
        <w:t xml:space="preserve">Si los tejidos urbanos acogen mayor variedad de opciones, permiten a sus habitantes resolver cómodamente muchas de sus necesidades sin tener que utilizar el vehículo privado, lo que, además, ofrece otros muchos beneficios ambientales.  La mixtura también tiene repercusiones positivas sobre la salud y el bienestar de los habitantes, dada su relación directa con el aumento de la actividad física </w:t>
      </w:r>
      <w:r w:rsidRPr="0051709F">
        <w:rPr>
          <w:rFonts w:cstheme="minorHAnsi"/>
        </w:rPr>
        <w:fldChar w:fldCharType="begin"/>
      </w:r>
      <w:r w:rsidRPr="0051709F">
        <w:rPr>
          <w:rFonts w:cstheme="minorHAnsi"/>
        </w:rPr>
        <w:instrText xml:space="preserve"> ADDIN ZOTERO_ITEM CSL_CITATION {"citationID":"HliTq8oG","properties":{"formattedCitation":"(Urban Land Institute et al., 2015)","plainCitation":"(Urban Land Institute et al., 2015)","noteIndex":0},"citationItems":[{"id":107,"uris":["http://zotero.org/users/10547302/items/DI8GKEVF"],"itemData":{"id":107,"type":"book","call-number":"RA566.7 .U746 2015","event-place":"Washington, D.C","ISBN":"978-0-87420-357-8","language":"en","note":"OCLC: ocn913560681","number-of-pages":"86","publisher":"Urban Land Institute","publisher-place":"Washington, D.C","source":"Library of Congress ISBN","title":"Building healthy places toolkit: strategies for enhancing health in the built environment","title-short":"Building healthy places toolkit","editor":[{"family":"Urban Land Institute","given":""},{"family":"Frank","given":"Joanna"},{"family":"MacCleery","given":"Rachel"},{"family":"Nienaber","given":"Suzanne"},{"family":"Hammerschmidt","given":"Sara"},{"family":"Claflin","given":"Abigail"},{"family":"Building Healthy Places Initiative","given":""}],"issued":{"date-parts":[["2015"]]}}}],"schema":"https://github.com/citation-style-language/schema/raw/master/csl-citation.json"} </w:instrText>
      </w:r>
      <w:r w:rsidRPr="0051709F">
        <w:rPr>
          <w:rFonts w:cstheme="minorHAnsi"/>
        </w:rPr>
        <w:fldChar w:fldCharType="separate"/>
      </w:r>
      <w:r w:rsidRPr="0051709F">
        <w:rPr>
          <w:rFonts w:cstheme="minorHAnsi"/>
        </w:rPr>
        <w:t>(Urban Land Institute et al., 2015)</w:t>
      </w:r>
      <w:r w:rsidRPr="0051709F">
        <w:rPr>
          <w:rFonts w:cstheme="minorHAnsi"/>
        </w:rPr>
        <w:fldChar w:fldCharType="end"/>
      </w:r>
      <w:r w:rsidRPr="0051709F">
        <w:rPr>
          <w:rFonts w:cstheme="minorHAnsi"/>
        </w:rPr>
        <w:t xml:space="preserve">. De hecho, la evidencia científica apunta a que una mayor proporción de usos como escuelas, supermercados de barrio, quioscos de periódicos y otros servicios similares hace que sea más probable que los residentes caminen. </w:t>
      </w:r>
      <w:r w:rsidRPr="0051709F">
        <w:rPr>
          <w:rFonts w:cstheme="minorHAnsi"/>
          <w:iCs/>
        </w:rPr>
        <w:t xml:space="preserve">Por tanto, la combinación funcional en la que se integran residencias, oficinas, escuelas, comercio minorista, espacios culturales y comunitarios o instalaciones recreativas es una estrategia fundamental para la </w:t>
      </w:r>
      <w:r w:rsidRPr="0051709F">
        <w:rPr>
          <w:rFonts w:cstheme="minorHAnsi"/>
          <w:i/>
        </w:rPr>
        <w:t>Ciudad Activa</w:t>
      </w:r>
      <w:r w:rsidRPr="0051709F">
        <w:rPr>
          <w:rFonts w:cstheme="minorHAnsi"/>
          <w:iCs/>
        </w:rPr>
        <w:t>.</w:t>
      </w:r>
    </w:p>
    <w:p w14:paraId="566E3F13" w14:textId="77777777" w:rsidR="00555AEB" w:rsidRPr="0051709F" w:rsidRDefault="00555AEB" w:rsidP="007B78CE">
      <w:pPr>
        <w:jc w:val="both"/>
        <w:rPr>
          <w:rFonts w:cstheme="minorHAnsi"/>
        </w:rPr>
      </w:pPr>
    </w:p>
    <w:p w14:paraId="5E76B2AA" w14:textId="77777777" w:rsidR="00555AEB" w:rsidRPr="0051709F" w:rsidRDefault="00555AEB" w:rsidP="007B78CE">
      <w:pPr>
        <w:jc w:val="both"/>
        <w:rPr>
          <w:rFonts w:cstheme="minorHAnsi"/>
        </w:rPr>
      </w:pPr>
      <w:r w:rsidRPr="0051709F">
        <w:rPr>
          <w:rFonts w:cstheme="minorHAnsi"/>
        </w:rPr>
        <w:t xml:space="preserve">Londres es un caso de éxito en este tipo de propuestas, con ejemplos tan destacables como </w:t>
      </w:r>
      <w:proofErr w:type="spellStart"/>
      <w:r w:rsidRPr="0051709F">
        <w:rPr>
          <w:rFonts w:cstheme="minorHAnsi"/>
          <w:i/>
          <w:iCs/>
        </w:rPr>
        <w:t>King's</w:t>
      </w:r>
      <w:proofErr w:type="spellEnd"/>
      <w:r w:rsidRPr="0051709F">
        <w:rPr>
          <w:rFonts w:cstheme="minorHAnsi"/>
          <w:i/>
          <w:iCs/>
        </w:rPr>
        <w:t xml:space="preserve"> Cross </w:t>
      </w:r>
      <w:r w:rsidRPr="0051709F">
        <w:rPr>
          <w:rFonts w:cstheme="minorHAnsi"/>
          <w:i/>
          <w:iCs/>
        </w:rPr>
        <w:fldChar w:fldCharType="begin"/>
      </w:r>
      <w:r w:rsidRPr="0051709F">
        <w:rPr>
          <w:rFonts w:cstheme="minorHAnsi"/>
          <w:i/>
          <w:iCs/>
        </w:rPr>
        <w:instrText xml:space="preserve"> ADDIN ZOTERO_ITEM CSL_CITATION {"citationID":"R4WDGSl3","properties":{"formattedCitation":"(KING\\uc0\\u8217{}S CROSS CENTRAL LIMITED PARTNERSHIP, 2022)","plainCitation":"(KING’S CROSS CENTRAL LIMITED PARTNERSHIP, 2022)","noteIndex":0},"citationItems":[{"id":563,"uris":["http://zotero.org/users/10547302/items/E7WUYJJD"],"itemData":{"id":563,"type":"report","event-place":"London","language":"En","publisher-place":"London","title":"X King´s Cross Overview","author":[{"family":"KING’S CROSS CENTRAL LIMITED PARTNERSHIP","given":""}],"issued":{"date-parts":[["2022"]]}}}],"schema":"https://github.com/citation-style-language/schema/raw/master/csl-citation.json"} </w:instrText>
      </w:r>
      <w:r w:rsidRPr="0051709F">
        <w:rPr>
          <w:rFonts w:cstheme="minorHAnsi"/>
          <w:i/>
          <w:iCs/>
        </w:rPr>
        <w:fldChar w:fldCharType="separate"/>
      </w:r>
      <w:r w:rsidRPr="0051709F">
        <w:rPr>
          <w:rFonts w:cstheme="minorHAnsi"/>
        </w:rPr>
        <w:t>(KING’S CROSS CENTRAL LIMITED PARTNERSHIP, 2022)</w:t>
      </w:r>
      <w:r w:rsidRPr="0051709F">
        <w:rPr>
          <w:rFonts w:cstheme="minorHAnsi"/>
          <w:i/>
          <w:iCs/>
        </w:rPr>
        <w:fldChar w:fldCharType="end"/>
      </w:r>
      <w:r w:rsidRPr="0051709F">
        <w:rPr>
          <w:rFonts w:cstheme="minorHAnsi"/>
        </w:rPr>
        <w:t>. Esta zona, que adolecía de cierta decadencia, ha experimentado un impulso extraordinario basado en una mezcla funcional que reúne usos culturales, educativos, económicos, de transporte, etc. en un mismo lugar, siendo la demostración palpable del éxito de la variedad.</w:t>
      </w:r>
    </w:p>
    <w:p w14:paraId="0AB0F9C7" w14:textId="77777777" w:rsidR="00555AEB" w:rsidRPr="0051709F" w:rsidRDefault="00555AEB" w:rsidP="007B78CE">
      <w:pPr>
        <w:jc w:val="both"/>
        <w:rPr>
          <w:rFonts w:cstheme="minorHAnsi"/>
        </w:rPr>
      </w:pPr>
    </w:p>
    <w:p w14:paraId="426B0EDA" w14:textId="77777777" w:rsidR="00555AEB" w:rsidRPr="007B667D" w:rsidRDefault="00555AEB" w:rsidP="007B78CE">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Distribuir (la Ciudad Activa está equitativamente repartida) </w:t>
      </w:r>
    </w:p>
    <w:p w14:paraId="20258695" w14:textId="77777777" w:rsidR="00555AEB" w:rsidRPr="0051709F" w:rsidRDefault="00555AEB" w:rsidP="007B78CE">
      <w:pPr>
        <w:jc w:val="both"/>
        <w:rPr>
          <w:rFonts w:cstheme="minorHAnsi"/>
        </w:rPr>
      </w:pPr>
    </w:p>
    <w:p w14:paraId="5AA8BD3F" w14:textId="77777777" w:rsidR="00555AEB" w:rsidRPr="0051709F" w:rsidRDefault="00555AEB" w:rsidP="007B78CE">
      <w:pPr>
        <w:jc w:val="both"/>
        <w:rPr>
          <w:rFonts w:cstheme="minorHAnsi"/>
          <w:i/>
          <w:iCs/>
        </w:rPr>
      </w:pPr>
      <w:r w:rsidRPr="0051709F">
        <w:rPr>
          <w:rFonts w:cstheme="minorHAnsi"/>
          <w:i/>
          <w:iCs/>
        </w:rPr>
        <w:t>La Ciudad Activa aspira a una distribución de servicios que tienda al ideal reparto homogéneo de los mismos. Cuanto más se acerque a esa hipotética perfección, más cercanía habrá entre la oferta y la demanda de todo tipo. Para la Ciudad Activa es fundamental que el ciudadano pueda satisfacer en su entorno sus necesidades cotidianas, por eso rechaza la zonificación.</w:t>
      </w:r>
    </w:p>
    <w:p w14:paraId="1670FFCB" w14:textId="77777777" w:rsidR="00555AEB" w:rsidRPr="0051709F" w:rsidRDefault="00555AEB" w:rsidP="007B78CE">
      <w:pPr>
        <w:jc w:val="both"/>
        <w:rPr>
          <w:rFonts w:cstheme="minorHAnsi"/>
          <w:i/>
          <w:iCs/>
        </w:rPr>
      </w:pPr>
    </w:p>
    <w:p w14:paraId="0811C36D" w14:textId="77777777" w:rsidR="00555AEB" w:rsidRPr="0051709F" w:rsidRDefault="00555AEB" w:rsidP="007B78CE">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aspira a disponer una vertebración múltiple procurando un incremento de los centros y proponiendo áreas de influencias de menor extensión para cada uno de </w:t>
      </w:r>
      <w:r w:rsidRPr="0051709F">
        <w:rPr>
          <w:rFonts w:cstheme="minorHAnsi"/>
        </w:rPr>
        <w:lastRenderedPageBreak/>
        <w:t>ellos. Esa vocación de centralidad debe permitir que, en un radio de acción razonable, las personas puedan solucionar los aspectos cotidianos sin necesidad de realizar desplazamientos importantes. Se busca la reestructuración funcional de la ciudad, creando entornos de proximidad en los que disponer todo lo necesario yendo bien a pie o en bicicleta.</w:t>
      </w:r>
    </w:p>
    <w:p w14:paraId="14338D31" w14:textId="77777777" w:rsidR="002456BC" w:rsidRPr="0051709F" w:rsidRDefault="002456BC" w:rsidP="00555AEB">
      <w:pPr>
        <w:jc w:val="both"/>
        <w:rPr>
          <w:rFonts w:cstheme="minorHAnsi"/>
        </w:rPr>
      </w:pPr>
    </w:p>
    <w:p w14:paraId="2C82D450" w14:textId="52BF6932" w:rsidR="00555AEB" w:rsidRPr="0051709F" w:rsidRDefault="00555AEB" w:rsidP="00555AEB">
      <w:pPr>
        <w:jc w:val="both"/>
        <w:rPr>
          <w:rFonts w:cstheme="minorHAnsi"/>
        </w:rPr>
      </w:pPr>
      <w:r w:rsidRPr="0051709F">
        <w:rPr>
          <w:rFonts w:cstheme="minorHAnsi"/>
        </w:rPr>
        <w:t xml:space="preserve">A finales de la década de 2000, Portland puso en marcha la creación de “barrios de 20 minutos”. Le seguirían Ottawa, Copenhague, Johannesburgo, </w:t>
      </w:r>
      <w:proofErr w:type="spellStart"/>
      <w:r w:rsidRPr="0051709F">
        <w:rPr>
          <w:rFonts w:cstheme="minorHAnsi"/>
        </w:rPr>
        <w:t>Shanghai</w:t>
      </w:r>
      <w:proofErr w:type="spellEnd"/>
      <w:r w:rsidRPr="0051709F">
        <w:rPr>
          <w:rFonts w:cstheme="minorHAnsi"/>
        </w:rPr>
        <w:t>, Cantón,</w:t>
      </w:r>
      <w:r w:rsidRPr="0051709F">
        <w:rPr>
          <w:rFonts w:eastAsia="Calibri" w:cstheme="minorHAnsi"/>
          <w:lang w:val="es-ES_tradnl"/>
        </w:rPr>
        <w:t xml:space="preserve"> el archiconocido Plan de París y su “Ciudad de 15 minutos” </w:t>
      </w:r>
      <w:r w:rsidRPr="0051709F">
        <w:rPr>
          <w:rFonts w:cstheme="minorHAnsi"/>
        </w:rPr>
        <w:fldChar w:fldCharType="begin"/>
      </w:r>
      <w:r w:rsidRPr="0051709F">
        <w:rPr>
          <w:rFonts w:cstheme="minorHAnsi"/>
        </w:rPr>
        <w:instrText xml:space="preserve"> ADDIN ZOTERO_ITEM CSL_CITATION {"citationID":"ddY4TupS","properties":{"formattedCitation":"(Allam, Moreno, Chabaud, &amp; Pratlong, 2022)","plainCitation":"(Allam, Moreno, Chabaud, &amp; Pratlong, 2022)","noteIndex":0},"citationItems":[{"id":845,"uris":["http://zotero.org/users/10547302/items/I3ZQV59R"],"itemData":{"id":845,"type":"chapter","container-title":"The Palgrave Handbook of Global Sustainability","event-place":"Cham","ISBN":"978-3-030-38948-2","language":"en","note":"DOI: 10.1007/978-3-030-38948-2_178-1","page":"1-20","publisher":"Springer International Publishing","publisher-place":"Cham","source":"DOI.org (Crossref)","title":"Proximity-Based Planning and the “15-Minute City”: A Sustainable Model for the City of the Future","title-short":"Proximity-Based Planning and the “15-Minute City”","URL":"https://link.springer.com/10.1007/978-3-030-38948-2_178-1","author":[{"family":"Allam","given":"Zaheer"},{"family":"Moreno","given":"Carlos"},{"family":"Chabaud","given":"Didier"},{"family":"Pratlong","given":"Florent"}],"accessed":{"date-parts":[["2023",1,24]]},"issued":{"date-parts":[["2022"]]}}}],"schema":"https://github.com/citation-style-language/schema/raw/master/csl-citation.json"} </w:instrText>
      </w:r>
      <w:r w:rsidRPr="0051709F">
        <w:rPr>
          <w:rFonts w:cstheme="minorHAnsi"/>
        </w:rPr>
        <w:fldChar w:fldCharType="separate"/>
      </w:r>
      <w:r w:rsidRPr="0051709F">
        <w:rPr>
          <w:rFonts w:cstheme="minorHAnsi"/>
        </w:rPr>
        <w:t>(Allam, Moreno, Chabaud, &amp; Pratlong, 2022)</w:t>
      </w:r>
      <w:r w:rsidRPr="0051709F">
        <w:rPr>
          <w:rFonts w:cstheme="minorHAnsi"/>
        </w:rPr>
        <w:fldChar w:fldCharType="end"/>
      </w:r>
      <w:r w:rsidRPr="0051709F">
        <w:rPr>
          <w:rFonts w:cstheme="minorHAnsi"/>
        </w:rPr>
        <w:t xml:space="preserve"> </w:t>
      </w:r>
      <w:r w:rsidRPr="0051709F">
        <w:rPr>
          <w:rFonts w:eastAsia="Calibri" w:cstheme="minorHAnsi"/>
          <w:lang w:val="es-ES_tradnl"/>
        </w:rPr>
        <w:t>o</w:t>
      </w:r>
      <w:r w:rsidRPr="0051709F">
        <w:rPr>
          <w:rFonts w:cstheme="minorHAnsi"/>
        </w:rPr>
        <w:t xml:space="preserve"> Melbourne. Esta última elaboró el </w:t>
      </w:r>
      <w:r w:rsidRPr="0051709F">
        <w:rPr>
          <w:rFonts w:cstheme="minorHAnsi"/>
          <w:i/>
          <w:iCs/>
        </w:rPr>
        <w:t>Plan Melbourne 2017-2050</w:t>
      </w:r>
      <w:r w:rsidRPr="0051709F">
        <w:rPr>
          <w:rFonts w:cstheme="minorHAnsi"/>
        </w:rPr>
        <w:t xml:space="preserve"> aspirando a convertirse en una ciudad sostenible, competitiva y habitable. El lema “</w:t>
      </w:r>
      <w:r w:rsidRPr="0051709F">
        <w:rPr>
          <w:rFonts w:cstheme="minorHAnsi"/>
          <w:i/>
          <w:iCs/>
        </w:rPr>
        <w:t>la habitabilidad de la ciudad comienza por la de sus barrios</w:t>
      </w:r>
      <w:r w:rsidRPr="0051709F">
        <w:rPr>
          <w:rFonts w:cstheme="minorHAnsi"/>
        </w:rPr>
        <w:t>” expresa la intención de la estrategia a seguir. La ciudad ha seleccionado diversas zonas de su extensísima área metropolitana para aplicar ese replanteamiento que potencia los pequeños centros de barrio. El resultado proporciona indudables beneficios tanto en la comodidad como en la reducción de los desplazamientos, así como en el incremento de los contactos sociales.</w:t>
      </w:r>
    </w:p>
    <w:p w14:paraId="3217BEE1" w14:textId="77777777" w:rsidR="00555AEB" w:rsidRPr="0051709F" w:rsidRDefault="00555AEB" w:rsidP="00555AEB">
      <w:pPr>
        <w:jc w:val="both"/>
        <w:rPr>
          <w:rFonts w:cstheme="minorHAnsi"/>
        </w:rPr>
      </w:pPr>
    </w:p>
    <w:p w14:paraId="540291F5"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Sistematizar (La Ciudad Activa integra lo natural y lo urbano)</w:t>
      </w:r>
    </w:p>
    <w:p w14:paraId="09B3C80C" w14:textId="77777777" w:rsidR="002456BC" w:rsidRPr="0051709F" w:rsidRDefault="002456BC" w:rsidP="00555AEB">
      <w:pPr>
        <w:jc w:val="both"/>
        <w:rPr>
          <w:rFonts w:cstheme="minorHAnsi"/>
          <w:i/>
          <w:iCs/>
        </w:rPr>
      </w:pPr>
    </w:p>
    <w:p w14:paraId="6290CE47" w14:textId="18BC451A" w:rsidR="00555AEB" w:rsidRPr="0051709F" w:rsidRDefault="00555AEB" w:rsidP="00555AEB">
      <w:pPr>
        <w:jc w:val="both"/>
        <w:rPr>
          <w:rFonts w:cstheme="minorHAnsi"/>
          <w:i/>
          <w:iCs/>
        </w:rPr>
      </w:pPr>
      <w:r w:rsidRPr="0051709F">
        <w:rPr>
          <w:rFonts w:cstheme="minorHAnsi"/>
          <w:i/>
          <w:iCs/>
        </w:rPr>
        <w:t>La Ciudad Activa demanda una nueva relación con la naturaleza, tanto exterior como interior, y propone la creación de un sistema que relacione todos los elementos con un propósito. La Ciudad Activa busca enlazar espacios para posibilitar la fluidez frente la discontinuidad que provoca saltos.</w:t>
      </w:r>
    </w:p>
    <w:p w14:paraId="68465248" w14:textId="77777777" w:rsidR="00555AEB" w:rsidRPr="0051709F" w:rsidRDefault="00555AEB" w:rsidP="00555AEB">
      <w:pPr>
        <w:jc w:val="both"/>
        <w:rPr>
          <w:rFonts w:cstheme="minorHAnsi"/>
          <w:i/>
          <w:iCs/>
        </w:rPr>
      </w:pPr>
    </w:p>
    <w:p w14:paraId="6CCF8D50" w14:textId="77777777" w:rsidR="00555AEB" w:rsidRPr="0051709F" w:rsidRDefault="00555AEB" w:rsidP="00555AEB">
      <w:pPr>
        <w:jc w:val="both"/>
        <w:rPr>
          <w:rFonts w:cstheme="minorHAnsi"/>
        </w:rPr>
      </w:pPr>
      <w:r w:rsidRPr="0051709F">
        <w:rPr>
          <w:rFonts w:cstheme="minorHAnsi"/>
        </w:rPr>
        <w:t xml:space="preserve">Sistematizar supone conectar la ciudad con su territorio para crear un conjunto integrado. Esta idea se encuentra ya en las primeras propuestas de William Le </w:t>
      </w:r>
      <w:proofErr w:type="spellStart"/>
      <w:r w:rsidRPr="0051709F">
        <w:rPr>
          <w:rFonts w:cstheme="minorHAnsi"/>
        </w:rPr>
        <w:t>Baron</w:t>
      </w:r>
      <w:proofErr w:type="spellEnd"/>
      <w:r w:rsidRPr="0051709F">
        <w:rPr>
          <w:rFonts w:cstheme="minorHAnsi"/>
        </w:rPr>
        <w:t xml:space="preserve"> Jenney para Chicago o de Frederick </w:t>
      </w:r>
      <w:proofErr w:type="spellStart"/>
      <w:r w:rsidRPr="0051709F">
        <w:rPr>
          <w:rFonts w:cstheme="minorHAnsi"/>
        </w:rPr>
        <w:t>Law</w:t>
      </w:r>
      <w:proofErr w:type="spellEnd"/>
      <w:r w:rsidRPr="0051709F">
        <w:rPr>
          <w:rFonts w:cstheme="minorHAnsi"/>
        </w:rPr>
        <w:t xml:space="preserve"> </w:t>
      </w:r>
      <w:proofErr w:type="spellStart"/>
      <w:r w:rsidRPr="0051709F">
        <w:rPr>
          <w:rFonts w:cstheme="minorHAnsi"/>
        </w:rPr>
        <w:t>Olmsted</w:t>
      </w:r>
      <w:proofErr w:type="spellEnd"/>
      <w:r w:rsidRPr="0051709F">
        <w:rPr>
          <w:rFonts w:cstheme="minorHAnsi"/>
        </w:rPr>
        <w:t xml:space="preserve"> para Boston. También en la creación de anillos verdes, con ejemplos como el </w:t>
      </w:r>
      <w:r w:rsidRPr="0051709F">
        <w:rPr>
          <w:rFonts w:cstheme="minorHAnsi"/>
          <w:i/>
          <w:iCs/>
        </w:rPr>
        <w:t xml:space="preserve">Green </w:t>
      </w:r>
      <w:proofErr w:type="spellStart"/>
      <w:r w:rsidRPr="0051709F">
        <w:rPr>
          <w:rFonts w:cstheme="minorHAnsi"/>
          <w:i/>
          <w:iCs/>
        </w:rPr>
        <w:t>Belt</w:t>
      </w:r>
      <w:proofErr w:type="spellEnd"/>
      <w:r w:rsidRPr="0051709F">
        <w:rPr>
          <w:rFonts w:cstheme="minorHAnsi"/>
        </w:rPr>
        <w:t xml:space="preserve"> de Londres o el anillo verde de Copenhague.</w:t>
      </w:r>
    </w:p>
    <w:p w14:paraId="716D2B3F" w14:textId="77777777" w:rsidR="00555AEB" w:rsidRPr="0051709F" w:rsidRDefault="00555AEB" w:rsidP="00555AEB">
      <w:pPr>
        <w:jc w:val="both"/>
        <w:rPr>
          <w:rFonts w:cstheme="minorHAnsi"/>
        </w:rPr>
      </w:pPr>
    </w:p>
    <w:p w14:paraId="04211364" w14:textId="11C84AA3" w:rsidR="00555AEB" w:rsidRPr="0051709F" w:rsidRDefault="00555AEB" w:rsidP="00555AEB">
      <w:pPr>
        <w:jc w:val="both"/>
        <w:rPr>
          <w:rFonts w:cstheme="minorHAnsi"/>
        </w:rPr>
      </w:pPr>
      <w:r w:rsidRPr="0051709F">
        <w:rPr>
          <w:rFonts w:cstheme="minorHAnsi"/>
        </w:rPr>
        <w:t xml:space="preserve">Una de las ciudades que está realizando esfuerzos en su naturalización es Madrid, que avanza en esa dirección a través de diversos proyectos. El </w:t>
      </w:r>
      <w:r w:rsidRPr="0051709F">
        <w:rPr>
          <w:rFonts w:cstheme="minorHAnsi"/>
          <w:i/>
          <w:iCs/>
        </w:rPr>
        <w:t>Arco Verde</w:t>
      </w:r>
      <w:r w:rsidRPr="0051709F">
        <w:rPr>
          <w:rFonts w:cstheme="minorHAnsi"/>
        </w:rPr>
        <w:t xml:space="preserve"> propone un gran anillo que circunvala la capital uniendo los parques regionales de su entorno. El </w:t>
      </w:r>
      <w:r w:rsidRPr="0051709F">
        <w:rPr>
          <w:rFonts w:cstheme="minorHAnsi"/>
          <w:i/>
          <w:iCs/>
        </w:rPr>
        <w:t>Bosque Metropolitano</w:t>
      </w:r>
      <w:r w:rsidRPr="0051709F">
        <w:rPr>
          <w:rFonts w:cstheme="minorHAnsi"/>
        </w:rPr>
        <w:t xml:space="preserve"> enlaza muchos de los espacios verdes urbanos ya existentes en una corona continua. Y, frente a esas actuaciones orbitales, </w:t>
      </w:r>
      <w:r w:rsidRPr="0051709F">
        <w:rPr>
          <w:rFonts w:cstheme="minorHAnsi"/>
          <w:i/>
          <w:iCs/>
        </w:rPr>
        <w:t>Madrid-Río</w:t>
      </w:r>
      <w:r w:rsidRPr="0051709F">
        <w:rPr>
          <w:rFonts w:cstheme="minorHAnsi"/>
        </w:rPr>
        <w:t xml:space="preserve"> actúa como uno de los conectores radiales que dan una continuidad al sistema verde madrileño.</w:t>
      </w:r>
    </w:p>
    <w:p w14:paraId="03F18E6A" w14:textId="77777777" w:rsidR="00555AEB" w:rsidRPr="0051709F" w:rsidRDefault="00555AEB" w:rsidP="00555AEB">
      <w:pPr>
        <w:jc w:val="both"/>
        <w:rPr>
          <w:rFonts w:cstheme="minorHAnsi"/>
        </w:rPr>
      </w:pPr>
    </w:p>
    <w:p w14:paraId="64F13CFE"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Aproximar (La Ciudad Activa es cercana) </w:t>
      </w:r>
    </w:p>
    <w:p w14:paraId="15BDB6DD" w14:textId="77777777" w:rsidR="00555AEB" w:rsidRPr="0051709F" w:rsidRDefault="00555AEB" w:rsidP="00555AEB">
      <w:pPr>
        <w:rPr>
          <w:rFonts w:cstheme="minorHAnsi"/>
        </w:rPr>
      </w:pPr>
    </w:p>
    <w:p w14:paraId="2A1D06EA" w14:textId="77777777" w:rsidR="00555AEB" w:rsidRPr="0051709F" w:rsidRDefault="00555AEB" w:rsidP="00555AEB">
      <w:pPr>
        <w:jc w:val="both"/>
        <w:rPr>
          <w:rFonts w:cstheme="minorHAnsi"/>
        </w:rPr>
      </w:pPr>
      <w:r w:rsidRPr="0051709F">
        <w:rPr>
          <w:rFonts w:cstheme="minorHAnsi"/>
          <w:i/>
          <w:iCs/>
        </w:rPr>
        <w:t xml:space="preserve">La Ciudad Activa propone que los espacios públicos estanciales formen parte de la vida cotidiana de las personas </w:t>
      </w:r>
      <w:r w:rsidRPr="0051709F">
        <w:rPr>
          <w:rFonts w:cstheme="minorHAnsi"/>
          <w:i/>
          <w:iCs/>
        </w:rPr>
        <w:fldChar w:fldCharType="begin"/>
      </w:r>
      <w:r w:rsidRPr="0051709F">
        <w:rPr>
          <w:rFonts w:cstheme="minorHAnsi"/>
          <w:i/>
          <w:iCs/>
        </w:rPr>
        <w:instrText xml:space="preserve"> ADDIN ZOTERO_ITEM CSL_CITATION {"citationID":"R2fofZpq","properties":{"formattedCitation":"(Galea et al., 2017)","plainCitation":"(Galea et al., 2017)","noteIndex":0},"citationItems":[{"id":298,"uris":["http://zotero.org/users/10547302/items/6ZCZLPQX"],"itemData":{"id":298,"type":"report","abstract":"Shin-pei Tsay (Gehl Institute), Jo Jewell, João Breda and Francesca Racioppi (WHO Regional Office for Europe) under the supervision of Gauden Galea (WHO Regional Office for Europe).","language":"En","publisher":"World Health Organization. Regional Office for Europe.","title":"Towards More Physical Activity in Cities. Transforming public spaces to promote physical activity — a key contributor to achieving the Sustainable Development Goals in Europe","URL":"https://www.euro.who.int/__data/assets/pdf_file/0018/353043/2017_WHO_Report_FINAL_WEB.pdf","author":[{"family":"Galea","given":"Gauden"},{"family":"Vogel Kielgast","given":"Louise"},{"family":"Tsay","given":"Shin-pei"},{"family":"Jewell","given":"Jo"},{"family":"Breda","given":"João"},{"family":"Racioppi","given":"Francesca"}],"issued":{"date-parts":[["2017"]]}}}],"schema":"https://github.com/citation-style-language/schema/raw/master/csl-citation.json"} </w:instrText>
      </w:r>
      <w:r w:rsidRPr="0051709F">
        <w:rPr>
          <w:rFonts w:cstheme="minorHAnsi"/>
          <w:i/>
          <w:iCs/>
        </w:rPr>
        <w:fldChar w:fldCharType="separate"/>
      </w:r>
      <w:r w:rsidRPr="0051709F">
        <w:rPr>
          <w:rFonts w:cstheme="minorHAnsi"/>
          <w:i/>
          <w:iCs/>
        </w:rPr>
        <w:t>(Galea et al., 2017)</w:t>
      </w:r>
      <w:r w:rsidRPr="0051709F">
        <w:rPr>
          <w:rFonts w:cstheme="minorHAnsi"/>
          <w:i/>
          <w:iCs/>
        </w:rPr>
        <w:fldChar w:fldCharType="end"/>
      </w:r>
      <w:r w:rsidRPr="0051709F">
        <w:rPr>
          <w:rFonts w:cstheme="minorHAnsi"/>
          <w:i/>
          <w:iCs/>
        </w:rPr>
        <w:t>. La Ciudad Activa persigue la cercanía al ciudadano, desde luego de los usos distribuidos, pero también de los lugares de encuentro que reactiven</w:t>
      </w:r>
      <w:r w:rsidRPr="0051709F">
        <w:rPr>
          <w:rFonts w:cstheme="minorHAnsi"/>
        </w:rPr>
        <w:t xml:space="preserve"> </w:t>
      </w:r>
      <w:r w:rsidRPr="007B667D">
        <w:rPr>
          <w:rFonts w:cstheme="minorHAnsi"/>
          <w:i/>
          <w:iCs/>
        </w:rPr>
        <w:t>la vida social, que posibiliten la realización de ejercicio físico, que ofrezcan aire libre y de calidad.</w:t>
      </w:r>
      <w:r w:rsidRPr="0051709F">
        <w:rPr>
          <w:rFonts w:cstheme="minorHAnsi"/>
        </w:rPr>
        <w:t xml:space="preserve"> </w:t>
      </w:r>
    </w:p>
    <w:p w14:paraId="369F158D" w14:textId="77777777" w:rsidR="00555AEB" w:rsidRPr="0051709F" w:rsidRDefault="00555AEB" w:rsidP="00555AEB">
      <w:pPr>
        <w:jc w:val="both"/>
        <w:rPr>
          <w:rFonts w:cstheme="minorHAnsi"/>
        </w:rPr>
      </w:pPr>
    </w:p>
    <w:p w14:paraId="100A9433" w14:textId="77777777" w:rsidR="00555AEB" w:rsidRPr="0051709F" w:rsidRDefault="00555AEB" w:rsidP="00555AEB">
      <w:pPr>
        <w:jc w:val="both"/>
        <w:rPr>
          <w:rStyle w:val="Prrafoingls"/>
          <w:rFonts w:asciiTheme="minorHAnsi" w:hAnsiTheme="minorHAnsi" w:cstheme="minorHAnsi"/>
          <w:i w:val="0"/>
          <w:color w:val="000000" w:themeColor="text1"/>
          <w:sz w:val="24"/>
          <w:szCs w:val="24"/>
        </w:rPr>
      </w:pPr>
      <w:r w:rsidRPr="0051709F">
        <w:rPr>
          <w:rFonts w:cstheme="minorHAnsi"/>
        </w:rPr>
        <w:lastRenderedPageBreak/>
        <w:t xml:space="preserve">La relación entre plazas y parques y la salud es muy directa, teniendo muchas derivaciones que justifican su importancia. En primer lugar, la </w:t>
      </w:r>
      <w:r w:rsidRPr="0051709F">
        <w:rPr>
          <w:rFonts w:cstheme="minorHAnsi"/>
          <w:i/>
          <w:iCs/>
        </w:rPr>
        <w:t>Ciudad Activa</w:t>
      </w:r>
      <w:r w:rsidRPr="0051709F">
        <w:rPr>
          <w:rFonts w:cstheme="minorHAnsi"/>
        </w:rPr>
        <w:t xml:space="preserve"> busca aproximar los espacios libres a los ciudadanos distribuyéndolos equitativamente porque</w:t>
      </w:r>
      <w:r w:rsidRPr="0051709F">
        <w:rPr>
          <w:rFonts w:cstheme="minorHAnsi"/>
          <w:i/>
        </w:rPr>
        <w:t xml:space="preserve"> </w:t>
      </w:r>
      <w:r w:rsidRPr="007B667D">
        <w:rPr>
          <w:rFonts w:cstheme="minorHAnsi"/>
          <w:iCs/>
        </w:rPr>
        <w:t>l</w:t>
      </w:r>
      <w:r w:rsidRPr="007B667D">
        <w:rPr>
          <w:rStyle w:val="Prrafoingls"/>
          <w:rFonts w:asciiTheme="minorHAnsi" w:hAnsiTheme="minorHAnsi" w:cstheme="minorHAnsi"/>
          <w:i w:val="0"/>
          <w:iCs w:val="0"/>
          <w:color w:val="000000" w:themeColor="text1"/>
          <w:sz w:val="24"/>
          <w:szCs w:val="24"/>
        </w:rPr>
        <w:t>as personas que viven más cerca de los parques gozan de mejor salud</w:t>
      </w:r>
      <w:r w:rsidRPr="006A4C90">
        <w:rPr>
          <w:rStyle w:val="Prrafoingls"/>
          <w:rFonts w:asciiTheme="minorHAnsi" w:hAnsiTheme="minorHAnsi" w:cstheme="minorHAnsi"/>
          <w:color w:val="000000" w:themeColor="text1"/>
          <w:sz w:val="24"/>
          <w:szCs w:val="24"/>
        </w:rPr>
        <w:t xml:space="preserve">. </w:t>
      </w:r>
      <w:r w:rsidRPr="007B667D">
        <w:rPr>
          <w:rStyle w:val="Prrafoingls"/>
          <w:rFonts w:asciiTheme="minorHAnsi" w:hAnsiTheme="minorHAnsi" w:cstheme="minorHAnsi"/>
          <w:i w:val="0"/>
          <w:iCs w:val="0"/>
          <w:color w:val="000000" w:themeColor="text1"/>
          <w:sz w:val="24"/>
          <w:szCs w:val="24"/>
        </w:rPr>
        <w:t>Las estadísticas</w:t>
      </w:r>
      <w:r w:rsidRPr="006A4C90">
        <w:rPr>
          <w:rStyle w:val="Prrafoingls"/>
          <w:rFonts w:asciiTheme="minorHAnsi" w:hAnsiTheme="minorHAnsi" w:cstheme="minorHAnsi"/>
          <w:color w:val="000000" w:themeColor="text1"/>
          <w:sz w:val="24"/>
          <w:szCs w:val="24"/>
        </w:rPr>
        <w:t xml:space="preserve"> </w:t>
      </w:r>
      <w:r w:rsidRPr="007B667D">
        <w:rPr>
          <w:rStyle w:val="Prrafoingls"/>
          <w:rFonts w:asciiTheme="minorHAnsi" w:hAnsiTheme="minorHAnsi" w:cstheme="minorHAnsi"/>
          <w:i w:val="0"/>
          <w:iCs w:val="0"/>
          <w:color w:val="000000" w:themeColor="text1"/>
          <w:sz w:val="24"/>
          <w:szCs w:val="24"/>
        </w:rPr>
        <w:t>lo constatan</w:t>
      </w:r>
      <w:r w:rsidRPr="006A4C90">
        <w:rPr>
          <w:rStyle w:val="Prrafoingls"/>
          <w:rFonts w:asciiTheme="minorHAnsi" w:hAnsiTheme="minorHAnsi" w:cstheme="minorHAnsi"/>
          <w:color w:val="000000" w:themeColor="text1"/>
          <w:sz w:val="24"/>
          <w:szCs w:val="24"/>
        </w:rPr>
        <w:t>.</w:t>
      </w:r>
      <w:r w:rsidRPr="0051709F">
        <w:rPr>
          <w:rStyle w:val="Prrafoingls"/>
          <w:rFonts w:asciiTheme="minorHAnsi" w:hAnsiTheme="minorHAnsi" w:cstheme="minorHAnsi"/>
          <w:color w:val="000000" w:themeColor="text1"/>
          <w:sz w:val="24"/>
          <w:szCs w:val="24"/>
        </w:rPr>
        <w:t xml:space="preserve"> </w:t>
      </w:r>
      <w:r w:rsidRPr="0051709F">
        <w:rPr>
          <w:rFonts w:cstheme="minorHAnsi"/>
        </w:rPr>
        <w:t xml:space="preserve">Por citar un ejemplo, vivir cerca del espacio verde disminuye las probabilidades de estrés en un 30% </w:t>
      </w:r>
      <w:r w:rsidRPr="0051709F">
        <w:rPr>
          <w:rFonts w:cstheme="minorHAnsi"/>
        </w:rPr>
        <w:fldChar w:fldCharType="begin"/>
      </w:r>
      <w:r w:rsidRPr="0051709F">
        <w:rPr>
          <w:rFonts w:cstheme="minorHAnsi"/>
        </w:rPr>
        <w:instrText xml:space="preserve"> ADDIN ZOTERO_ITEM CSL_CITATION {"citationID":"EKJYyUPm","properties":{"formattedCitation":"(Stigsdotter et al., 2010)","plainCitation":"(Stigsdotter et al., 2010)","noteIndex":0},"citationItems":[{"id":163,"uris":["http://zotero.org/users/10547302/items/UKYPKLZF"],"itemData":{"id":163,"type":"article-journal","abstract":"Aims: To investigate the associations between green space and health, health-related quality of life and stress, respectively. Methods: Data were derived from the 2005 Danish Health Interview Survey and are based on a region-stratified random sample of 21,832 adults. Data were collected via face-to-face interviews followed by a self-administered questionnaire, including the SF-36, which measures eight dimensions of health and the Perceived Stress Scale, which measures self-reported stress. A total of 11,238 respondents completed the interview and returned the questionnaire. Multiple logistic regression analyses were performed to investigate the association between distance to green space and self-perceived stress. Results: Danes living more than 1 km away from the nearest green space report poorer health and health-related quality of life, i.e. lower mean scores on all eight SF-36 dimensions of health than respondents living closer. Respondents living more than 1 km away from a green space have 1.42 higher odds of experiencing stress than do respondents living less than 300 m from a green space. Respondents not reporting stress are more likely to visit a green space than are respondents reporting stress. Reasons for visiting green spaces differ significantly depending on whether or not respondents experience stress. Respondents reporting stress are likely to use green spaces to reduce stress. Conclusions: An association between distance to a green space and health and health-related quality of life was found. Further, the results indicate awareness among Danes that green spaces may be of importance in managing stress and that green spaces may play an important role as health-promoting environments.","container-title":"Scandinavian Journal of Public Health","DOI":"10.1177/1403494810367468","ISSN":"1403-4948","issue":"4","journalAbbreviation":"Scand J Public Health","language":"En","note":"publisher: SAGE Publications Ltd STM","page":"411-417","source":"SAGE Journals","title":"Health promoting outdoor environments - Associations between green space, and health, health-related quality of life and stress based on a Danish national representative survey","volume":"38","author":[{"family":"Stigsdotter","given":"Ulrika K."},{"family":"Ekholm","given":"Ola"},{"family":"Schipperijn","given":"Jasper"},{"family":"Toftager","given":"Mette"},{"family":"Kamper-Jørgensen","given":"Finn"},{"family":"Randrup","given":"Thomas B."}],"issued":{"date-parts":[["2010",6,1]]}}}],"schema":"https://github.com/citation-style-language/schema/raw/master/csl-citation.json"} </w:instrText>
      </w:r>
      <w:r w:rsidRPr="0051709F">
        <w:rPr>
          <w:rFonts w:cstheme="minorHAnsi"/>
        </w:rPr>
        <w:fldChar w:fldCharType="separate"/>
      </w:r>
      <w:r w:rsidRPr="0051709F">
        <w:rPr>
          <w:rFonts w:cstheme="minorHAnsi"/>
        </w:rPr>
        <w:t>(Stigsdotter et al., 2010)</w:t>
      </w:r>
      <w:r w:rsidRPr="0051709F">
        <w:rPr>
          <w:rFonts w:cstheme="minorHAnsi"/>
        </w:rPr>
        <w:fldChar w:fldCharType="end"/>
      </w:r>
      <w:r w:rsidRPr="0051709F">
        <w:rPr>
          <w:rStyle w:val="Prrafoingls"/>
          <w:rFonts w:asciiTheme="minorHAnsi" w:hAnsiTheme="minorHAnsi" w:cstheme="minorHAnsi"/>
          <w:color w:val="000000" w:themeColor="text1"/>
          <w:sz w:val="24"/>
          <w:szCs w:val="24"/>
        </w:rPr>
        <w:t xml:space="preserve">. </w:t>
      </w:r>
    </w:p>
    <w:p w14:paraId="00E41111" w14:textId="77777777" w:rsidR="00555AEB" w:rsidRPr="0051709F" w:rsidRDefault="00555AEB" w:rsidP="00555AEB">
      <w:pPr>
        <w:jc w:val="both"/>
        <w:rPr>
          <w:rStyle w:val="Prrafoingls"/>
          <w:rFonts w:asciiTheme="minorHAnsi" w:hAnsiTheme="minorHAnsi" w:cstheme="minorHAnsi"/>
          <w:i w:val="0"/>
          <w:color w:val="000000" w:themeColor="text1"/>
          <w:sz w:val="24"/>
          <w:szCs w:val="24"/>
        </w:rPr>
      </w:pPr>
    </w:p>
    <w:p w14:paraId="486F76EB" w14:textId="77777777" w:rsidR="00555AEB" w:rsidRPr="0051709F" w:rsidRDefault="00555AEB" w:rsidP="00555AEB">
      <w:pPr>
        <w:jc w:val="both"/>
        <w:rPr>
          <w:rFonts w:cstheme="minorHAnsi"/>
        </w:rPr>
      </w:pPr>
      <w:r w:rsidRPr="0051709F">
        <w:rPr>
          <w:rFonts w:cstheme="minorHAnsi"/>
        </w:rPr>
        <w:t>Incrementar la superficie de suelo disponible para los ciudadanos no es una tarea fácil en la ciudad consolidada, pero a pesar de las dificultades, el aumento de espacio ciudadano es un objetivo irrenunciable. El trasvase de superficie desde la red de circulación a la peatonal es un paso importante en ese sentido, pero el modelo requiere espacios de estancia cercanos y de todas las escalas para la interacción social, para el juego o la relajación, para el descanso o para la realización de ejercicio físico.</w:t>
      </w:r>
    </w:p>
    <w:p w14:paraId="7731E29F" w14:textId="77777777" w:rsidR="00555AEB" w:rsidRPr="0051709F" w:rsidRDefault="00555AEB" w:rsidP="00555AEB">
      <w:pPr>
        <w:jc w:val="both"/>
        <w:rPr>
          <w:rFonts w:cstheme="minorHAnsi"/>
        </w:rPr>
      </w:pPr>
    </w:p>
    <w:p w14:paraId="4FCFDD7B" w14:textId="77777777" w:rsidR="00555AEB" w:rsidRPr="0051709F" w:rsidRDefault="00555AEB" w:rsidP="00555AEB">
      <w:pPr>
        <w:jc w:val="both"/>
        <w:rPr>
          <w:rFonts w:cstheme="minorHAnsi"/>
        </w:rPr>
      </w:pPr>
      <w:r w:rsidRPr="0051709F">
        <w:rPr>
          <w:rFonts w:cstheme="minorHAnsi"/>
        </w:rPr>
        <w:t xml:space="preserve">La creación de grandes espacios abiertos en la ciudad es algo muy distinto de la búsqueda de lugares de encuentro cercanos dentro de un barrio. En esta línea son reseñables desde los </w:t>
      </w:r>
      <w:proofErr w:type="spellStart"/>
      <w:r w:rsidRPr="0051709F">
        <w:rPr>
          <w:rFonts w:cstheme="minorHAnsi"/>
          <w:i/>
          <w:iCs/>
        </w:rPr>
        <w:t>parklets</w:t>
      </w:r>
      <w:proofErr w:type="spellEnd"/>
      <w:r w:rsidRPr="0051709F">
        <w:rPr>
          <w:rFonts w:cstheme="minorHAnsi"/>
        </w:rPr>
        <w:t xml:space="preserve"> de San Francisco o México D.F. hasta las nuevas plazas surgidas en los cruces achaflanados de las calles del Eixample de Barcelona, antes cedidos totalmente al tráfico rodado. Pero hay más. Ciudades tan consolidadas como </w:t>
      </w:r>
      <w:r w:rsidRPr="007B667D">
        <w:rPr>
          <w:rFonts w:cstheme="minorHAnsi"/>
        </w:rPr>
        <w:t>Nueva York</w:t>
      </w:r>
      <w:r w:rsidRPr="0051709F">
        <w:rPr>
          <w:rFonts w:cstheme="minorHAnsi"/>
        </w:rPr>
        <w:t xml:space="preserve"> están consiguiéndolo, convirtiéndose en un caso de estudio extraordinario porque está siendo capaz de obtener nuevos espacios estanciales donde nadie lo sospechaba. Estos parques de reducidas dimensiones reciben el expresivo apelativo de </w:t>
      </w:r>
      <w:r w:rsidRPr="0051709F">
        <w:rPr>
          <w:rFonts w:cstheme="minorHAnsi"/>
          <w:i/>
          <w:iCs/>
        </w:rPr>
        <w:t>Pocket Parks</w:t>
      </w:r>
      <w:r w:rsidRPr="0051709F">
        <w:rPr>
          <w:rFonts w:cstheme="minorHAnsi"/>
        </w:rPr>
        <w:t xml:space="preserve"> o parques de bolsillo.</w:t>
      </w:r>
    </w:p>
    <w:p w14:paraId="74708AED" w14:textId="77777777" w:rsidR="00555AEB" w:rsidRPr="0051709F" w:rsidRDefault="00555AEB" w:rsidP="00555AEB">
      <w:pPr>
        <w:jc w:val="both"/>
        <w:rPr>
          <w:rFonts w:cstheme="minorHAnsi"/>
        </w:rPr>
      </w:pPr>
    </w:p>
    <w:p w14:paraId="1C8E9EBC"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Experimentar (La Ciudad Activa proporciona experiencias positivas) </w:t>
      </w:r>
    </w:p>
    <w:p w14:paraId="266C56DC" w14:textId="77777777" w:rsidR="00555AEB" w:rsidRPr="0051709F" w:rsidRDefault="00555AEB" w:rsidP="00555AEB">
      <w:pPr>
        <w:rPr>
          <w:rFonts w:cstheme="minorHAnsi"/>
        </w:rPr>
      </w:pPr>
    </w:p>
    <w:p w14:paraId="254CF11E" w14:textId="77777777" w:rsidR="00555AEB" w:rsidRPr="0051709F" w:rsidRDefault="00555AEB" w:rsidP="00555AEB">
      <w:pPr>
        <w:jc w:val="both"/>
        <w:rPr>
          <w:rFonts w:cstheme="minorHAnsi"/>
          <w:i/>
          <w:iCs/>
        </w:rPr>
      </w:pPr>
      <w:r w:rsidRPr="0051709F">
        <w:rPr>
          <w:rFonts w:cstheme="minorHAnsi"/>
          <w:i/>
          <w:iCs/>
        </w:rPr>
        <w:t>Experimentar es una llamada a la acción, es atreverse a tener experiencias nuevas. Es lo contrario a la resignación pasiva a la inactividad complaciente. La Ciudad Activa aspira a proveer a sus ciudadanos de atractivas y variadas actividades en sus espacios de estancia, siendo esto uno de los modos más directos para que sean frecuentados. Programar es pensar en los usuarios para ofrecer un muestrario de actividades acordes a sus intereses.</w:t>
      </w:r>
    </w:p>
    <w:p w14:paraId="13CAD269" w14:textId="77777777" w:rsidR="00555AEB" w:rsidRPr="0051709F" w:rsidRDefault="00555AEB" w:rsidP="00555AEB">
      <w:pPr>
        <w:jc w:val="both"/>
        <w:rPr>
          <w:rFonts w:cstheme="minorHAnsi"/>
          <w:i/>
          <w:iCs/>
        </w:rPr>
      </w:pPr>
    </w:p>
    <w:p w14:paraId="66F6B6B2" w14:textId="77777777" w:rsidR="00555AEB" w:rsidRPr="0051709F" w:rsidRDefault="00555AEB" w:rsidP="00555AEB">
      <w:pPr>
        <w:jc w:val="both"/>
        <w:rPr>
          <w:rFonts w:cstheme="minorHAnsi"/>
        </w:rPr>
      </w:pPr>
      <w:r w:rsidRPr="0051709F">
        <w:rPr>
          <w:rFonts w:cstheme="minorHAnsi"/>
        </w:rPr>
        <w:t>La Ciudad Activa interviene en la programación de actividades en el espacio público para estimular su uso. Se pretende reforzar las propuestas de actividad en la calle, sobre todo las vinculadas con la práctica deportiva y el ejercicio físico, aunque sin rechazar las sedentarias (como por ejemplo la audición de un concierto al aire libre), porque el mero desplazamiento activo, ayuda a los objetivos del modelo.</w:t>
      </w:r>
    </w:p>
    <w:p w14:paraId="21CBBF7B" w14:textId="77777777" w:rsidR="00555AEB" w:rsidRPr="0051709F" w:rsidRDefault="00555AEB" w:rsidP="00555AEB">
      <w:pPr>
        <w:jc w:val="both"/>
        <w:rPr>
          <w:rFonts w:cstheme="minorHAnsi"/>
        </w:rPr>
      </w:pPr>
    </w:p>
    <w:p w14:paraId="207D8BFB" w14:textId="77777777" w:rsidR="00555AEB" w:rsidRPr="0051709F" w:rsidRDefault="00555AEB" w:rsidP="00555AEB">
      <w:pPr>
        <w:jc w:val="both"/>
        <w:rPr>
          <w:rFonts w:cstheme="minorHAnsi"/>
        </w:rPr>
      </w:pPr>
      <w:r w:rsidRPr="0051709F">
        <w:rPr>
          <w:rFonts w:cstheme="minorHAnsi"/>
        </w:rPr>
        <w:t xml:space="preserve">Copenhague es una ciudad pionera en muchos aspectos. Lo fue en la recuperación del espacio urbano y en la movilidad, pero lo sigue siendo por su apuesta por la </w:t>
      </w:r>
      <w:r w:rsidRPr="0051709F">
        <w:rPr>
          <w:rFonts w:cstheme="minorHAnsi"/>
          <w:i/>
          <w:iCs/>
        </w:rPr>
        <w:t>Ciudad Activa</w:t>
      </w:r>
      <w:r w:rsidRPr="0051709F">
        <w:rPr>
          <w:rFonts w:cstheme="minorHAnsi"/>
        </w:rPr>
        <w:t xml:space="preserve">, por innovar permanentemente en cuestiones medioambientales y también por su incansable trabajo en pro de valores sociales como la integración y cohesión entre los miembros de la comunidad. Por todo, la capital danesa sigue imaginando el futuro de las ciudades. Muchos de los nuevos espacios urbanos de la capital danesa muestran una imaginación sorprendente en su propuesta de actividades. La innovación preside sus acciones urbanas: desde la compatibilidad entre una planta de tratamiento de residuos </w:t>
      </w:r>
      <w:r w:rsidRPr="0051709F">
        <w:rPr>
          <w:rFonts w:cstheme="minorHAnsi"/>
        </w:rPr>
        <w:lastRenderedPageBreak/>
        <w:t>y centro de ocio, hasta el aprovechamiento de los aparcamientos, tanto en edificios como subterráneos, o la ingeniosa gestión del equipamiento para el juego y el deporte en los espacios públicos. De esa forma el espacio urbano se convierte en un estímulo que impulsa la actividad física de los ciudadanos.</w:t>
      </w:r>
    </w:p>
    <w:p w14:paraId="0B6FDBCD" w14:textId="77777777" w:rsidR="00555AEB" w:rsidRPr="0051709F" w:rsidRDefault="00555AEB" w:rsidP="00555AEB">
      <w:pPr>
        <w:jc w:val="both"/>
        <w:rPr>
          <w:rFonts w:cstheme="minorHAnsi"/>
        </w:rPr>
      </w:pPr>
    </w:p>
    <w:p w14:paraId="5D50031D"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Universalizar (La Ciudad Activa es plural e inclusiva) </w:t>
      </w:r>
    </w:p>
    <w:p w14:paraId="61945FDA" w14:textId="77777777" w:rsidR="00555AEB" w:rsidRPr="0051709F" w:rsidRDefault="00555AEB" w:rsidP="00555AEB">
      <w:pPr>
        <w:rPr>
          <w:rFonts w:cstheme="minorHAnsi"/>
        </w:rPr>
      </w:pPr>
    </w:p>
    <w:p w14:paraId="142E12C1" w14:textId="58EBC21C" w:rsidR="00555AEB" w:rsidRPr="0051709F" w:rsidRDefault="00555AEB" w:rsidP="00555AEB">
      <w:pPr>
        <w:jc w:val="both"/>
        <w:rPr>
          <w:rFonts w:cstheme="minorHAnsi"/>
          <w:i/>
          <w:iCs/>
        </w:rPr>
      </w:pPr>
      <w:r w:rsidRPr="0051709F">
        <w:rPr>
          <w:rFonts w:cstheme="minorHAnsi"/>
          <w:i/>
          <w:iCs/>
        </w:rPr>
        <w:t>La Ciudad Activa es la ciudad de todos los ciudadanos y una de las manifestaciones de ese principio primordial es el diseño de espacios inclusivos, accesibles, seguros, es decir</w:t>
      </w:r>
      <w:r w:rsidR="00A27737">
        <w:rPr>
          <w:rFonts w:cstheme="minorHAnsi"/>
          <w:i/>
          <w:iCs/>
        </w:rPr>
        <w:t>,</w:t>
      </w:r>
      <w:r w:rsidRPr="0051709F">
        <w:rPr>
          <w:rFonts w:cstheme="minorHAnsi"/>
          <w:i/>
          <w:iCs/>
        </w:rPr>
        <w:t xml:space="preserve"> universales </w:t>
      </w:r>
      <w:r w:rsidRPr="0051709F">
        <w:rPr>
          <w:rFonts w:cstheme="minorHAnsi"/>
          <w:i/>
          <w:iCs/>
        </w:rPr>
        <w:fldChar w:fldCharType="begin"/>
      </w:r>
      <w:r w:rsidRPr="0051709F">
        <w:rPr>
          <w:rFonts w:cstheme="minorHAnsi"/>
          <w:i/>
          <w:iCs/>
        </w:rPr>
        <w:instrText xml:space="preserve"> ADDIN ZOTERO_ITEM CSL_CITATION {"citationID":"mGDK3gLo","properties":{"formattedCitation":"(Lahoz &amp; Blasco, 2023a)","plainCitation":"(Lahoz &amp; Blasco, 2023a)","noteIndex":0},"citationItems":[{"id":999,"uris":["http://zotero.org/users/10547302/items/T76E7WDQ"],"itemData":{"id":999,"type":"chapter","abstract":"A sedentary lifestyle is a global and complex problem that, nevertheless, finds a very natural solution: movement. However, promoting physical activity among the population is not a simple task. It requires great efforts from individuals, society, and, particularly, from the urban environment. The c...","container-title":"Intersecting Health, Livability, and Human Behavior in Urban Environments","ISBN":"978-1-66846-924-8","language":"En","license":"Access limited to members","note":"DOI: 10.4018/978-1-6684-6924-8.ch004","page":"59-82","publisher":"IGI Global","source":"www.igi-global.com","title":"Hamburg at the Forefront of the Active Cities","URL":"https://www.igi-global.com/chapter/hamburg-at-the-forefront-of-the-active-cities/www.igi-global.com/chapter/hamburg-at-the-forefront-of-the-active-cities/322919","author":[{"family":"Lahoz","given":"Carlos F."},{"family":"Blasco","given":"José Antonio"}],"accessed":{"date-parts":[["2023",5,3]]},"issued":{"date-parts":[["2023"]]}}}],"schema":"https://github.com/citation-style-language/schema/raw/master/csl-citation.json"} </w:instrText>
      </w:r>
      <w:r w:rsidRPr="0051709F">
        <w:rPr>
          <w:rFonts w:cstheme="minorHAnsi"/>
          <w:i/>
          <w:iCs/>
        </w:rPr>
        <w:fldChar w:fldCharType="separate"/>
      </w:r>
      <w:r w:rsidRPr="0051709F">
        <w:rPr>
          <w:rFonts w:cstheme="minorHAnsi"/>
          <w:i/>
          <w:iCs/>
        </w:rPr>
        <w:t>(Lahoz &amp; Blasco, 2023a)</w:t>
      </w:r>
      <w:r w:rsidRPr="0051709F">
        <w:rPr>
          <w:rFonts w:cstheme="minorHAnsi"/>
          <w:i/>
          <w:iCs/>
        </w:rPr>
        <w:fldChar w:fldCharType="end"/>
      </w:r>
      <w:r w:rsidRPr="0051709F">
        <w:rPr>
          <w:rFonts w:cstheme="minorHAnsi"/>
          <w:i/>
          <w:iCs/>
        </w:rPr>
        <w:t>. El derecho a la ciudad es uno de los principios irrenunciables de la Ciudad Activa y el deporte, el ejercicio físico, es una de las maneras de apropiación urbana por parte de los ciudadanos, que los hacen suyos, aumentando el sentimiento de pertenencia para todo el mundo sin distinción.</w:t>
      </w:r>
    </w:p>
    <w:p w14:paraId="46922073" w14:textId="77777777" w:rsidR="00555AEB" w:rsidRPr="0051709F" w:rsidRDefault="00555AEB" w:rsidP="00555AEB">
      <w:pPr>
        <w:jc w:val="both"/>
        <w:rPr>
          <w:rFonts w:cstheme="minorHAnsi"/>
          <w:i/>
          <w:iCs/>
        </w:rPr>
      </w:pPr>
    </w:p>
    <w:p w14:paraId="6EF3A74D" w14:textId="77777777" w:rsidR="00555AEB" w:rsidRPr="0051709F" w:rsidRDefault="00555AEB" w:rsidP="00555AEB">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que se apoya en el deporte y propugna la universalidad del espacio, se convierte en una estrategia que, además de su objetivo principal (la vida saludable), ayuda a otro de gran calado (la cohesión social). Por eso puede decirse que la </w:t>
      </w:r>
      <w:r w:rsidRPr="0051709F">
        <w:rPr>
          <w:rFonts w:cstheme="minorHAnsi"/>
          <w:i/>
          <w:iCs/>
        </w:rPr>
        <w:t>Ciudad Activa</w:t>
      </w:r>
      <w:r w:rsidRPr="0051709F">
        <w:rPr>
          <w:rFonts w:cstheme="minorHAnsi"/>
        </w:rPr>
        <w:t xml:space="preserve"> es también un instrumento de transformación social.</w:t>
      </w:r>
    </w:p>
    <w:p w14:paraId="146638C6" w14:textId="77777777" w:rsidR="00555AEB" w:rsidRPr="0051709F" w:rsidRDefault="00555AEB" w:rsidP="00555AEB">
      <w:pPr>
        <w:jc w:val="both"/>
        <w:rPr>
          <w:rFonts w:cstheme="minorHAnsi"/>
        </w:rPr>
      </w:pPr>
    </w:p>
    <w:p w14:paraId="309CCAE3" w14:textId="08D4691C" w:rsidR="00555AEB" w:rsidRPr="0051709F" w:rsidRDefault="00555AEB" w:rsidP="00555AEB">
      <w:pPr>
        <w:jc w:val="both"/>
        <w:rPr>
          <w:rFonts w:cstheme="minorHAnsi"/>
        </w:rPr>
      </w:pPr>
      <w:r w:rsidRPr="0051709F">
        <w:rPr>
          <w:rFonts w:cstheme="minorHAnsi"/>
        </w:rPr>
        <w:t xml:space="preserve">Una de las ciudades que más está destacando en estas cuestiones es Medellín, en Colombia. La capital del departamento de Antioquia está superando su terrible pasado y está realizando grandes esfuerzos para integrar a la población menos favorecida mediante innovadoras soluciones urbanas y sociales que tienen a la </w:t>
      </w:r>
      <w:r w:rsidRPr="0051709F">
        <w:rPr>
          <w:rFonts w:cstheme="minorHAnsi"/>
          <w:i/>
          <w:iCs/>
        </w:rPr>
        <w:t>Ciudad Activa</w:t>
      </w:r>
      <w:r w:rsidRPr="0051709F">
        <w:rPr>
          <w:rFonts w:cstheme="minorHAnsi"/>
        </w:rPr>
        <w:t xml:space="preserve"> y al deporte como principales motores de impuls</w:t>
      </w:r>
      <w:r w:rsidR="00A27737">
        <w:rPr>
          <w:rFonts w:cstheme="minorHAnsi"/>
        </w:rPr>
        <w:t>o</w:t>
      </w:r>
      <w:r w:rsidRPr="0051709F">
        <w:rPr>
          <w:rFonts w:cstheme="minorHAnsi"/>
        </w:rPr>
        <w:t xml:space="preserve">. La accesibilidad e inclusividad mediante programas de ciudad activa y movilidad, demostrando que la Ciudad Activa puede ser un instrumento de transformación social. Operaciones como el </w:t>
      </w:r>
      <w:r w:rsidRPr="0051709F">
        <w:rPr>
          <w:rFonts w:cstheme="minorHAnsi"/>
          <w:i/>
          <w:iCs/>
        </w:rPr>
        <w:t>Metrocable</w:t>
      </w:r>
      <w:r w:rsidRPr="0051709F">
        <w:rPr>
          <w:rFonts w:cstheme="minorHAnsi"/>
        </w:rPr>
        <w:t xml:space="preserve"> que conecta el centro urbano con las laderas de los barrios más desfavorecidos y la utilización de los entornos de las estaciones para la ubicación de usos deportivos o culturales es una muestra de integración. Estos nuevos espacios públicos, viviendas y equipamientos sociales que cualifican los entornos de sus estaciones, como el Parque Biblioteca España, muestran su éxito con una intensa participación ciudadana. </w:t>
      </w:r>
    </w:p>
    <w:p w14:paraId="0A2040D5" w14:textId="77777777" w:rsidR="00555AEB" w:rsidRPr="0051709F" w:rsidRDefault="00555AEB" w:rsidP="00555AEB">
      <w:pPr>
        <w:jc w:val="both"/>
        <w:rPr>
          <w:rFonts w:cstheme="minorHAnsi"/>
        </w:rPr>
      </w:pPr>
    </w:p>
    <w:p w14:paraId="1263E11B"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Enlazar (La Ciudad Activa está conectada) </w:t>
      </w:r>
    </w:p>
    <w:p w14:paraId="1CBF855A" w14:textId="77777777" w:rsidR="00555AEB" w:rsidRPr="0051709F" w:rsidRDefault="00555AEB" w:rsidP="00555AEB">
      <w:pPr>
        <w:rPr>
          <w:rFonts w:cstheme="minorHAnsi"/>
        </w:rPr>
      </w:pPr>
    </w:p>
    <w:p w14:paraId="7A6B9E8A" w14:textId="57D10C4B" w:rsidR="00555AEB" w:rsidRPr="0051709F" w:rsidRDefault="00555AEB" w:rsidP="00555AEB">
      <w:pPr>
        <w:jc w:val="both"/>
        <w:rPr>
          <w:rFonts w:cstheme="minorHAnsi"/>
          <w:i/>
          <w:iCs/>
        </w:rPr>
      </w:pPr>
      <w:r w:rsidRPr="0051709F">
        <w:rPr>
          <w:rFonts w:cstheme="minorHAnsi"/>
          <w:i/>
          <w:iCs/>
        </w:rPr>
        <w:t>La red urbana de la Ciudad Activa debe ser una malla que posibilite los desplazamientos alternativos, que permita la creación de circuitos, que, en definitiva, ofrezca múltiples maneras de ser recorrida con opciones variadas y libres. La Ciudad Activa rechaza los diagramas unidireccionales y propone una trama cone</w:t>
      </w:r>
      <w:r w:rsidR="00C728A2">
        <w:rPr>
          <w:rFonts w:cstheme="minorHAnsi"/>
          <w:i/>
          <w:iCs/>
        </w:rPr>
        <w:t>ctada</w:t>
      </w:r>
      <w:r w:rsidRPr="0051709F">
        <w:rPr>
          <w:rFonts w:cstheme="minorHAnsi"/>
          <w:i/>
          <w:iCs/>
        </w:rPr>
        <w:t xml:space="preserve"> en la que puede haber enlaces preferentes convertidos en nuevos y verdaderos “Corredores Saludables” </w:t>
      </w:r>
      <w:r w:rsidRPr="0051709F">
        <w:rPr>
          <w:rFonts w:cstheme="minorHAnsi"/>
          <w:i/>
          <w:iCs/>
        </w:rPr>
        <w:fldChar w:fldCharType="begin"/>
      </w:r>
      <w:r w:rsidRPr="0051709F">
        <w:rPr>
          <w:rFonts w:cstheme="minorHAnsi"/>
          <w:i/>
          <w:iCs/>
        </w:rPr>
        <w:instrText xml:space="preserve"> ADDIN ZOTERO_ITEM CSL_CITATION {"citationID":"DaQpqxNs","properties":{"formattedCitation":"(Hammerschmidt et al., 2016)","plainCitation":"(Hammerschmidt et al., 2016)","noteIndex":0},"citationItems":[{"id":452,"uris":["http://zotero.org/users/10547302/items/ZL7CCHCY"],"itemData":{"id":452,"type":"book","ISBN":"978-0-87420-393-6","publisher":"Urban Land Institute","title":"Building Healthy Corridors: Transforming Urban and Suburban Arterials Into Thriving Places","URL":"https://books.google.es/books?id=zmCJvgAACAAJ","author":[{"family":"Hammerschmidt","given":"S."},{"family":"Cohen","given":"A."},{"family":"Hayes","given":"G."},{"family":"Institute","given":"Urban Land"},{"family":"Leadership","given":"Rose Center for Public"},{"family":"National League of Cities","given":""}],"issued":{"date-parts":[["2016"]]}}}],"schema":"https://github.com/citation-style-language/schema/raw/master/csl-citation.json"} </w:instrText>
      </w:r>
      <w:r w:rsidRPr="0051709F">
        <w:rPr>
          <w:rFonts w:cstheme="minorHAnsi"/>
          <w:i/>
          <w:iCs/>
        </w:rPr>
        <w:fldChar w:fldCharType="separate"/>
      </w:r>
      <w:r w:rsidRPr="0051709F">
        <w:rPr>
          <w:rFonts w:cstheme="minorHAnsi"/>
          <w:i/>
          <w:iCs/>
        </w:rPr>
        <w:t>(Hammerschmidt et al., 2016)</w:t>
      </w:r>
      <w:r w:rsidRPr="0051709F">
        <w:rPr>
          <w:rFonts w:cstheme="minorHAnsi"/>
          <w:i/>
          <w:iCs/>
        </w:rPr>
        <w:fldChar w:fldCharType="end"/>
      </w:r>
      <w:r w:rsidRPr="0051709F">
        <w:rPr>
          <w:rFonts w:cstheme="minorHAnsi"/>
          <w:i/>
          <w:iCs/>
        </w:rPr>
        <w:t>.</w:t>
      </w:r>
    </w:p>
    <w:p w14:paraId="0DAE13F7" w14:textId="77777777" w:rsidR="00555AEB" w:rsidRPr="0051709F" w:rsidRDefault="00555AEB" w:rsidP="00555AEB">
      <w:pPr>
        <w:jc w:val="both"/>
        <w:rPr>
          <w:rFonts w:cstheme="minorHAnsi"/>
          <w:i/>
          <w:iCs/>
        </w:rPr>
      </w:pPr>
    </w:p>
    <w:p w14:paraId="6A4099B5" w14:textId="77777777" w:rsidR="00555AEB" w:rsidRPr="0051709F" w:rsidRDefault="00555AEB" w:rsidP="00555AEB">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busca reforzar la conectividad a través de diversas estrategias. Es el caso del reforzamiento de enlaces, que a veces requieren aperturas de nuevas vías; de la recuperación y el aprovechamiento de oportunidades que, hasta entonces, permanecían ocultas (o habían sido despreciadas); o la potenciación de ciertas calles que deben ejercer ese liderazgo para la movilidad alternativa, con una especial dedicación al movimiento peatonal.</w:t>
      </w:r>
    </w:p>
    <w:p w14:paraId="4B55B0AF" w14:textId="77777777" w:rsidR="00555AEB" w:rsidRPr="0051709F" w:rsidRDefault="00555AEB" w:rsidP="00555AEB">
      <w:pPr>
        <w:jc w:val="both"/>
        <w:rPr>
          <w:rFonts w:cstheme="minorHAnsi"/>
        </w:rPr>
      </w:pPr>
    </w:p>
    <w:p w14:paraId="3168140C" w14:textId="09D19123" w:rsidR="00555AEB" w:rsidRPr="0051709F" w:rsidRDefault="00555AEB" w:rsidP="00555AEB">
      <w:pPr>
        <w:jc w:val="both"/>
        <w:rPr>
          <w:rFonts w:cstheme="minorHAnsi"/>
        </w:rPr>
      </w:pPr>
      <w:r w:rsidRPr="0051709F">
        <w:rPr>
          <w:rFonts w:cstheme="minorHAnsi"/>
        </w:rPr>
        <w:t xml:space="preserve">Se trata de mirar la ciudad con ojos abiertos a nuevas posibilidades, como hizo el </w:t>
      </w:r>
      <w:r w:rsidRPr="0051709F">
        <w:rPr>
          <w:rFonts w:cstheme="minorHAnsi"/>
          <w:i/>
          <w:iCs/>
        </w:rPr>
        <w:t>High Line</w:t>
      </w:r>
      <w:r w:rsidRPr="0051709F">
        <w:rPr>
          <w:rFonts w:cstheme="minorHAnsi"/>
        </w:rPr>
        <w:t xml:space="preserve"> de Nueva York, como se está realizando en ciertas calles de Los </w:t>
      </w:r>
      <w:r w:rsidR="00C728A2" w:rsidRPr="0051709F">
        <w:rPr>
          <w:rFonts w:cstheme="minorHAnsi"/>
        </w:rPr>
        <w:t>Ángeles</w:t>
      </w:r>
      <w:r w:rsidRPr="0051709F">
        <w:rPr>
          <w:rFonts w:cstheme="minorHAnsi"/>
        </w:rPr>
        <w:t xml:space="preserve"> o como se ha hecho en Seúl con la recuperación del rio </w:t>
      </w:r>
      <w:proofErr w:type="spellStart"/>
      <w:r w:rsidRPr="0051709F">
        <w:rPr>
          <w:rFonts w:cstheme="minorHAnsi"/>
          <w:i/>
          <w:iCs/>
        </w:rPr>
        <w:t>Cheong</w:t>
      </w:r>
      <w:proofErr w:type="spellEnd"/>
      <w:r w:rsidRPr="0051709F">
        <w:rPr>
          <w:rFonts w:cstheme="minorHAnsi"/>
          <w:i/>
          <w:iCs/>
        </w:rPr>
        <w:t xml:space="preserve"> Gye </w:t>
      </w:r>
      <w:proofErr w:type="spellStart"/>
      <w:r w:rsidRPr="0051709F">
        <w:rPr>
          <w:rFonts w:cstheme="minorHAnsi"/>
          <w:i/>
          <w:iCs/>
        </w:rPr>
        <w:t>Cheon</w:t>
      </w:r>
      <w:proofErr w:type="spellEnd"/>
      <w:r w:rsidRPr="0051709F">
        <w:rPr>
          <w:rFonts w:cstheme="minorHAnsi"/>
        </w:rPr>
        <w:t xml:space="preserve">, que había desaparecido literalmente bajo las calzadas de autopistas degradando el </w:t>
      </w:r>
      <w:proofErr w:type="spellStart"/>
      <w:r w:rsidRPr="0051709F">
        <w:rPr>
          <w:rFonts w:cstheme="minorHAnsi"/>
          <w:i/>
          <w:iCs/>
        </w:rPr>
        <w:t>downtown</w:t>
      </w:r>
      <w:proofErr w:type="spellEnd"/>
      <w:r w:rsidRPr="0051709F">
        <w:rPr>
          <w:rFonts w:cstheme="minorHAnsi"/>
        </w:rPr>
        <w:t xml:space="preserve"> de la capital de Corea del Sur. Afortunadamente, el río fue recuperado en favor de la nueva conectividad peatonal y ciclista</w:t>
      </w:r>
      <w:r w:rsidR="00C728A2">
        <w:rPr>
          <w:rFonts w:cstheme="minorHAnsi"/>
        </w:rPr>
        <w:t>,</w:t>
      </w:r>
      <w:r w:rsidRPr="0051709F">
        <w:rPr>
          <w:rFonts w:cstheme="minorHAnsi"/>
        </w:rPr>
        <w:t xml:space="preserve"> creando un parque lineal que une los barrios centrales de Seúl y es un ejemplo muy exitoso de cosido de tramas inspirado en los principios de la </w:t>
      </w:r>
      <w:r w:rsidRPr="0051709F">
        <w:rPr>
          <w:rFonts w:cstheme="minorHAnsi"/>
          <w:i/>
          <w:iCs/>
        </w:rPr>
        <w:t>Ciudad Activa</w:t>
      </w:r>
      <w:r w:rsidRPr="0051709F">
        <w:rPr>
          <w:rFonts w:cstheme="minorHAnsi"/>
        </w:rPr>
        <w:t>. El nuevo parque lineal que une los barrios centrales de la capital surcoreana es un corredor verde y azul que estimula el paseo a pie favoreciendo la vida saludable en esa parte de la ciudad.</w:t>
      </w:r>
    </w:p>
    <w:p w14:paraId="00D5EE79" w14:textId="77777777" w:rsidR="00555AEB" w:rsidRPr="0051709F" w:rsidRDefault="00555AEB" w:rsidP="00555AEB">
      <w:pPr>
        <w:jc w:val="both"/>
        <w:rPr>
          <w:rFonts w:cstheme="minorHAnsi"/>
        </w:rPr>
      </w:pPr>
    </w:p>
    <w:p w14:paraId="2A2A50D4"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Estimular (La Ciudad Activa es caminable, alentadora y sociable) </w:t>
      </w:r>
    </w:p>
    <w:p w14:paraId="346BA9B0" w14:textId="77777777" w:rsidR="00555AEB" w:rsidRPr="0051709F" w:rsidRDefault="00555AEB" w:rsidP="00555AEB">
      <w:pPr>
        <w:rPr>
          <w:rFonts w:cstheme="minorHAnsi"/>
        </w:rPr>
      </w:pPr>
    </w:p>
    <w:p w14:paraId="21598DA8" w14:textId="47B990CE" w:rsidR="00555AEB" w:rsidRPr="0051709F" w:rsidRDefault="00555AEB" w:rsidP="00555AEB">
      <w:pPr>
        <w:jc w:val="both"/>
        <w:rPr>
          <w:rFonts w:cstheme="minorHAnsi"/>
          <w:i/>
          <w:iCs/>
        </w:rPr>
      </w:pPr>
      <w:r w:rsidRPr="0051709F">
        <w:rPr>
          <w:rFonts w:cstheme="minorHAnsi"/>
          <w:i/>
          <w:iCs/>
        </w:rPr>
        <w:t xml:space="preserve">La Ciudad Activa pretende vivificar los espacios urbanos, es decir, animarlos incorporando estímulos para atraer a los ciudadanos a recorrerlos. El resultado esperado es </w:t>
      </w:r>
      <w:r w:rsidR="000E714A">
        <w:rPr>
          <w:rFonts w:cstheme="minorHAnsi"/>
          <w:i/>
          <w:iCs/>
        </w:rPr>
        <w:t>una ciudad más caminable</w:t>
      </w:r>
      <w:r w:rsidRPr="0051709F">
        <w:rPr>
          <w:rFonts w:cstheme="minorHAnsi"/>
          <w:i/>
          <w:iCs/>
        </w:rPr>
        <w:t xml:space="preserve"> que supone el inicio de un proceso que se retroalimenta porque las personas son el mejor reclamo para las personas. </w:t>
      </w:r>
    </w:p>
    <w:p w14:paraId="039C3785" w14:textId="77777777" w:rsidR="00555AEB" w:rsidRPr="0051709F" w:rsidRDefault="00555AEB" w:rsidP="00555AEB">
      <w:pPr>
        <w:jc w:val="both"/>
        <w:rPr>
          <w:rFonts w:cstheme="minorHAnsi"/>
          <w:i/>
          <w:iCs/>
        </w:rPr>
      </w:pPr>
    </w:p>
    <w:p w14:paraId="1B0A9E1B" w14:textId="34F5054E" w:rsidR="00555AEB" w:rsidRPr="0051709F" w:rsidRDefault="00555AEB" w:rsidP="00555AEB">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aspira a vivificar los espacios urbanos a través de la presencia de ciudadanos para lo que hay que aportar estímulos para atraerlos. Esta vuelta al espacio público consiste en la incitación a andar, a pasear, en definitiva, a recorrer la ciudad a pie y para expresar todo ello está el concepto de </w:t>
      </w:r>
      <w:r w:rsidRPr="0051709F">
        <w:rPr>
          <w:rFonts w:cstheme="minorHAnsi"/>
          <w:i/>
          <w:iCs/>
        </w:rPr>
        <w:t>caminab</w:t>
      </w:r>
      <w:r w:rsidR="000E714A">
        <w:rPr>
          <w:rFonts w:cstheme="minorHAnsi"/>
          <w:i/>
          <w:iCs/>
        </w:rPr>
        <w:t>le</w:t>
      </w:r>
      <w:r w:rsidRPr="0051709F">
        <w:rPr>
          <w:rFonts w:cstheme="minorHAnsi"/>
          <w:i/>
          <w:iCs/>
        </w:rPr>
        <w:t xml:space="preserve"> </w:t>
      </w:r>
      <w:r w:rsidRPr="0051709F">
        <w:rPr>
          <w:rFonts w:cstheme="minorHAnsi"/>
          <w:i/>
          <w:iCs/>
        </w:rPr>
        <w:fldChar w:fldCharType="begin"/>
      </w:r>
      <w:r w:rsidRPr="0051709F">
        <w:rPr>
          <w:rFonts w:cstheme="minorHAnsi"/>
          <w:i/>
          <w:iCs/>
        </w:rPr>
        <w:instrText xml:space="preserve"> ADDIN ZOTERO_ITEM CSL_CITATION {"citationID":"3HKlIRab","properties":{"formattedCitation":"(Zuniga-Teran et al., 2017)","plainCitation":"(Zuniga-Teran et al., 2017)","noteIndex":0},"citationItems":[{"id":328,"uris":["http://zotero.org/users/10547302/items/BZZNBB7K"],"itemData":{"id":328,"type":"article-journal","abstract":"Research from multiple domains has provided insights into how neighborhood design can be improved to have a more favorable effect on physical activity, a concept known as walkability. The relevant research findings/hypotheses have been integrated into a Walkability Framework, which organizes the design elements into nine walkability categories. The purpose of this study was to test whether this conceptual framework can be used as a model to measure the interactions between the built environment and physical activity. We explored correlations between the walkability categories and physical activity reported through a survey of residents of Tucson, Arizona (n=486). The results include significant correlations between the walkability categories and physical activity as well as between the walkability categories and the two motivations for walking (recreation and transportation). To our knowledge, this is the first study that reports links between walkability and walking for recreation. Additionally, the use of the Walkability Framework allowed us to identify the walkability categories most strongly correlated with the two motivations for walking. The results of this study support the use of the Walkability Framework as a model to measure the built environment in relation to its ability to promote physical activity.","container-title":"Frontiers of Architectural Research","DOI":"10.1016/j.foar.2016.11.005","ISSN":"2095-2635","issue":"1","journalAbbreviation":"Frontiers of Architectural Research","language":"En","page":"63-73","source":"ScienceDirect","title":"Designing healthy communities: Testing the walkability model","title-short":"Designing healthy communities","volume":"6","author":[{"family":"Zuniga-Teran","given":"Adriana A."},{"family":"Orr","given":"Barron J."},{"family":"Gimblett","given":"Randy H."},{"family":"Chalfoun","given":"Nader V."},{"family":"Marsh","given":"Stuart E."},{"family":"Guertin","given":"David P."},{"family":"Going","given":"Scott B."}],"issued":{"date-parts":[["2017",3,1]]}}}],"schema":"https://github.com/citation-style-language/schema/raw/master/csl-citation.json"} </w:instrText>
      </w:r>
      <w:r w:rsidRPr="0051709F">
        <w:rPr>
          <w:rFonts w:cstheme="minorHAnsi"/>
          <w:i/>
          <w:iCs/>
        </w:rPr>
        <w:fldChar w:fldCharType="separate"/>
      </w:r>
      <w:r w:rsidRPr="0051709F">
        <w:rPr>
          <w:rFonts w:cstheme="minorHAnsi"/>
        </w:rPr>
        <w:t>(Zuniga-Teran et al., 2017)</w:t>
      </w:r>
      <w:r w:rsidRPr="0051709F">
        <w:rPr>
          <w:rFonts w:cstheme="minorHAnsi"/>
          <w:i/>
          <w:iCs/>
        </w:rPr>
        <w:fldChar w:fldCharType="end"/>
      </w:r>
      <w:r w:rsidRPr="0051709F">
        <w:rPr>
          <w:rFonts w:cstheme="minorHAnsi"/>
        </w:rPr>
        <w:t xml:space="preserve">. Caminar ofrece una notable gama de beneficios que atañen a la movilidad, a la economía, a la salud o a la interacción social </w:t>
      </w:r>
      <w:r w:rsidRPr="0051709F">
        <w:rPr>
          <w:rFonts w:cstheme="minorHAnsi"/>
        </w:rPr>
        <w:fldChar w:fldCharType="begin"/>
      </w:r>
      <w:r w:rsidRPr="0051709F">
        <w:rPr>
          <w:rFonts w:cstheme="minorHAnsi"/>
        </w:rPr>
        <w:instrText xml:space="preserve"> ADDIN ZOTERO_ITEM CSL_CITATION {"citationID":"oguWl7iG","properties":{"formattedCitation":"(Litman, 2007)","plainCitation":"(Litman, 2007)","noteIndex":0},"citationItems":[{"id":159,"uris":["http://zotero.org/users/10547302/items/EDFRVHX8"],"itemData":{"id":159,"type":"article-journal","abstract":"This paper discusses the selection of indicators for comprehensive and sustainable transportation planning. It discusses the concept of sustainability and the role of indicators in planning, describes factors to consider in selecting indicators, identifies potential problems with conventional indicators, describes examples of indicators, and provides recommendations for selecting indicators for use in a particular situation.","container-title":"Transportation Research Record","DOI":"10.3141/2017-02","ISSN":"0361-1981","issue":"1","language":"En","note":"publisher: SAGE Publications Inc","page":"10-15","source":"SAGE Journals","title":"Developing Indicators for Comprehensive and Sustainable Transport Planning","volume":"2017","author":[{"family":"Litman","given":"Todd"}],"issued":{"date-parts":[["2007",1,1]]}}}],"schema":"https://github.com/citation-style-language/schema/raw/master/csl-citation.json"} </w:instrText>
      </w:r>
      <w:r w:rsidRPr="0051709F">
        <w:rPr>
          <w:rFonts w:cstheme="minorHAnsi"/>
        </w:rPr>
        <w:fldChar w:fldCharType="separate"/>
      </w:r>
      <w:r w:rsidRPr="0051709F">
        <w:rPr>
          <w:rFonts w:cstheme="minorHAnsi"/>
        </w:rPr>
        <w:t>(Litman, 2007)</w:t>
      </w:r>
      <w:r w:rsidRPr="0051709F">
        <w:rPr>
          <w:rFonts w:cstheme="minorHAnsi"/>
        </w:rPr>
        <w:fldChar w:fldCharType="end"/>
      </w:r>
      <w:r w:rsidRPr="0051709F">
        <w:rPr>
          <w:rFonts w:cstheme="minorHAnsi"/>
        </w:rPr>
        <w:t>.</w:t>
      </w:r>
    </w:p>
    <w:p w14:paraId="01603729" w14:textId="77777777" w:rsidR="00555AEB" w:rsidRPr="0051709F" w:rsidRDefault="00555AEB" w:rsidP="00555AEB">
      <w:pPr>
        <w:jc w:val="both"/>
        <w:rPr>
          <w:rFonts w:cstheme="minorHAnsi"/>
        </w:rPr>
      </w:pPr>
    </w:p>
    <w:p w14:paraId="6330C458" w14:textId="77777777" w:rsidR="00555AEB" w:rsidRPr="0051709F" w:rsidRDefault="00555AEB" w:rsidP="00555AEB">
      <w:pPr>
        <w:jc w:val="both"/>
        <w:rPr>
          <w:rFonts w:cstheme="minorHAnsi"/>
        </w:rPr>
      </w:pPr>
      <w:r w:rsidRPr="0051709F">
        <w:rPr>
          <w:rFonts w:cstheme="minorHAnsi"/>
        </w:rPr>
        <w:t xml:space="preserve">Durante muchos años, la peatonalización ha sido el emblema de la </w:t>
      </w:r>
      <w:r w:rsidRPr="0051709F">
        <w:rPr>
          <w:rFonts w:cstheme="minorHAnsi"/>
          <w:i/>
          <w:iCs/>
        </w:rPr>
        <w:t>recuperación</w:t>
      </w:r>
      <w:r w:rsidRPr="0051709F">
        <w:rPr>
          <w:rFonts w:cstheme="minorHAnsi"/>
        </w:rPr>
        <w:t xml:space="preserve"> de la ciudad para los ciudadanos, tal como comenzó a defender hace ya décadas un innovador Jan </w:t>
      </w:r>
      <w:proofErr w:type="spellStart"/>
      <w:r w:rsidRPr="0051709F">
        <w:rPr>
          <w:rFonts w:cstheme="minorHAnsi"/>
        </w:rPr>
        <w:t>Gehl</w:t>
      </w:r>
      <w:proofErr w:type="spellEnd"/>
      <w:r w:rsidRPr="0051709F">
        <w:rPr>
          <w:rFonts w:cstheme="minorHAnsi"/>
        </w:rPr>
        <w:t xml:space="preserve"> en Copenhague. En esa misma línea, es destacable Buenos Aires </w:t>
      </w:r>
      <w:r w:rsidRPr="0051709F">
        <w:rPr>
          <w:rFonts w:cstheme="minorHAnsi"/>
        </w:rPr>
        <w:fldChar w:fldCharType="begin"/>
      </w:r>
      <w:r w:rsidRPr="0051709F">
        <w:rPr>
          <w:rFonts w:cstheme="minorHAnsi"/>
        </w:rPr>
        <w:instrText xml:space="preserve"> ADDIN ZOTERO_ITEM CSL_CITATION {"citationID":"D8RIIjAw","properties":{"formattedCitation":"(\\uc0\\u193{}lvarez de Celis et al., 2014)","plainCitation":"(Álvarez de Celis et al., 2014)","noteIndex":0},"citationItems":[{"id":565,"uris":["http://zotero.org/users/10547302/items/74R4CJ2S"],"itemData":{"id":565,"type":"document","abstract":"El Modelo Territorial define un planteo conceptual y metodológico para el desarrollo urbano racional con soporte científico. Los lineamientos para la Ciudad Deseada deben su localización a las propuestas territoriales acordes con las transformaciones que son requeridas, según el análisis de los indicadores de sustentabilidad urbana. A continuación los informes","language":"Es","publisher":"Secretaría de Planeamiento. Ministerio de Desarrollo Urbano. Gobierno de la Ciudad Autónoma de Buenos Aires.","title":"Índice de Caminabilidad. Metodología.","URL":"https://www.buenosaires.gob.ar/planeamiento/publicaciones/indicadores","author":[{"family":"Álvarez de Celis","given":"Fernando"},{"family":"Álvarez Insúa","given":"Julián"},{"family":"Eguía","given":"Susana"},{"family":"Persico","given":"María Emilia"},{"family":"Belacín","given":"Sol"},{"family":"Trípoli","given":""}],"accessed":{"date-parts":[["2023",1,18]]},"issued":{"date-parts":[["2014"]]}}}],"schema":"https://github.com/citation-style-language/schema/raw/master/csl-citation.json"} </w:instrText>
      </w:r>
      <w:r w:rsidRPr="0051709F">
        <w:rPr>
          <w:rFonts w:cstheme="minorHAnsi"/>
        </w:rPr>
        <w:fldChar w:fldCharType="separate"/>
      </w:r>
      <w:r w:rsidRPr="0051709F">
        <w:rPr>
          <w:rFonts w:cstheme="minorHAnsi"/>
        </w:rPr>
        <w:t>(Álvarez de Celis et al., 2014)</w:t>
      </w:r>
      <w:r w:rsidRPr="0051709F">
        <w:rPr>
          <w:rFonts w:cstheme="minorHAnsi"/>
        </w:rPr>
        <w:fldChar w:fldCharType="end"/>
      </w:r>
      <w:r w:rsidRPr="0051709F">
        <w:rPr>
          <w:rFonts w:cstheme="minorHAnsi"/>
        </w:rPr>
        <w:t>, una ciudad comprometida que está implementando diversos planes para recuperar el centro histórico como un espacio de dominancia peatonal. No obstante, los planes se extienden por toda la ciudad, animando a los bonaerenses a desplazarse a pie dentro de su entorno próximo. Se están rediseñando cruces viarios proporcionando más espacio a los peatones y también ampliando aceras y espacios para el paseo, a veces con soluciones de bajo coste, pero de mucha efectividad.</w:t>
      </w:r>
    </w:p>
    <w:p w14:paraId="56B39406" w14:textId="77777777" w:rsidR="00374DB3" w:rsidRDefault="00374DB3" w:rsidP="00F536A2">
      <w:pPr>
        <w:pStyle w:val="Ttulo3"/>
        <w:numPr>
          <w:ilvl w:val="0"/>
          <w:numId w:val="0"/>
        </w:numPr>
        <w:ind w:left="720" w:hanging="720"/>
        <w:jc w:val="both"/>
        <w:rPr>
          <w:rFonts w:asciiTheme="minorHAnsi" w:hAnsiTheme="minorHAnsi" w:cstheme="minorHAnsi"/>
          <w:lang w:val="es-ES"/>
        </w:rPr>
      </w:pPr>
    </w:p>
    <w:p w14:paraId="73F2C1E2" w14:textId="22133A62"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Priorizar (La Ciudad Activa antepone el transporte público) </w:t>
      </w:r>
    </w:p>
    <w:p w14:paraId="4304FFF3" w14:textId="77777777" w:rsidR="00555AEB" w:rsidRPr="0051709F" w:rsidRDefault="00555AEB" w:rsidP="00555AEB">
      <w:pPr>
        <w:rPr>
          <w:rFonts w:cstheme="minorHAnsi"/>
        </w:rPr>
      </w:pPr>
    </w:p>
    <w:p w14:paraId="31DBE911" w14:textId="77777777" w:rsidR="00555AEB" w:rsidRPr="0051709F" w:rsidRDefault="00555AEB" w:rsidP="00555AEB">
      <w:pPr>
        <w:jc w:val="both"/>
        <w:rPr>
          <w:rFonts w:cstheme="minorHAnsi"/>
          <w:i/>
          <w:iCs/>
        </w:rPr>
      </w:pPr>
      <w:r w:rsidRPr="0051709F">
        <w:rPr>
          <w:rFonts w:cstheme="minorHAnsi"/>
          <w:i/>
          <w:iCs/>
        </w:rPr>
        <w:t>Priorizar es anteponer lo que se considera más conveniente. Por eso, la Ciudad Activa aspira a incrementar la importancia del transporte público en la ciudad. El movimiento colectivo proporciona sostenibilidad, eficacia y economía, criterios básicos que se ven complementados con la realización de cierto ejercicio físico en el recorrido para acceder a él.</w:t>
      </w:r>
    </w:p>
    <w:p w14:paraId="5C88F835" w14:textId="77777777" w:rsidR="00555AEB" w:rsidRPr="0051709F" w:rsidRDefault="00555AEB" w:rsidP="00555AEB">
      <w:pPr>
        <w:jc w:val="both"/>
        <w:rPr>
          <w:rFonts w:cstheme="minorHAnsi"/>
          <w:i/>
          <w:iCs/>
        </w:rPr>
      </w:pPr>
    </w:p>
    <w:p w14:paraId="0DA6EA97" w14:textId="77777777" w:rsidR="00555AEB" w:rsidRPr="0051709F" w:rsidRDefault="00555AEB" w:rsidP="00555AEB">
      <w:pPr>
        <w:jc w:val="both"/>
        <w:rPr>
          <w:rFonts w:cstheme="minorHAnsi"/>
        </w:rPr>
      </w:pPr>
      <w:r w:rsidRPr="0051709F">
        <w:rPr>
          <w:rFonts w:cstheme="minorHAnsi"/>
          <w:color w:val="000000" w:themeColor="text1"/>
        </w:rPr>
        <w:t xml:space="preserve">La movilidad activa trata de reducir el uso del automóvil privado y fomentar los transportes públicos y los no motorizados. </w:t>
      </w:r>
      <w:r w:rsidRPr="0051709F">
        <w:rPr>
          <w:rFonts w:cstheme="minorHAnsi"/>
        </w:rPr>
        <w:t xml:space="preserve">Evidentemente, la base ineludible para la potenciación del transporte público es garantizar su eficacia y eficiencia. Los usuarios </w:t>
      </w:r>
      <w:r w:rsidRPr="0051709F">
        <w:rPr>
          <w:rFonts w:cstheme="minorHAnsi"/>
        </w:rPr>
        <w:lastRenderedPageBreak/>
        <w:t>exigen además otras cuestiones complementarias como comodidad, limpieza o seguridad. Además de esas propuestas de mejora del servicio de transporte público, para hacerlo más atractivo, se están poniendo en marcha otro tipo de acciones sobre la demanda del servicio. Son las estrategias conocidas como TDM (</w:t>
      </w:r>
      <w:proofErr w:type="spellStart"/>
      <w:r w:rsidRPr="0051709F">
        <w:rPr>
          <w:rFonts w:cstheme="minorHAnsi"/>
          <w:i/>
          <w:iCs/>
        </w:rPr>
        <w:t>Transportation</w:t>
      </w:r>
      <w:proofErr w:type="spellEnd"/>
      <w:r w:rsidRPr="0051709F">
        <w:rPr>
          <w:rFonts w:cstheme="minorHAnsi"/>
          <w:i/>
          <w:iCs/>
        </w:rPr>
        <w:t xml:space="preserve"> </w:t>
      </w:r>
      <w:proofErr w:type="spellStart"/>
      <w:r w:rsidRPr="0051709F">
        <w:rPr>
          <w:rFonts w:cstheme="minorHAnsi"/>
          <w:i/>
          <w:iCs/>
        </w:rPr>
        <w:t>Demand</w:t>
      </w:r>
      <w:proofErr w:type="spellEnd"/>
      <w:r w:rsidRPr="0051709F">
        <w:rPr>
          <w:rFonts w:cstheme="minorHAnsi"/>
          <w:i/>
          <w:iCs/>
        </w:rPr>
        <w:t xml:space="preserve"> Management</w:t>
      </w:r>
      <w:r w:rsidRPr="0051709F">
        <w:rPr>
          <w:rFonts w:cstheme="minorHAnsi"/>
        </w:rPr>
        <w:t>).</w:t>
      </w:r>
    </w:p>
    <w:p w14:paraId="57825475" w14:textId="77777777" w:rsidR="00555AEB" w:rsidRPr="0051709F" w:rsidRDefault="00555AEB" w:rsidP="00555AEB">
      <w:pPr>
        <w:jc w:val="both"/>
        <w:rPr>
          <w:rFonts w:cstheme="minorHAnsi"/>
          <w:color w:val="000000" w:themeColor="text1"/>
        </w:rPr>
      </w:pPr>
    </w:p>
    <w:p w14:paraId="3DEEEFC9" w14:textId="36D94C57" w:rsidR="00555AEB" w:rsidRPr="0051709F" w:rsidRDefault="00555AEB" w:rsidP="00555AEB">
      <w:pPr>
        <w:jc w:val="both"/>
        <w:rPr>
          <w:rFonts w:cstheme="minorHAnsi"/>
        </w:rPr>
      </w:pPr>
      <w:r w:rsidRPr="0051709F">
        <w:rPr>
          <w:rFonts w:cstheme="minorHAnsi"/>
        </w:rPr>
        <w:t xml:space="preserve">Son muchas las ciudades que tienen estrategias dirigidas a conseguir este propósito, pero el caso de </w:t>
      </w:r>
      <w:r w:rsidRPr="0051709F">
        <w:rPr>
          <w:rFonts w:cstheme="minorHAnsi"/>
          <w:bCs/>
        </w:rPr>
        <w:t>Singapur es especialmente</w:t>
      </w:r>
      <w:r w:rsidRPr="0051709F">
        <w:rPr>
          <w:rFonts w:cstheme="minorHAnsi"/>
        </w:rPr>
        <w:t xml:space="preserve"> relevante </w:t>
      </w:r>
      <w:r w:rsidRPr="0051709F">
        <w:rPr>
          <w:rFonts w:cstheme="minorHAnsi"/>
        </w:rPr>
        <w:fldChar w:fldCharType="begin"/>
      </w:r>
      <w:r w:rsidRPr="0051709F">
        <w:rPr>
          <w:rFonts w:cstheme="minorHAnsi"/>
        </w:rPr>
        <w:instrText xml:space="preserve"> ADDIN ZOTERO_ITEM CSL_CITATION {"citationID":"pcS2k5rj","properties":{"formattedCitation":"(Centre for Liveable Cities, Singapore &amp; Urban Land Institute, 2014)","plainCitation":"(Centre for Liveable Cities, Singapore &amp; Urban Land Institute, 2014)","noteIndex":0},"citationItems":[{"id":664,"uris":["http://zotero.org/users/10547302/items/DRKXW69W"],"itemData":{"id":664,"type":"book","event-place":"Singapore","ISBN":"978-981-09-2479-9","language":"En","publisher":"Centre for Liveable Cities; Urban Land Institute","publisher-place":"Singapore","title":"Creating Healthy Places through Active Mobility","URL":"https://www.clc.gov.sg/docs/default-source/books/active-mobility.pdf","editor":[{"literal":"Centre for Liveable Cities, Singapore"},{"literal":"Urban Land Institute"}],"issued":{"date-parts":[["2014"]]}}}],"schema":"https://github.com/citation-style-language/schema/raw/master/csl-citation.json"} </w:instrText>
      </w:r>
      <w:r w:rsidRPr="0051709F">
        <w:rPr>
          <w:rFonts w:cstheme="minorHAnsi"/>
        </w:rPr>
        <w:fldChar w:fldCharType="separate"/>
      </w:r>
      <w:r w:rsidRPr="0051709F">
        <w:rPr>
          <w:rFonts w:cstheme="minorHAnsi"/>
        </w:rPr>
        <w:t>(Centre for Liveable Cities, Singapore &amp; Urban Land Institute, 2014)</w:t>
      </w:r>
      <w:r w:rsidRPr="0051709F">
        <w:rPr>
          <w:rFonts w:cstheme="minorHAnsi"/>
        </w:rPr>
        <w:fldChar w:fldCharType="end"/>
      </w:r>
      <w:r w:rsidRPr="0051709F">
        <w:rPr>
          <w:rFonts w:cstheme="minorHAnsi"/>
        </w:rPr>
        <w:t>. La pequeña y particular ciudad-estado es una abrupta isla que está haciendo de la necesidad</w:t>
      </w:r>
      <w:r w:rsidR="00FC4EDB">
        <w:rPr>
          <w:rFonts w:cstheme="minorHAnsi"/>
        </w:rPr>
        <w:t xml:space="preserve"> </w:t>
      </w:r>
      <w:r w:rsidRPr="0051709F">
        <w:rPr>
          <w:rFonts w:cstheme="minorHAnsi"/>
        </w:rPr>
        <w:t>virtud, convirtiéndose en un ejemplo internacional sobre la integración del transporte público en la vida urbana. Lo está consiguiendo mediante una red que sirve a todo el territorio, disponiendo de sofisticados sistemas de gestión e información y complementándola con espectaculares estaciones, intercambiadores modales y sistemas de aparcamiento.</w:t>
      </w:r>
    </w:p>
    <w:p w14:paraId="1271BF59" w14:textId="77777777" w:rsidR="00555AEB" w:rsidRPr="0051709F" w:rsidRDefault="00555AEB" w:rsidP="00555AEB">
      <w:pPr>
        <w:jc w:val="both"/>
        <w:rPr>
          <w:rFonts w:cstheme="minorHAnsi"/>
        </w:rPr>
      </w:pPr>
    </w:p>
    <w:p w14:paraId="30C67E31"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Modular (La Ciudad Activa modula el tráfico rodado según los casos) </w:t>
      </w:r>
    </w:p>
    <w:p w14:paraId="49E3F4DE" w14:textId="77777777" w:rsidR="00555AEB" w:rsidRPr="0051709F" w:rsidRDefault="00555AEB" w:rsidP="00555AEB">
      <w:pPr>
        <w:rPr>
          <w:rFonts w:cstheme="minorHAnsi"/>
        </w:rPr>
      </w:pPr>
    </w:p>
    <w:p w14:paraId="4935C509" w14:textId="77777777" w:rsidR="00555AEB" w:rsidRPr="0051709F" w:rsidRDefault="00555AEB" w:rsidP="00555AEB">
      <w:pPr>
        <w:jc w:val="both"/>
        <w:rPr>
          <w:rFonts w:cstheme="minorHAnsi"/>
          <w:i/>
          <w:iCs/>
        </w:rPr>
      </w:pPr>
      <w:r w:rsidRPr="0051709F">
        <w:rPr>
          <w:rFonts w:cstheme="minorHAnsi"/>
          <w:i/>
          <w:iCs/>
        </w:rPr>
        <w:t xml:space="preserve">Modular es establecer grados de una manera lo más armoniosa posible. La música lo muestra como el paso armonioso, suave y gradual en la composición. La Ciudad Activa quiere que graduar la intensidad de la relación entre tráficos regulando las presencias en función de nuevos criterios, como el calmado del tráfico privado de vehículos </w:t>
      </w:r>
      <w:r w:rsidRPr="0051709F">
        <w:rPr>
          <w:rFonts w:cstheme="minorHAnsi"/>
          <w:i/>
          <w:iCs/>
        </w:rPr>
        <w:fldChar w:fldCharType="begin"/>
      </w:r>
      <w:r w:rsidRPr="0051709F">
        <w:rPr>
          <w:rFonts w:cstheme="minorHAnsi"/>
          <w:i/>
          <w:iCs/>
        </w:rPr>
        <w:instrText xml:space="preserve"> ADDIN ZOTERO_ITEM CSL_CITATION {"citationID":"nm31DUoj","properties":{"formattedCitation":"(Un-Habitat, 2013)","plainCitation":"(Un-Habitat, 2013)","noteIndex":0},"citationItems":[{"id":454,"uris":["http://zotero.org/users/10547302/items/89R9DB65"],"itemData":{"id":454,"type":"book","abstract":"Urban transport systems worldwide are faced by a multitude of challenges. Among the most visible of these are the traffic gridlocks experienced on city roads and highways all over the world. The prescribed solution to transport problems in most cities has thus been to build more infrastructures for cars, with a limited number of cities improving public transport systems in a sustainable manner. However, a number of challenges faced by urban transport systems – such as greenhouse gas emissions, noise and air pollution and road traffic accidents – do not necessarily get solved by the construction of new infrastructure. Planning and Design for Sustainable Urban Mobility argues that the development of sustainable urban transport systems requires a conceptual leap. The purpose of ‘transportation’ and ‘mobility’ is to gain access to destinations, activities, services and goods. Thus, access is the ultimate objective of transportation. As a result, urban planning and design should focus on how to bring people and places together, by creating cities that focus on accessibility, rather than simply increasing the length of urban transport infrastructure or increasing the movement of people or goods. Urban form and the functionality of the city are therefore a major focus of this report, which highlights the importance of integrated land-use and transport planning. This new report of the United Nations Human Settlements Programme (UN-Habitat), the world’s leading authority on urban issues, provides some thought-provoking insights and policy recommendations on how to plan and design sustainable urban mobility systems. The Global Report on Human Settlements is the most authoritative and up-to-date global assessment of human settlements conditions and trends. Preceding issues of the report have addressed such topics as Cities in a Globalizing World, The Challenge of Slums, Financing Urban Shelter, Enhancing Urban Safety and Security, Planning Sustainable Cities and Cities and Climate Change.","event-place":"New York","ISBN":"978-1-317-93287-1","language":"En","note":"Google-Books-ID: nWTfAQAAQBAJ","number-of-pages":"344","publisher":"Routledge","publisher-place":"New York","title":"Planning and Design for Sustainable Urban Mobility: Global Report on Human Settlements 2013","title-short":"Planning and Design for Sustainable Urban Mobility","URL":"https://unhabitat.org/sites/default/files/download-manager-files/Planning%20and%20Design%20for%20Sustainable%20Urban%20Mobility.pdf","author":[{"family":"Un-Habitat","given":""}],"issued":{"date-parts":[["2013",10,30]]}}}],"schema":"https://github.com/citation-style-language/schema/raw/master/csl-citation.json"} </w:instrText>
      </w:r>
      <w:r w:rsidRPr="0051709F">
        <w:rPr>
          <w:rFonts w:cstheme="minorHAnsi"/>
          <w:i/>
          <w:iCs/>
        </w:rPr>
        <w:fldChar w:fldCharType="separate"/>
      </w:r>
      <w:r w:rsidRPr="0051709F">
        <w:rPr>
          <w:rFonts w:cstheme="minorHAnsi"/>
          <w:i/>
          <w:iCs/>
        </w:rPr>
        <w:t>(Un-Habitat, 2013)</w:t>
      </w:r>
      <w:r w:rsidRPr="0051709F">
        <w:rPr>
          <w:rFonts w:cstheme="minorHAnsi"/>
          <w:i/>
          <w:iCs/>
        </w:rPr>
        <w:fldChar w:fldCharType="end"/>
      </w:r>
      <w:r w:rsidRPr="0051709F">
        <w:rPr>
          <w:rFonts w:cstheme="minorHAnsi"/>
          <w:i/>
          <w:iCs/>
        </w:rPr>
        <w:t xml:space="preserve">. </w:t>
      </w:r>
    </w:p>
    <w:p w14:paraId="2ED4C2B0" w14:textId="77777777" w:rsidR="00555AEB" w:rsidRPr="0051709F" w:rsidRDefault="00555AEB" w:rsidP="00555AEB">
      <w:pPr>
        <w:jc w:val="both"/>
        <w:rPr>
          <w:rFonts w:cstheme="minorHAnsi"/>
          <w:i/>
          <w:iCs/>
        </w:rPr>
      </w:pPr>
    </w:p>
    <w:p w14:paraId="333D9A4D" w14:textId="4D3CA799" w:rsidR="00555AEB" w:rsidRPr="0051709F" w:rsidRDefault="00555AEB" w:rsidP="00555AEB">
      <w:pPr>
        <w:jc w:val="both"/>
        <w:rPr>
          <w:rFonts w:cstheme="minorHAnsi"/>
        </w:rPr>
      </w:pPr>
      <w:r w:rsidRPr="0051709F">
        <w:rPr>
          <w:rFonts w:cstheme="minorHAnsi"/>
        </w:rPr>
        <w:t xml:space="preserve">El objetivo de reducir el tráfico privado en las ciudades ha activado “políticas de oferta” que buscan aprovechar al máximo las infraestructuras existentes (por ejemplo, habilitando carriles específicos para el transporte colectivo disminuyendo el espacio destinado al vehículo privado) o “políticas de demanda” que tratan de incentivar determinadas conductas y de penalizar las inadecuadas (como el cobro de peaje urbano, </w:t>
      </w:r>
      <w:proofErr w:type="spellStart"/>
      <w:r w:rsidRPr="0051709F">
        <w:rPr>
          <w:rFonts w:cstheme="minorHAnsi"/>
          <w:i/>
          <w:iCs/>
        </w:rPr>
        <w:t>road-pricing</w:t>
      </w:r>
      <w:proofErr w:type="spellEnd"/>
      <w:r w:rsidRPr="0051709F">
        <w:rPr>
          <w:rFonts w:cstheme="minorHAnsi"/>
        </w:rPr>
        <w:t xml:space="preserve">, para acceder a determinadas zonas centrales y en función del horario). Con todo, se está consiguiendo un incremento de lugares estanciales y nuevos usos en el espacio público. Además, se está favoreciendo la integración de las nuevas redes de autobuses y ciclistas, fomentando los desplazamientos en bicicleta y a pie, mejorando, además, la distribución de mercancías. Complementariamente, </w:t>
      </w:r>
      <w:r w:rsidR="00FC4EDB">
        <w:rPr>
          <w:rFonts w:cstheme="minorHAnsi"/>
        </w:rPr>
        <w:t xml:space="preserve">destaca </w:t>
      </w:r>
      <w:r w:rsidRPr="0051709F">
        <w:rPr>
          <w:rFonts w:cstheme="minorHAnsi"/>
        </w:rPr>
        <w:t>la reducción de ruidos y emisiones contaminantes.</w:t>
      </w:r>
    </w:p>
    <w:p w14:paraId="5D5556EF" w14:textId="77777777" w:rsidR="00555AEB" w:rsidRPr="0051709F" w:rsidRDefault="00555AEB" w:rsidP="00555AEB">
      <w:pPr>
        <w:jc w:val="both"/>
        <w:rPr>
          <w:rFonts w:cstheme="minorHAnsi"/>
        </w:rPr>
      </w:pPr>
    </w:p>
    <w:p w14:paraId="2DF4FC4C" w14:textId="77777777" w:rsidR="00555AEB" w:rsidRPr="0051709F" w:rsidRDefault="00555AEB" w:rsidP="00555AEB">
      <w:pPr>
        <w:jc w:val="both"/>
        <w:rPr>
          <w:rFonts w:cstheme="minorHAnsi"/>
        </w:rPr>
      </w:pPr>
      <w:r w:rsidRPr="0051709F">
        <w:rPr>
          <w:rFonts w:cstheme="minorHAnsi"/>
        </w:rPr>
        <w:t xml:space="preserve">Son muchas las grandes ciudades que están abordando importantes medidas en esta línea. Urbes tan dinámicas económicamente como Singapur o Londres avanzan en esta línea que también sigue Barcelona con un caso particular de gran interés: la </w:t>
      </w:r>
      <w:proofErr w:type="spellStart"/>
      <w:r w:rsidRPr="0051709F">
        <w:rPr>
          <w:rFonts w:cstheme="minorHAnsi"/>
          <w:i/>
          <w:iCs/>
        </w:rPr>
        <w:t>Superilla</w:t>
      </w:r>
      <w:proofErr w:type="spellEnd"/>
      <w:r w:rsidRPr="0051709F">
        <w:rPr>
          <w:rFonts w:cstheme="minorHAnsi"/>
        </w:rPr>
        <w:t xml:space="preserve">, la </w:t>
      </w:r>
      <w:r w:rsidRPr="0051709F">
        <w:rPr>
          <w:rFonts w:cstheme="minorHAnsi"/>
          <w:i/>
          <w:iCs/>
        </w:rPr>
        <w:t>supermanzana urbanística</w:t>
      </w:r>
      <w:r w:rsidRPr="0051709F">
        <w:rPr>
          <w:rFonts w:cstheme="minorHAnsi"/>
        </w:rPr>
        <w:t xml:space="preserve"> </w:t>
      </w:r>
      <w:r w:rsidRPr="0051709F">
        <w:rPr>
          <w:rFonts w:cstheme="minorHAnsi"/>
        </w:rPr>
        <w:fldChar w:fldCharType="begin"/>
      </w:r>
      <w:r w:rsidRPr="0051709F">
        <w:rPr>
          <w:rFonts w:cstheme="minorHAnsi"/>
        </w:rPr>
        <w:instrText xml:space="preserve"> ADDIN ZOTERO_ITEM CSL_CITATION {"citationID":"969vowjm","properties":{"formattedCitation":"(Rueda i Palenzuela, 2021)","plainCitation":"(Rueda i Palenzuela, 2021)","noteIndex":0},"citationItems":[{"id":1026,"uris":["http://zotero.org/users/10547302/items/A5PEVJ7R"],"itemData":{"id":1026,"type":"paper-conference","container-title":"Aproximaciones contemporáneas al paisaje urbano, 2021, ISBN 9788418979538, págs. 107-124","event-title":"Aproximaciones contemporáneas al paisaje urbano","ISBN":"978-84-18979-53-8","language":"spa","note":"section: Aproximaciones contemporáneas al paisaje urbano","page":"107-124","publisher":"Editorial Universidad de Alcalá","source":"dialnet.unirioja.es","title":"La supermanzana, nueva célula urbana para la construcción de un modelo funcional y urbanístico de Barcelona","URL":"https://dialnet.unirioja.es/servlet/articulo?codigo=8565901","author":[{"family":"Rueda i Palenzuela","given":"Salvador"}],"accessed":{"date-parts":[["2023",7,10]]},"issued":{"date-parts":[["2021"]]}}}],"schema":"https://github.com/citation-style-language/schema/raw/master/csl-citation.json"} </w:instrText>
      </w:r>
      <w:r w:rsidRPr="0051709F">
        <w:rPr>
          <w:rFonts w:cstheme="minorHAnsi"/>
        </w:rPr>
        <w:fldChar w:fldCharType="separate"/>
      </w:r>
      <w:r w:rsidRPr="0051709F">
        <w:rPr>
          <w:rFonts w:cstheme="minorHAnsi"/>
        </w:rPr>
        <w:t>(Rueda i Palenzuela, 2021)</w:t>
      </w:r>
      <w:r w:rsidRPr="0051709F">
        <w:rPr>
          <w:rFonts w:cstheme="minorHAnsi"/>
        </w:rPr>
        <w:fldChar w:fldCharType="end"/>
      </w:r>
      <w:r w:rsidRPr="0051709F">
        <w:rPr>
          <w:rFonts w:cstheme="minorHAnsi"/>
        </w:rPr>
        <w:t xml:space="preserve"> que implica una modificación muy sustancial del funcionamiento estructural de la ciudad. La reorganización de su tráfico actualiza el Eixample barcelonés del siglo XIX al siglo XXI, permitiendo un incremento espectacular del espacio para los ciudadanos con la sorpresiva aparición de nuevas plazas en muchos de los clásicos cruces achaflanados de la ciudad.</w:t>
      </w:r>
    </w:p>
    <w:p w14:paraId="2A7FB18C" w14:textId="77777777" w:rsidR="00555AEB" w:rsidRPr="0051709F" w:rsidRDefault="00555AEB" w:rsidP="00555AEB">
      <w:pPr>
        <w:jc w:val="both"/>
        <w:rPr>
          <w:rFonts w:cstheme="minorHAnsi"/>
        </w:rPr>
      </w:pPr>
    </w:p>
    <w:p w14:paraId="7FCB1BB3"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Tonificar (La Ciudad Activa tonifica a sus residentes) </w:t>
      </w:r>
    </w:p>
    <w:p w14:paraId="2DF2AC0C" w14:textId="77777777" w:rsidR="00555AEB" w:rsidRPr="0051709F" w:rsidRDefault="00555AEB" w:rsidP="00555AEB">
      <w:pPr>
        <w:rPr>
          <w:rFonts w:cstheme="minorHAnsi"/>
        </w:rPr>
      </w:pPr>
    </w:p>
    <w:p w14:paraId="51BF1250" w14:textId="77777777" w:rsidR="00555AEB" w:rsidRPr="0051709F" w:rsidRDefault="00555AEB" w:rsidP="00555AEB">
      <w:pPr>
        <w:jc w:val="both"/>
        <w:rPr>
          <w:rFonts w:cstheme="minorHAnsi"/>
          <w:i/>
          <w:iCs/>
        </w:rPr>
      </w:pPr>
      <w:r w:rsidRPr="0051709F">
        <w:rPr>
          <w:rFonts w:cstheme="minorHAnsi"/>
          <w:i/>
          <w:iCs/>
        </w:rPr>
        <w:lastRenderedPageBreak/>
        <w:t>Tonificar es dar fuerza o vigor al organismo o a una parte de él y esto tiene una relación directa con la forma física que la Ciudad Activa aspira inducir en los ciudadanos. Una de las mejores maneras para conseguirlo es caminar y pedalear, es decir, cumpliendo con los propósitos para la movilidad alternativa.</w:t>
      </w:r>
    </w:p>
    <w:p w14:paraId="2A2E6B9E" w14:textId="77777777" w:rsidR="00555AEB" w:rsidRPr="0051709F" w:rsidRDefault="00555AEB" w:rsidP="00555AEB">
      <w:pPr>
        <w:jc w:val="both"/>
        <w:rPr>
          <w:rFonts w:cstheme="minorHAnsi"/>
          <w:i/>
          <w:iCs/>
        </w:rPr>
      </w:pPr>
    </w:p>
    <w:p w14:paraId="51E35D18" w14:textId="77777777" w:rsidR="00555AEB" w:rsidRPr="0051709F" w:rsidRDefault="00555AEB" w:rsidP="00555AEB">
      <w:pPr>
        <w:jc w:val="both"/>
        <w:rPr>
          <w:rFonts w:cstheme="minorHAnsi"/>
          <w:lang w:val="es-ES_tradnl" w:eastAsia="es-ES"/>
        </w:rPr>
      </w:pPr>
      <w:r w:rsidRPr="0051709F">
        <w:rPr>
          <w:rFonts w:cstheme="minorHAnsi"/>
          <w:lang w:val="es-ES_tradnl" w:eastAsia="es-ES"/>
        </w:rPr>
        <w:t>La bicicleta está llamada (lo es ya en muchas ciudades) a convertirse en el medio privilegiado que conjuga velocidad y distancia con la práctica de ejercicio físico en mayor o menor medida (incluso en el caso de las bicicletas eléctricas). La utilización de la bicicleta requiere la voluntad ciudadana, pero es muy importante la aportación de la ciudad con el establecimiento de rutas adecuadas (carriles, pavimentos, señalizaciones, etc.), la compatibilidad y convivencia de tráficos o las demandas de aparcamiento.</w:t>
      </w:r>
    </w:p>
    <w:p w14:paraId="1A77539D" w14:textId="77777777" w:rsidR="00555AEB" w:rsidRPr="0051709F" w:rsidRDefault="00555AEB" w:rsidP="00555AEB">
      <w:pPr>
        <w:jc w:val="both"/>
        <w:rPr>
          <w:rFonts w:cstheme="minorHAnsi"/>
          <w:lang w:val="es-ES_tradnl" w:eastAsia="es-ES"/>
        </w:rPr>
      </w:pPr>
    </w:p>
    <w:p w14:paraId="6ECF651B" w14:textId="7BEA75DA" w:rsidR="00555AEB" w:rsidRPr="0051709F" w:rsidRDefault="00555AEB" w:rsidP="00555AEB">
      <w:pPr>
        <w:jc w:val="both"/>
        <w:rPr>
          <w:rFonts w:cstheme="minorHAnsi"/>
        </w:rPr>
      </w:pPr>
      <w:r w:rsidRPr="0051709F">
        <w:rPr>
          <w:rFonts w:cstheme="minorHAnsi"/>
          <w:lang w:val="es-ES_tradnl" w:eastAsia="es-ES"/>
        </w:rPr>
        <w:t xml:space="preserve">Hay ciudades que se han convertido en referencia de esa movilidad alternativa en bicicleta como Copenhague o </w:t>
      </w:r>
      <w:r w:rsidR="00FC410E" w:rsidRPr="0051709F">
        <w:rPr>
          <w:rFonts w:cstheme="minorHAnsi"/>
          <w:lang w:val="es-ES_tradnl" w:eastAsia="es-ES"/>
        </w:rPr>
        <w:t>Ámsterdam</w:t>
      </w:r>
      <w:r w:rsidRPr="0051709F">
        <w:rPr>
          <w:rFonts w:cstheme="minorHAnsi"/>
          <w:lang w:val="es-ES_tradnl" w:eastAsia="es-ES"/>
        </w:rPr>
        <w:t xml:space="preserve">. </w:t>
      </w:r>
      <w:r w:rsidRPr="0051709F">
        <w:rPr>
          <w:rFonts w:cstheme="minorHAnsi"/>
          <w:lang w:eastAsia="es-ES"/>
        </w:rPr>
        <w:t xml:space="preserve">Esta última es el paradigma de la nueva movilidad gracias a su apuesta por la bicicleta como medio de desplazamiento urbano. De hecho, se dice que </w:t>
      </w:r>
      <w:r w:rsidR="00FC410E" w:rsidRPr="0051709F">
        <w:rPr>
          <w:rFonts w:cstheme="minorHAnsi"/>
          <w:lang w:eastAsia="es-ES"/>
        </w:rPr>
        <w:t>Ámsterdam</w:t>
      </w:r>
      <w:r w:rsidRPr="0051709F">
        <w:rPr>
          <w:rFonts w:cstheme="minorHAnsi"/>
          <w:lang w:eastAsia="es-ES"/>
        </w:rPr>
        <w:t xml:space="preserve"> es una ciudad “</w:t>
      </w:r>
      <w:proofErr w:type="spellStart"/>
      <w:r w:rsidRPr="0051709F">
        <w:rPr>
          <w:rFonts w:cstheme="minorHAnsi"/>
          <w:lang w:eastAsia="es-ES"/>
        </w:rPr>
        <w:t>bicivilizada</w:t>
      </w:r>
      <w:proofErr w:type="spellEnd"/>
      <w:r w:rsidRPr="0051709F">
        <w:rPr>
          <w:rFonts w:cstheme="minorHAnsi"/>
          <w:lang w:eastAsia="es-ES"/>
        </w:rPr>
        <w:t>”. El número de bicicletas cuadruplica al de coches y casi el 60% de los ciudadanos utiliza la bici a diario. Prácticamente uno de cada tres desplazamientos se realiza en bicicleta</w:t>
      </w:r>
      <w:r w:rsidRPr="0051709F">
        <w:rPr>
          <w:rFonts w:cstheme="minorHAnsi"/>
          <w:lang w:val="es-ES_tradnl" w:eastAsia="es-ES"/>
        </w:rPr>
        <w:t xml:space="preserve">. </w:t>
      </w:r>
      <w:r w:rsidRPr="0051709F">
        <w:rPr>
          <w:rFonts w:cstheme="minorHAnsi"/>
        </w:rPr>
        <w:t>En la capital holandesa, prácticamente todas las vías disponen de un carril específico ciclista. A los carriles se suman abundantes infraestructuras complementarias que van desde aparcamientos hasta pasos a diferente nivel para facilitar la continuidad y evitar cruces conflictivos.</w:t>
      </w:r>
    </w:p>
    <w:p w14:paraId="2566AA0E" w14:textId="77777777" w:rsidR="00555AEB" w:rsidRPr="0051709F" w:rsidRDefault="00555AEB" w:rsidP="00555AEB">
      <w:pPr>
        <w:jc w:val="both"/>
        <w:rPr>
          <w:rFonts w:cstheme="minorHAnsi"/>
          <w:lang w:val="es-ES_tradnl" w:eastAsia="es-ES"/>
        </w:rPr>
      </w:pPr>
    </w:p>
    <w:p w14:paraId="6E96AEA1"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Hibridar (La Ciudad Activa imbrica el deporte en el estilo de vida deseable) </w:t>
      </w:r>
    </w:p>
    <w:p w14:paraId="25B644A3" w14:textId="77777777" w:rsidR="00555AEB" w:rsidRPr="0051709F" w:rsidRDefault="00555AEB" w:rsidP="00555AEB">
      <w:pPr>
        <w:rPr>
          <w:rFonts w:cstheme="minorHAnsi"/>
        </w:rPr>
      </w:pPr>
    </w:p>
    <w:p w14:paraId="5C73D54A" w14:textId="4FBDE541" w:rsidR="00555AEB" w:rsidRPr="0051709F" w:rsidRDefault="00555AEB" w:rsidP="00555AEB">
      <w:pPr>
        <w:jc w:val="both"/>
        <w:rPr>
          <w:rFonts w:cstheme="minorHAnsi"/>
          <w:i/>
          <w:iCs/>
        </w:rPr>
      </w:pPr>
      <w:r w:rsidRPr="0051709F">
        <w:rPr>
          <w:rFonts w:cstheme="minorHAnsi"/>
          <w:i/>
          <w:iCs/>
        </w:rPr>
        <w:t>Un híbrido es el producto de la fusión de elementos de distinta naturaleza. El ejercicio físico debe pasar a formar parte del estilo de vida de los ciudadanos, bien como actividad propia o llenando intersticios entre otras acciones cotidianas. Para fomentarlo</w:t>
      </w:r>
      <w:r w:rsidR="002A4A73">
        <w:rPr>
          <w:rFonts w:cstheme="minorHAnsi"/>
          <w:i/>
          <w:iCs/>
        </w:rPr>
        <w:t>,</w:t>
      </w:r>
      <w:r w:rsidRPr="0051709F">
        <w:rPr>
          <w:rFonts w:cstheme="minorHAnsi"/>
          <w:i/>
          <w:iCs/>
        </w:rPr>
        <w:t xml:space="preserve"> la Ciudad Activa impulsa la hibridación de los centros deportivos con otras muchas opciones.</w:t>
      </w:r>
    </w:p>
    <w:p w14:paraId="62CA5AF0" w14:textId="77777777" w:rsidR="00555AEB" w:rsidRPr="0051709F" w:rsidRDefault="00555AEB" w:rsidP="00555AEB">
      <w:pPr>
        <w:jc w:val="both"/>
        <w:rPr>
          <w:rFonts w:cstheme="minorHAnsi"/>
          <w:i/>
          <w:iCs/>
        </w:rPr>
      </w:pPr>
    </w:p>
    <w:p w14:paraId="080F87FA" w14:textId="77777777" w:rsidR="00555AEB" w:rsidRPr="0051709F" w:rsidRDefault="00555AEB" w:rsidP="00555AEB">
      <w:pPr>
        <w:jc w:val="both"/>
        <w:rPr>
          <w:rFonts w:cstheme="minorHAnsi"/>
        </w:rPr>
      </w:pPr>
      <w:r w:rsidRPr="0051709F">
        <w:rPr>
          <w:rFonts w:cstheme="minorHAnsi"/>
        </w:rPr>
        <w:t xml:space="preserve">La arquitectura también tiene un papel importante en la Ciudad Activa, sobre todo en los equipamientos, con una particular atención a las dotaciones deportivas. El objetivo principal es hibridarlas con otros usos para integrarlas en el nuevo modelo de vida de los ciudadanos. La </w:t>
      </w:r>
      <w:r w:rsidRPr="0051709F">
        <w:rPr>
          <w:rFonts w:cstheme="minorHAnsi"/>
          <w:i/>
          <w:iCs/>
        </w:rPr>
        <w:t>Ciudad Activa</w:t>
      </w:r>
      <w:r w:rsidRPr="0051709F">
        <w:rPr>
          <w:rFonts w:cstheme="minorHAnsi"/>
        </w:rPr>
        <w:t xml:space="preserve"> recupera el espíritu de hibridación funcional frente a la especialización y desconexión. El ejercicio físico, para integrarse en el modo de vida de los ciudadanos, debe poder conjugarse con otras actividades cotidianas de manera casi inconsciente. Para facilitar esa combinación, los espacios destinados al deporte deben permitir la realización de actividades complementarias y compatibles. Y viceversa.</w:t>
      </w:r>
    </w:p>
    <w:p w14:paraId="56E02CAE" w14:textId="77777777" w:rsidR="00555AEB" w:rsidRPr="0051709F" w:rsidRDefault="00555AEB" w:rsidP="00555AEB">
      <w:pPr>
        <w:jc w:val="both"/>
        <w:rPr>
          <w:rFonts w:cstheme="minorHAnsi"/>
        </w:rPr>
      </w:pPr>
      <w:r w:rsidRPr="0051709F">
        <w:rPr>
          <w:rFonts w:cstheme="minorHAnsi"/>
        </w:rPr>
        <w:t xml:space="preserve">El eje entre </w:t>
      </w:r>
      <w:r w:rsidRPr="0051709F">
        <w:rPr>
          <w:rFonts w:cstheme="minorHAnsi"/>
          <w:b/>
          <w:bCs/>
        </w:rPr>
        <w:t>Liverpool y Manchester</w:t>
      </w:r>
      <w:r w:rsidRPr="0051709F">
        <w:rPr>
          <w:rFonts w:cstheme="minorHAnsi"/>
        </w:rPr>
        <w:t xml:space="preserve"> es especialmente activo en estas cuestiones, con ciudades como Warrington, que está desarrollando un ambicioso programa de mezcla de lo deportivo con lo cultural y lo asistencial, logrando un notable incremento en la realización de ejercicio físico de sus residentes. Los nuevos centros son innovadoras dotaciones que hibridan salas de lectura y trabajo, auditorios para conferencias, espacios para actividades comunitarias, salas para gimnasia y actividades de grupos, piscinas y spa, pista de tenis y centros de salud (dispensario, centro de día, tratamiento de enfermedades y rehabilitación), todo ello con un esfuerzo muy particular para que los edificios sean inclusivos y accesibles a todos los miembros de la comunidad. </w:t>
      </w:r>
    </w:p>
    <w:p w14:paraId="711EE527" w14:textId="77777777" w:rsidR="00555AEB" w:rsidRPr="0051709F" w:rsidRDefault="00555AEB" w:rsidP="00555AEB">
      <w:pPr>
        <w:jc w:val="both"/>
        <w:rPr>
          <w:rFonts w:cstheme="minorHAnsi"/>
        </w:rPr>
      </w:pPr>
    </w:p>
    <w:p w14:paraId="4949F01F"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Aplicarse (La Ciudad Activa se aplica en cohesionar la comunidad desde la escuela) </w:t>
      </w:r>
    </w:p>
    <w:p w14:paraId="348D9EEB" w14:textId="77777777" w:rsidR="00555AEB" w:rsidRPr="0051709F" w:rsidRDefault="00555AEB" w:rsidP="00555AEB">
      <w:pPr>
        <w:rPr>
          <w:rFonts w:cstheme="minorHAnsi"/>
        </w:rPr>
      </w:pPr>
    </w:p>
    <w:p w14:paraId="3816660D" w14:textId="77777777" w:rsidR="00555AEB" w:rsidRPr="0051709F" w:rsidRDefault="00555AEB" w:rsidP="00555AEB">
      <w:pPr>
        <w:jc w:val="both"/>
        <w:rPr>
          <w:rFonts w:cstheme="minorHAnsi"/>
          <w:i/>
          <w:iCs/>
        </w:rPr>
      </w:pPr>
      <w:r w:rsidRPr="0051709F">
        <w:rPr>
          <w:rFonts w:cstheme="minorHAnsi"/>
          <w:i/>
          <w:iCs/>
        </w:rPr>
        <w:t>Aplicarse en hacer algo a conciencia, esforzarse en conseguir un objetivo, poner el máximo interés en realizar algo. Las escuelas de la Ciudad Activa aspiran a nuclear la vida vecinal convertidas en centros alrededor de los cuales graviten los residentes, integrando el aprendizaje con la interacción social, el ocio, la cultura y la práctica deportiva intergeneracional.</w:t>
      </w:r>
    </w:p>
    <w:p w14:paraId="4E55E1E7" w14:textId="77777777" w:rsidR="00555AEB" w:rsidRPr="0051709F" w:rsidRDefault="00555AEB" w:rsidP="00555AEB">
      <w:pPr>
        <w:jc w:val="both"/>
        <w:rPr>
          <w:rFonts w:cstheme="minorHAnsi"/>
          <w:i/>
          <w:iCs/>
        </w:rPr>
      </w:pPr>
    </w:p>
    <w:p w14:paraId="4FC84B4F" w14:textId="77777777" w:rsidR="00555AEB" w:rsidRDefault="00555AEB" w:rsidP="00555AEB">
      <w:pPr>
        <w:jc w:val="both"/>
        <w:rPr>
          <w:rFonts w:cstheme="minorHAnsi"/>
        </w:rPr>
      </w:pPr>
      <w:r w:rsidRPr="0051709F">
        <w:rPr>
          <w:rFonts w:cstheme="minorHAnsi"/>
        </w:rPr>
        <w:t xml:space="preserve">La </w:t>
      </w:r>
      <w:r w:rsidRPr="0051709F">
        <w:rPr>
          <w:rFonts w:cstheme="minorHAnsi"/>
          <w:i/>
          <w:iCs/>
        </w:rPr>
        <w:t>Ciudad Activa</w:t>
      </w:r>
      <w:r w:rsidRPr="0051709F">
        <w:rPr>
          <w:rFonts w:cstheme="minorHAnsi"/>
        </w:rPr>
        <w:t xml:space="preserve"> propone que las escuelas constituyan una constelación de centros gravitacionales alrededor de los que orbiten los ciudadanos. Las escuelas mantienen la capacidad referencial y un potencial aglutinador muy importante, pudiendo volver a actuar como corazones vitales y emocionales de cada barrio. El modelo de </w:t>
      </w:r>
      <w:r w:rsidRPr="0051709F">
        <w:rPr>
          <w:rFonts w:cstheme="minorHAnsi"/>
          <w:i/>
          <w:iCs/>
        </w:rPr>
        <w:t>Ciudad Activa</w:t>
      </w:r>
      <w:r w:rsidRPr="0051709F">
        <w:rPr>
          <w:rFonts w:cstheme="minorHAnsi"/>
        </w:rPr>
        <w:t xml:space="preserve"> busca aprovechar esa energía latente para fomentar desde ellas los valores que defiende, convirtiéndolas en un foco de la vida comunitaria que fomente la cohesión social y la vida activa.</w:t>
      </w:r>
    </w:p>
    <w:p w14:paraId="1977036C" w14:textId="77777777" w:rsidR="00A01F04" w:rsidRPr="0051709F" w:rsidRDefault="00A01F04" w:rsidP="00555AEB">
      <w:pPr>
        <w:jc w:val="both"/>
        <w:rPr>
          <w:rFonts w:cstheme="minorHAnsi"/>
        </w:rPr>
      </w:pPr>
    </w:p>
    <w:p w14:paraId="51FE0138" w14:textId="77777777" w:rsidR="00555AEB" w:rsidRPr="0051709F" w:rsidRDefault="00555AEB" w:rsidP="00555AEB">
      <w:pPr>
        <w:jc w:val="both"/>
        <w:rPr>
          <w:rFonts w:cstheme="minorHAnsi"/>
        </w:rPr>
      </w:pPr>
      <w:r w:rsidRPr="0051709F">
        <w:rPr>
          <w:rFonts w:cstheme="minorHAnsi"/>
        </w:rPr>
        <w:t>Diferentes ciudades han comenzado iniciativas en esta línea, como Nueva York (</w:t>
      </w:r>
      <w:proofErr w:type="spellStart"/>
      <w:r w:rsidRPr="0051709F">
        <w:rPr>
          <w:rFonts w:cstheme="minorHAnsi"/>
          <w:i/>
          <w:iCs/>
        </w:rPr>
        <w:t>Schoolyards</w:t>
      </w:r>
      <w:proofErr w:type="spellEnd"/>
      <w:r w:rsidRPr="0051709F">
        <w:rPr>
          <w:rFonts w:cstheme="minorHAnsi"/>
          <w:i/>
          <w:iCs/>
        </w:rPr>
        <w:t xml:space="preserve"> </w:t>
      </w:r>
      <w:proofErr w:type="spellStart"/>
      <w:r w:rsidRPr="0051709F">
        <w:rPr>
          <w:rFonts w:cstheme="minorHAnsi"/>
          <w:i/>
          <w:iCs/>
        </w:rPr>
        <w:t>to</w:t>
      </w:r>
      <w:proofErr w:type="spellEnd"/>
      <w:r w:rsidRPr="0051709F">
        <w:rPr>
          <w:rFonts w:cstheme="minorHAnsi"/>
          <w:i/>
          <w:iCs/>
        </w:rPr>
        <w:t xml:space="preserve"> </w:t>
      </w:r>
      <w:proofErr w:type="spellStart"/>
      <w:r w:rsidRPr="0051709F">
        <w:rPr>
          <w:rFonts w:cstheme="minorHAnsi"/>
          <w:i/>
          <w:iCs/>
        </w:rPr>
        <w:t>Playgrounds</w:t>
      </w:r>
      <w:proofErr w:type="spellEnd"/>
      <w:r w:rsidRPr="0051709F">
        <w:rPr>
          <w:rFonts w:cstheme="minorHAnsi"/>
        </w:rPr>
        <w:t>), Amberes (</w:t>
      </w:r>
      <w:proofErr w:type="spellStart"/>
      <w:r w:rsidRPr="0051709F">
        <w:rPr>
          <w:rFonts w:cstheme="minorHAnsi"/>
          <w:i/>
          <w:iCs/>
        </w:rPr>
        <w:t>Speel</w:t>
      </w:r>
      <w:proofErr w:type="spellEnd"/>
      <w:r w:rsidRPr="0051709F">
        <w:rPr>
          <w:rFonts w:cstheme="minorHAnsi"/>
          <w:i/>
          <w:iCs/>
        </w:rPr>
        <w:t xml:space="preserve"> </w:t>
      </w:r>
      <w:proofErr w:type="spellStart"/>
      <w:r w:rsidRPr="0051709F">
        <w:rPr>
          <w:rFonts w:cstheme="minorHAnsi"/>
          <w:i/>
          <w:iCs/>
        </w:rPr>
        <w:t>Natuur</w:t>
      </w:r>
      <w:proofErr w:type="spellEnd"/>
      <w:r w:rsidRPr="0051709F">
        <w:rPr>
          <w:rFonts w:cstheme="minorHAnsi"/>
          <w:i/>
          <w:iCs/>
        </w:rPr>
        <w:t xml:space="preserve"> </w:t>
      </w:r>
      <w:proofErr w:type="spellStart"/>
      <w:r w:rsidRPr="0051709F">
        <w:rPr>
          <w:rFonts w:cstheme="minorHAnsi"/>
          <w:i/>
          <w:iCs/>
        </w:rPr>
        <w:t>Plantwerpen</w:t>
      </w:r>
      <w:proofErr w:type="spellEnd"/>
      <w:r w:rsidRPr="0051709F">
        <w:rPr>
          <w:rFonts w:cstheme="minorHAnsi"/>
        </w:rPr>
        <w:t xml:space="preserve">), Milán, Atenas, Auckland o Montreal, entre otras. Es destacable París, que está en vanguardia en esta estrategia de ampliar la responsabilidad de las escuelas </w:t>
      </w:r>
      <w:r w:rsidRPr="0051709F">
        <w:rPr>
          <w:rFonts w:cstheme="minorHAnsi"/>
        </w:rPr>
        <w:fldChar w:fldCharType="begin"/>
      </w:r>
      <w:r w:rsidRPr="0051709F">
        <w:rPr>
          <w:rFonts w:cstheme="minorHAnsi"/>
        </w:rPr>
        <w:instrText xml:space="preserve"> ADDIN ZOTERO_ITEM CSL_CITATION {"citationID":"MK7tD4PW","properties":{"formattedCitation":"(Anne Hidalgo [@Anne_Hidalgo], 2020)","plainCitation":"(Anne Hidalgo [@Anne_Hidalgo], 2020)","noteIndex":0},"citationItems":[{"id":1029,"uris":["http://zotero.org/users/10547302/items/TY7XAC6Y"],"itemData":{"id":1029,"type":"post","container-title":"Twitter","genre":"Tweet","language":"fr","title":"La #VilleDuQuartDHeure, c’est quoi ? C’est la ville des proximités où l’on trouve tout ce dont on a besoin à moins de 15 minutes de chez soi. C’est la condition de la transformation écologique de la ville, tout en améliorant la vie quotidienne des Parisiens. </w:instrText>
      </w:r>
      <w:r w:rsidRPr="0051709F">
        <w:rPr>
          <w:rFonts w:ascii="Cambria Math" w:hAnsi="Cambria Math" w:cs="Cambria Math"/>
        </w:rPr>
        <w:instrText>⤵</w:instrText>
      </w:r>
      <w:r w:rsidRPr="0051709F">
        <w:rPr>
          <w:rFonts w:ascii="Calibri" w:hAnsi="Calibri" w:cs="Calibri"/>
        </w:rPr>
        <w:instrText>️</w:instrText>
      </w:r>
      <w:r w:rsidRPr="0051709F">
        <w:rPr>
          <w:rFonts w:cstheme="minorHAnsi"/>
        </w:rPr>
        <w:instrText xml:space="preserve"> #Hidalgo2020 https://t.co/lcQbPAjdxj","URL":"https://twitter.com/Anne_Hidalgo/status/1219580627172888577","author":[{"literal":"Anne Hidalgo [@Anne_Hidalgo]"}],"accessed":{"date-parts":[["2023",7,10]]},"issued":{"date-parts":[["2020",1,21]]}}}],"schema":"https://github.com/citation-style-language/schema/raw/master/csl-citation.json"} </w:instrText>
      </w:r>
      <w:r w:rsidRPr="0051709F">
        <w:rPr>
          <w:rFonts w:cstheme="minorHAnsi"/>
        </w:rPr>
        <w:fldChar w:fldCharType="separate"/>
      </w:r>
      <w:r w:rsidRPr="0051709F">
        <w:rPr>
          <w:rFonts w:cstheme="minorHAnsi"/>
        </w:rPr>
        <w:t>(Anne Hidalgo [@Anne_Hidalgo], 2020)</w:t>
      </w:r>
      <w:r w:rsidRPr="0051709F">
        <w:rPr>
          <w:rFonts w:cstheme="minorHAnsi"/>
        </w:rPr>
        <w:fldChar w:fldCharType="end"/>
      </w:r>
      <w:r w:rsidRPr="0051709F">
        <w:rPr>
          <w:rFonts w:cstheme="minorHAnsi"/>
        </w:rPr>
        <w:t xml:space="preserve">. La capital francesa está actuando en las escuelas públicas para convertirlas en “oasis” urbanos, que integran la educación y pongan a disposición del barrio sus instalaciones con horarios amplios </w:t>
      </w:r>
      <w:r w:rsidRPr="0051709F">
        <w:rPr>
          <w:rFonts w:cstheme="minorHAnsi"/>
          <w:i/>
          <w:iCs/>
        </w:rPr>
        <w:t>(“</w:t>
      </w:r>
      <w:proofErr w:type="spellStart"/>
      <w:r w:rsidRPr="0051709F">
        <w:rPr>
          <w:rFonts w:cstheme="minorHAnsi"/>
          <w:i/>
          <w:iCs/>
        </w:rPr>
        <w:t>l’école</w:t>
      </w:r>
      <w:proofErr w:type="spellEnd"/>
      <w:r w:rsidRPr="0051709F">
        <w:rPr>
          <w:rFonts w:cstheme="minorHAnsi"/>
          <w:i/>
          <w:iCs/>
        </w:rPr>
        <w:t xml:space="preserve"> </w:t>
      </w:r>
      <w:proofErr w:type="spellStart"/>
      <w:r w:rsidRPr="0051709F">
        <w:rPr>
          <w:rFonts w:cstheme="minorHAnsi"/>
          <w:i/>
          <w:iCs/>
        </w:rPr>
        <w:t>capitale</w:t>
      </w:r>
      <w:proofErr w:type="spellEnd"/>
      <w:r w:rsidRPr="0051709F">
        <w:rPr>
          <w:rFonts w:cstheme="minorHAnsi"/>
          <w:i/>
          <w:iCs/>
        </w:rPr>
        <w:t xml:space="preserve"> de nos </w:t>
      </w:r>
      <w:proofErr w:type="spellStart"/>
      <w:r w:rsidRPr="0051709F">
        <w:rPr>
          <w:rFonts w:cstheme="minorHAnsi"/>
          <w:i/>
          <w:iCs/>
        </w:rPr>
        <w:t>quartiers</w:t>
      </w:r>
      <w:proofErr w:type="spellEnd"/>
      <w:r w:rsidRPr="0051709F">
        <w:rPr>
          <w:rFonts w:cstheme="minorHAnsi"/>
          <w:i/>
          <w:iCs/>
        </w:rPr>
        <w:t>”).</w:t>
      </w:r>
      <w:r w:rsidRPr="0051709F">
        <w:rPr>
          <w:rFonts w:cstheme="minorHAnsi"/>
        </w:rPr>
        <w:t xml:space="preserve"> En paralelo se están proponiendo una serie de rutas seguras</w:t>
      </w:r>
      <w:r w:rsidRPr="0051709F">
        <w:rPr>
          <w:rFonts w:cstheme="minorHAnsi"/>
          <w:i/>
          <w:iCs/>
        </w:rPr>
        <w:t xml:space="preserve"> (“</w:t>
      </w:r>
      <w:proofErr w:type="spellStart"/>
      <w:r w:rsidRPr="0051709F">
        <w:rPr>
          <w:rFonts w:cstheme="minorHAnsi"/>
          <w:i/>
          <w:iCs/>
        </w:rPr>
        <w:t>rues</w:t>
      </w:r>
      <w:proofErr w:type="spellEnd"/>
      <w:r w:rsidRPr="0051709F">
        <w:rPr>
          <w:rFonts w:cstheme="minorHAnsi"/>
          <w:i/>
          <w:iCs/>
        </w:rPr>
        <w:t xml:space="preserve"> </w:t>
      </w:r>
      <w:proofErr w:type="spellStart"/>
      <w:r w:rsidRPr="0051709F">
        <w:rPr>
          <w:rFonts w:cstheme="minorHAnsi"/>
          <w:i/>
          <w:iCs/>
        </w:rPr>
        <w:t>aux</w:t>
      </w:r>
      <w:proofErr w:type="spellEnd"/>
      <w:r w:rsidRPr="0051709F">
        <w:rPr>
          <w:rFonts w:cstheme="minorHAnsi"/>
          <w:i/>
          <w:iCs/>
        </w:rPr>
        <w:t xml:space="preserve"> </w:t>
      </w:r>
      <w:proofErr w:type="spellStart"/>
      <w:r w:rsidRPr="0051709F">
        <w:rPr>
          <w:rFonts w:cstheme="minorHAnsi"/>
          <w:i/>
          <w:iCs/>
        </w:rPr>
        <w:t>écoles</w:t>
      </w:r>
      <w:proofErr w:type="spellEnd"/>
      <w:r w:rsidRPr="0051709F">
        <w:rPr>
          <w:rFonts w:cstheme="minorHAnsi"/>
          <w:i/>
          <w:iCs/>
        </w:rPr>
        <w:t xml:space="preserve">”) </w:t>
      </w:r>
      <w:r w:rsidRPr="0051709F">
        <w:rPr>
          <w:rFonts w:cstheme="minorHAnsi"/>
        </w:rPr>
        <w:t>cuyos tramos finales, están siendo remodelados como lugares estanciales.</w:t>
      </w:r>
    </w:p>
    <w:p w14:paraId="1881B449" w14:textId="77777777" w:rsidR="00555AEB" w:rsidRPr="0051709F" w:rsidRDefault="00555AEB" w:rsidP="00555AEB">
      <w:pPr>
        <w:jc w:val="both"/>
        <w:rPr>
          <w:rFonts w:cstheme="minorHAnsi"/>
        </w:rPr>
      </w:pPr>
    </w:p>
    <w:p w14:paraId="42EE206C" w14:textId="77777777" w:rsidR="00555AEB" w:rsidRPr="007B667D" w:rsidRDefault="00555AEB" w:rsidP="00F536A2">
      <w:pPr>
        <w:pStyle w:val="Ttulo3"/>
        <w:numPr>
          <w:ilvl w:val="0"/>
          <w:numId w:val="0"/>
        </w:numPr>
        <w:ind w:left="720" w:hanging="720"/>
        <w:jc w:val="both"/>
        <w:rPr>
          <w:rFonts w:asciiTheme="minorHAnsi" w:hAnsiTheme="minorHAnsi" w:cstheme="minorHAnsi"/>
          <w:color w:val="auto"/>
          <w:u w:val="single"/>
          <w:lang w:val="es-ES"/>
        </w:rPr>
      </w:pPr>
      <w:r w:rsidRPr="007B667D">
        <w:rPr>
          <w:rFonts w:asciiTheme="minorHAnsi" w:hAnsiTheme="minorHAnsi" w:cstheme="minorHAnsi"/>
          <w:color w:val="auto"/>
          <w:u w:val="single"/>
          <w:lang w:val="es-ES"/>
        </w:rPr>
        <w:t xml:space="preserve">Conciliar (La Ciudad Activa concilia lo laboral con el ejercicio físico) </w:t>
      </w:r>
    </w:p>
    <w:p w14:paraId="445EA926" w14:textId="77777777" w:rsidR="00555AEB" w:rsidRPr="0051709F" w:rsidRDefault="00555AEB" w:rsidP="00555AEB">
      <w:pPr>
        <w:rPr>
          <w:rFonts w:cstheme="minorHAnsi"/>
        </w:rPr>
      </w:pPr>
    </w:p>
    <w:p w14:paraId="7E8BEF71" w14:textId="77777777" w:rsidR="00555AEB" w:rsidRPr="0051709F" w:rsidRDefault="00555AEB" w:rsidP="00555AEB">
      <w:pPr>
        <w:jc w:val="both"/>
        <w:rPr>
          <w:rFonts w:cstheme="minorHAnsi"/>
          <w:i/>
          <w:iCs/>
        </w:rPr>
      </w:pPr>
      <w:r w:rsidRPr="0051709F">
        <w:rPr>
          <w:rFonts w:cstheme="minorHAnsi"/>
          <w:i/>
          <w:iCs/>
        </w:rPr>
        <w:t>Conciliar es reunir cuestiones que aparentemente son contradictorias o muy diferentes. La palabra ha tenido éxito como referencia a la necesaria compaginación de la vida personal con la laboral. La Ciudad Activa da un paso más proponiendo la compatibilización de las actividades profesionales con la realización de ejercicio físico. Y los edificios que las albergan deben facilitar esta aspiración.</w:t>
      </w:r>
    </w:p>
    <w:p w14:paraId="596DBDAE" w14:textId="77777777" w:rsidR="00555AEB" w:rsidRPr="0051709F" w:rsidRDefault="00555AEB" w:rsidP="00555AEB">
      <w:pPr>
        <w:jc w:val="both"/>
        <w:rPr>
          <w:rFonts w:cstheme="minorHAnsi"/>
          <w:i/>
          <w:iCs/>
        </w:rPr>
      </w:pPr>
    </w:p>
    <w:p w14:paraId="6212B152" w14:textId="77777777" w:rsidR="00555AEB" w:rsidRPr="0051709F" w:rsidRDefault="00555AEB" w:rsidP="00555AEB">
      <w:pPr>
        <w:jc w:val="both"/>
        <w:rPr>
          <w:rFonts w:cstheme="minorHAnsi"/>
        </w:rPr>
      </w:pPr>
      <w:r w:rsidRPr="0051709F">
        <w:rPr>
          <w:rFonts w:cstheme="minorHAnsi"/>
        </w:rPr>
        <w:t>Una persona pasa un tercio del día en el trabajo, por eso se requieren acciones para los espacios productivos, intentando que se conviertan en lugares donde poder conciliar lo laboral y el ejercicio físico, es decir que permitan trabajar saludablemente. Están comenzando a proponerse nuevas arquitecturas con entornos abiertos y colaborativos, zonas verdes para descansar, lugares de encuentro para compartir momentos de relajamiento y recreo o espacios específicos para la realización de deporte o ejercicio físico. Esa visión está influyendo también en la reconversión de campus empresariales, proponiendo nuevos modelos en la relación exterior e interior de los edificios, que se dotan de los complementos necesarios para la práctica de ejercicio físico, con recorridos exteriores andando o en bicicleta, e incluso primando la escalera frente a otros sistemas en los desplazamientos internos en los edificios.</w:t>
      </w:r>
    </w:p>
    <w:p w14:paraId="5F2450DE" w14:textId="77777777" w:rsidR="00F536A2" w:rsidRPr="0051709F" w:rsidRDefault="00F536A2" w:rsidP="00555AEB">
      <w:pPr>
        <w:jc w:val="both"/>
        <w:rPr>
          <w:rFonts w:cstheme="minorHAnsi"/>
        </w:rPr>
      </w:pPr>
    </w:p>
    <w:p w14:paraId="7065975C" w14:textId="77777777" w:rsidR="0032285C" w:rsidRPr="0051709F" w:rsidRDefault="00555AEB" w:rsidP="000B4E72">
      <w:pPr>
        <w:jc w:val="both"/>
        <w:rPr>
          <w:rFonts w:cstheme="minorHAnsi"/>
        </w:rPr>
      </w:pPr>
      <w:r w:rsidRPr="0051709F">
        <w:rPr>
          <w:rFonts w:cstheme="minorHAnsi"/>
        </w:rPr>
        <w:lastRenderedPageBreak/>
        <w:t>En la bahía de San Francisco, el Silicon Valley se están produciendo muestras pioneras en este tipo de prácticas que conjugan ocio y negocio. Los modelos de trabajo de empresas como Google o Facebook revolucionaron el diseño de los espacios de trabajo, así como la gestión de la jornada laboral con comportamientos flexibles que se concretaban en horarios que permitían la conciliación o la disposición en tiempo para actividades diferentes que se trufaban con la propia actividad laboral, particularmente con lo relacionado con el ejercicio físico y el entretenimiento. Con ello conseguían resultados sorprendentes que conjugaban el alto rendimiento de los trabajadores con la buena opinión de estos sobre el tipo de vida que llevaban.</w:t>
      </w:r>
    </w:p>
    <w:p w14:paraId="589A70FE" w14:textId="77777777" w:rsidR="0032285C" w:rsidRDefault="0032285C" w:rsidP="000B4E72">
      <w:pPr>
        <w:jc w:val="both"/>
        <w:rPr>
          <w:rFonts w:cstheme="minorHAnsi"/>
        </w:rPr>
      </w:pPr>
    </w:p>
    <w:p w14:paraId="0D66335C" w14:textId="724EE392" w:rsidR="008A069C" w:rsidRPr="007B667D" w:rsidRDefault="008A069C" w:rsidP="008A069C">
      <w:pPr>
        <w:pStyle w:val="Ttulo2"/>
        <w:numPr>
          <w:ilvl w:val="0"/>
          <w:numId w:val="0"/>
        </w:numPr>
        <w:ind w:left="576" w:hanging="576"/>
        <w:rPr>
          <w:sz w:val="24"/>
          <w:szCs w:val="24"/>
          <w:lang w:val="es-ES"/>
        </w:rPr>
      </w:pPr>
      <w:bookmarkStart w:id="13" w:name="_Toc139456473"/>
      <w:r w:rsidRPr="007B667D">
        <w:rPr>
          <w:sz w:val="24"/>
          <w:szCs w:val="24"/>
          <w:lang w:val="es-ES"/>
        </w:rPr>
        <w:t>Actuaciones coordinadas que pudieran dar lugar a una estrategia específica</w:t>
      </w:r>
    </w:p>
    <w:p w14:paraId="29156011" w14:textId="77777777" w:rsidR="008A069C" w:rsidRDefault="008A069C" w:rsidP="008A069C"/>
    <w:p w14:paraId="24CD0134" w14:textId="77777777" w:rsidR="008A069C" w:rsidRDefault="008A069C" w:rsidP="007B667D">
      <w:pPr>
        <w:jc w:val="both"/>
      </w:pPr>
      <w:r w:rsidRPr="009425BF">
        <w:t xml:space="preserve">Fomentar la actividad entre la población es una tarea compleja, con muchas implicaciones, que requiere un enfoque extensivo sobre aspectos relacionados con las personas, la sociedad o el entorno físico. Desde luego, es fundamental el comportamiento de las personas, que deben adoptar las conductas activas como un nuevo estilo de vida, pero esta decisión debe verse facilitada por las características del entorno físico, porque el diseño de la ciudad determina la forma en que los ciudadanos la usan. </w:t>
      </w:r>
    </w:p>
    <w:p w14:paraId="34132F8A" w14:textId="77777777" w:rsidR="008A069C" w:rsidRPr="009425BF" w:rsidRDefault="008A069C" w:rsidP="007B667D">
      <w:pPr>
        <w:jc w:val="both"/>
      </w:pPr>
    </w:p>
    <w:p w14:paraId="67B3E4E1" w14:textId="77777777" w:rsidR="008A069C" w:rsidRDefault="008A069C" w:rsidP="007B667D">
      <w:pPr>
        <w:tabs>
          <w:tab w:val="left" w:pos="2410"/>
          <w:tab w:val="left" w:pos="2694"/>
        </w:tabs>
        <w:jc w:val="both"/>
        <w:rPr>
          <w:b/>
          <w:bCs/>
        </w:rPr>
      </w:pPr>
      <w:r w:rsidRPr="009425BF">
        <w:t>Por estos motivos</w:t>
      </w:r>
      <w:r>
        <w:t>,</w:t>
      </w:r>
      <w:r w:rsidRPr="009425BF">
        <w:t xml:space="preserve"> la transformación activa de ciudades y territorios requiere dos premisas imprescindibles: por un lado, el rumbo hacia la </w:t>
      </w:r>
      <w:r w:rsidRPr="009425BF">
        <w:rPr>
          <w:i/>
          <w:iCs/>
        </w:rPr>
        <w:t xml:space="preserve">Ciudad Activa </w:t>
      </w:r>
      <w:r w:rsidRPr="009425BF">
        <w:t>debe ser firme, claro y compartido por todos los ciudadanos; por el otro, la ciudad debe dotarse de una estructura para trabajar en esa dirección y poner en marcha un proceso transversal en el diseño y la gestión de la ciudad</w:t>
      </w:r>
      <w:r w:rsidRPr="00392498">
        <w:t>.</w:t>
      </w:r>
      <w:r>
        <w:t xml:space="preserve"> Consecuentemente, el primer paso para l</w:t>
      </w:r>
      <w:r w:rsidRPr="00F13D20">
        <w:rPr>
          <w:color w:val="000000"/>
        </w:rPr>
        <w:t>a transformación de una ciudad existente</w:t>
      </w:r>
      <w:r>
        <w:rPr>
          <w:color w:val="000000"/>
        </w:rPr>
        <w:t xml:space="preserve"> en activa, es decir, la </w:t>
      </w:r>
      <w:r w:rsidRPr="00D80F2A">
        <w:rPr>
          <w:i/>
          <w:iCs/>
          <w:color w:val="000000"/>
        </w:rPr>
        <w:t>activación de la ciudad / espacio urbano / tejido</w:t>
      </w:r>
      <w:r>
        <w:rPr>
          <w:color w:val="000000"/>
        </w:rPr>
        <w:t>, debe ser dotarse de una</w:t>
      </w:r>
      <w:r>
        <w:t xml:space="preserve"> estructura o guía de actuación que le permita el objetivo </w:t>
      </w:r>
      <w:r w:rsidRPr="009425BF">
        <w:t>último de conseguir ciudades más saludables y vivibles</w:t>
      </w:r>
      <w:r>
        <w:rPr>
          <w:b/>
          <w:bCs/>
        </w:rPr>
        <w:t>.</w:t>
      </w:r>
    </w:p>
    <w:p w14:paraId="5F137FEC" w14:textId="77777777" w:rsidR="008A069C" w:rsidRDefault="008A069C" w:rsidP="007B667D">
      <w:pPr>
        <w:tabs>
          <w:tab w:val="left" w:pos="2410"/>
          <w:tab w:val="left" w:pos="2694"/>
        </w:tabs>
        <w:jc w:val="both"/>
      </w:pPr>
    </w:p>
    <w:p w14:paraId="7B608665" w14:textId="6CB82354" w:rsidR="008A069C" w:rsidRDefault="008A069C" w:rsidP="007B667D">
      <w:pPr>
        <w:tabs>
          <w:tab w:val="left" w:pos="2410"/>
          <w:tab w:val="left" w:pos="2694"/>
        </w:tabs>
        <w:jc w:val="both"/>
      </w:pPr>
      <w:r>
        <w:t xml:space="preserve">Por ello, vinculado a </w:t>
      </w:r>
      <w:r w:rsidRPr="00302058">
        <w:rPr>
          <w:i/>
          <w:iCs/>
        </w:rPr>
        <w:t>la Estrategia Nacional para el fomento del Deporte contra el Sedentarismo y la Inactividad Física</w:t>
      </w:r>
      <w:r>
        <w:t xml:space="preserve">, se propone el </w:t>
      </w:r>
      <w:proofErr w:type="gramStart"/>
      <w:r>
        <w:t>incentivar  este</w:t>
      </w:r>
      <w:proofErr w:type="gramEnd"/>
      <w:r>
        <w:t xml:space="preserve"> primer paso, la elaboración </w:t>
      </w:r>
      <w:r w:rsidRPr="009425BF">
        <w:t>de</w:t>
      </w:r>
      <w:r w:rsidRPr="007025A0">
        <w:rPr>
          <w:b/>
          <w:bCs/>
        </w:rPr>
        <w:t xml:space="preserve"> Planes Directores de Ciudad Activa</w:t>
      </w:r>
      <w:r>
        <w:t xml:space="preserve">, como parte del largo camino de </w:t>
      </w:r>
      <w:r w:rsidRPr="00CE30B6">
        <w:t xml:space="preserve">la implantación </w:t>
      </w:r>
      <w:r>
        <w:t xml:space="preserve">y materialización </w:t>
      </w:r>
      <w:r w:rsidRPr="00CE30B6">
        <w:t>del modelo de Ciudad Activa</w:t>
      </w:r>
      <w:r>
        <w:t xml:space="preserve"> y sus principios</w:t>
      </w:r>
      <w:r w:rsidRPr="00CE30B6">
        <w:t xml:space="preserve"> </w:t>
      </w:r>
      <w:r>
        <w:t>a lo largo de todo el territorio.</w:t>
      </w:r>
      <w:r w:rsidRPr="007025A0">
        <w:t xml:space="preserve"> </w:t>
      </w:r>
    </w:p>
    <w:p w14:paraId="0A1F62D2" w14:textId="77777777" w:rsidR="008A069C" w:rsidRDefault="008A069C" w:rsidP="007B667D">
      <w:pPr>
        <w:tabs>
          <w:tab w:val="left" w:pos="2410"/>
          <w:tab w:val="left" w:pos="2694"/>
        </w:tabs>
        <w:jc w:val="both"/>
      </w:pPr>
    </w:p>
    <w:p w14:paraId="4110B7CB" w14:textId="77777777" w:rsidR="008A069C" w:rsidRDefault="008A069C" w:rsidP="007B667D">
      <w:pPr>
        <w:jc w:val="both"/>
        <w:rPr>
          <w:rFonts w:cs="Arial"/>
          <w:color w:val="000000" w:themeColor="text1"/>
        </w:rPr>
      </w:pPr>
      <w:r>
        <w:t xml:space="preserve">El </w:t>
      </w:r>
      <w:r w:rsidRPr="009509D4">
        <w:rPr>
          <w:rFonts w:cs="Arial"/>
          <w:b/>
          <w:bCs/>
        </w:rPr>
        <w:t>Plan Director Ciudad Activa</w:t>
      </w:r>
      <w:r>
        <w:rPr>
          <w:rFonts w:cs="Arial"/>
          <w:b/>
          <w:bCs/>
        </w:rPr>
        <w:t xml:space="preserve"> </w:t>
      </w:r>
      <w:r>
        <w:t xml:space="preserve">deberá ser un documento que contenga una suerte de principios u objetivos esenciales </w:t>
      </w:r>
      <w:r w:rsidRPr="00BB22D2">
        <w:rPr>
          <w:rFonts w:cs="Arial"/>
          <w:color w:val="000000" w:themeColor="text1"/>
        </w:rPr>
        <w:t>encaminad</w:t>
      </w:r>
      <w:r>
        <w:rPr>
          <w:rFonts w:cs="Arial"/>
          <w:color w:val="000000" w:themeColor="text1"/>
        </w:rPr>
        <w:t>os</w:t>
      </w:r>
      <w:r w:rsidRPr="00BB22D2">
        <w:rPr>
          <w:rFonts w:cs="Arial"/>
          <w:color w:val="000000" w:themeColor="text1"/>
        </w:rPr>
        <w:t xml:space="preserve"> a incrementar la calidad de vida de los ciudadanos y los consiguientes beneficios para su salud</w:t>
      </w:r>
      <w:r>
        <w:t xml:space="preserve">, pero que, al tiempo, esté los suficientemente detallado como para que pueda </w:t>
      </w:r>
      <w:r w:rsidRPr="00BB22D2">
        <w:rPr>
          <w:rFonts w:cs="Arial"/>
          <w:color w:val="000000" w:themeColor="text1"/>
        </w:rPr>
        <w:t xml:space="preserve">concretarse en intervenciones </w:t>
      </w:r>
      <w:r>
        <w:rPr>
          <w:rFonts w:cs="Arial"/>
          <w:color w:val="000000" w:themeColor="text1"/>
        </w:rPr>
        <w:t xml:space="preserve">de </w:t>
      </w:r>
      <w:r w:rsidRPr="00BB22D2">
        <w:rPr>
          <w:rFonts w:cs="Arial"/>
          <w:color w:val="000000" w:themeColor="text1"/>
        </w:rPr>
        <w:t>adecuación y mejora de los espacios públicos y privado</w:t>
      </w:r>
      <w:r>
        <w:rPr>
          <w:rFonts w:cs="Arial"/>
          <w:color w:val="000000" w:themeColor="text1"/>
        </w:rPr>
        <w:t>s y,</w:t>
      </w:r>
      <w:r w:rsidRPr="00BB22D2">
        <w:rPr>
          <w:rFonts w:cs="Arial"/>
          <w:color w:val="000000" w:themeColor="text1"/>
        </w:rPr>
        <w:t xml:space="preserve"> también</w:t>
      </w:r>
      <w:r>
        <w:rPr>
          <w:rFonts w:cs="Arial"/>
          <w:color w:val="000000" w:themeColor="text1"/>
        </w:rPr>
        <w:t>,</w:t>
      </w:r>
      <w:r w:rsidRPr="00BB22D2">
        <w:rPr>
          <w:rFonts w:cs="Arial"/>
          <w:color w:val="000000" w:themeColor="text1"/>
        </w:rPr>
        <w:t xml:space="preserve"> </w:t>
      </w:r>
      <w:r>
        <w:rPr>
          <w:rFonts w:cs="Arial"/>
          <w:color w:val="000000" w:themeColor="text1"/>
        </w:rPr>
        <w:t>de</w:t>
      </w:r>
      <w:r w:rsidRPr="00BB22D2">
        <w:rPr>
          <w:rFonts w:cs="Arial"/>
          <w:color w:val="000000" w:themeColor="text1"/>
        </w:rPr>
        <w:t xml:space="preserve"> la gestión de los recursos y en la proposición de programas y servicios alineados con esa estrategia. </w:t>
      </w:r>
    </w:p>
    <w:p w14:paraId="57814549" w14:textId="77777777" w:rsidR="00A01F04" w:rsidRDefault="00A01F04" w:rsidP="007B667D">
      <w:pPr>
        <w:jc w:val="both"/>
        <w:rPr>
          <w:rFonts w:cs="Arial"/>
          <w:color w:val="000000" w:themeColor="text1"/>
        </w:rPr>
      </w:pPr>
    </w:p>
    <w:p w14:paraId="3967BE30" w14:textId="12E76DC7" w:rsidR="008A069C" w:rsidRDefault="008A069C" w:rsidP="007B667D">
      <w:pPr>
        <w:jc w:val="both"/>
        <w:rPr>
          <w:rFonts w:cs="Arial"/>
          <w:color w:val="000000" w:themeColor="text1"/>
        </w:rPr>
      </w:pPr>
      <w:r w:rsidRPr="00BB22D2">
        <w:rPr>
          <w:rFonts w:cs="Arial"/>
          <w:color w:val="000000" w:themeColor="text1"/>
        </w:rPr>
        <w:t xml:space="preserve">No obstante, hay que tener en cuenta que la </w:t>
      </w:r>
      <w:r>
        <w:rPr>
          <w:rFonts w:cs="Arial"/>
          <w:color w:val="000000" w:themeColor="text1"/>
        </w:rPr>
        <w:t>C</w:t>
      </w:r>
      <w:r w:rsidRPr="00BB22D2">
        <w:rPr>
          <w:rFonts w:cs="Arial"/>
          <w:color w:val="000000" w:themeColor="text1"/>
        </w:rPr>
        <w:t xml:space="preserve">iudad </w:t>
      </w:r>
      <w:r>
        <w:rPr>
          <w:rFonts w:cs="Arial"/>
          <w:color w:val="000000" w:themeColor="text1"/>
        </w:rPr>
        <w:t>A</w:t>
      </w:r>
      <w:r w:rsidRPr="00BB22D2">
        <w:rPr>
          <w:rFonts w:cs="Arial"/>
          <w:color w:val="000000" w:themeColor="text1"/>
        </w:rPr>
        <w:t xml:space="preserve">ctiva es más un proceso continuado que una meta concreta, es una filosofía vital que conduce a un permanente </w:t>
      </w:r>
      <w:proofErr w:type="spellStart"/>
      <w:r w:rsidRPr="00BB22D2">
        <w:rPr>
          <w:rFonts w:cs="Arial"/>
          <w:i/>
          <w:iCs/>
          <w:color w:val="000000" w:themeColor="text1"/>
        </w:rPr>
        <w:t>work</w:t>
      </w:r>
      <w:proofErr w:type="spellEnd"/>
      <w:r w:rsidRPr="00BB22D2">
        <w:rPr>
          <w:rFonts w:cs="Arial"/>
          <w:i/>
          <w:iCs/>
          <w:color w:val="000000" w:themeColor="text1"/>
        </w:rPr>
        <w:t xml:space="preserve"> in </w:t>
      </w:r>
      <w:proofErr w:type="spellStart"/>
      <w:r w:rsidRPr="00BB22D2">
        <w:rPr>
          <w:rFonts w:cs="Arial"/>
          <w:i/>
          <w:iCs/>
          <w:color w:val="000000" w:themeColor="text1"/>
        </w:rPr>
        <w:t>progress</w:t>
      </w:r>
      <w:proofErr w:type="spellEnd"/>
      <w:r>
        <w:rPr>
          <w:rFonts w:cs="Arial"/>
          <w:color w:val="000000" w:themeColor="text1"/>
        </w:rPr>
        <w:t xml:space="preserve">. Por este motivo, el </w:t>
      </w:r>
      <w:r w:rsidRPr="009509D4">
        <w:rPr>
          <w:rFonts w:cs="Arial"/>
          <w:b/>
          <w:bCs/>
        </w:rPr>
        <w:t>Plan Director Ciudad Activa,</w:t>
      </w:r>
      <w:r>
        <w:rPr>
          <w:rFonts w:cs="Arial"/>
          <w:b/>
          <w:bCs/>
        </w:rPr>
        <w:t xml:space="preserve"> </w:t>
      </w:r>
      <w:r w:rsidRPr="009509D4">
        <w:rPr>
          <w:rFonts w:cs="Arial"/>
          <w:color w:val="000000" w:themeColor="text1"/>
        </w:rPr>
        <w:t xml:space="preserve">deberá ser concebido como un documento </w:t>
      </w:r>
      <w:r w:rsidRPr="007231BE">
        <w:rPr>
          <w:rFonts w:cs="Arial"/>
          <w:color w:val="000000" w:themeColor="text1"/>
        </w:rPr>
        <w:t>vivo</w:t>
      </w:r>
      <w:r w:rsidR="005A7570">
        <w:rPr>
          <w:rFonts w:cs="Arial"/>
          <w:color w:val="000000" w:themeColor="text1"/>
        </w:rPr>
        <w:t>,</w:t>
      </w:r>
      <w:r w:rsidRPr="007231BE">
        <w:rPr>
          <w:rFonts w:cs="Arial"/>
          <w:color w:val="000000" w:themeColor="text1"/>
        </w:rPr>
        <w:t xml:space="preserve"> capa</w:t>
      </w:r>
      <w:r>
        <w:rPr>
          <w:rFonts w:cs="Arial"/>
          <w:color w:val="000000" w:themeColor="text1"/>
        </w:rPr>
        <w:t>z</w:t>
      </w:r>
      <w:r w:rsidRPr="007231BE">
        <w:rPr>
          <w:rFonts w:cs="Arial"/>
          <w:color w:val="000000" w:themeColor="text1"/>
        </w:rPr>
        <w:t xml:space="preserve"> de evolucionar, por lo que</w:t>
      </w:r>
      <w:r>
        <w:rPr>
          <w:rFonts w:cs="Arial"/>
          <w:color w:val="000000" w:themeColor="text1"/>
        </w:rPr>
        <w:t xml:space="preserve">, como parte de su génesis, </w:t>
      </w:r>
      <w:r w:rsidRPr="007231BE">
        <w:rPr>
          <w:rFonts w:cs="Arial"/>
          <w:color w:val="000000" w:themeColor="text1"/>
        </w:rPr>
        <w:t xml:space="preserve">habrá de contener ciertos mecanismos que le permitan su propia revisión </w:t>
      </w:r>
      <w:r>
        <w:rPr>
          <w:rFonts w:cs="Arial"/>
          <w:color w:val="000000" w:themeColor="text1"/>
        </w:rPr>
        <w:t>periódica.</w:t>
      </w:r>
    </w:p>
    <w:p w14:paraId="711EBCD8" w14:textId="77777777" w:rsidR="008A069C" w:rsidRDefault="008A069C" w:rsidP="007B667D">
      <w:pPr>
        <w:jc w:val="both"/>
        <w:rPr>
          <w:rFonts w:cs="Arial"/>
          <w:color w:val="000000" w:themeColor="text1"/>
        </w:rPr>
      </w:pPr>
    </w:p>
    <w:p w14:paraId="5BF8104D" w14:textId="1F29B67E" w:rsidR="008A069C" w:rsidRPr="007025A0" w:rsidRDefault="008A069C" w:rsidP="007B667D">
      <w:pPr>
        <w:jc w:val="both"/>
        <w:rPr>
          <w:rFonts w:cs="Arial"/>
          <w:color w:val="000000" w:themeColor="text1"/>
        </w:rPr>
      </w:pPr>
      <w:r w:rsidRPr="007025A0">
        <w:rPr>
          <w:rFonts w:cs="Arial"/>
          <w:color w:val="000000" w:themeColor="text1"/>
        </w:rPr>
        <w:t>Adicionalmente</w:t>
      </w:r>
      <w:r w:rsidR="005A7570">
        <w:rPr>
          <w:rFonts w:cs="Arial"/>
          <w:color w:val="000000" w:themeColor="text1"/>
        </w:rPr>
        <w:t>,</w:t>
      </w:r>
      <w:r w:rsidRPr="007025A0">
        <w:rPr>
          <w:rFonts w:cs="Arial"/>
          <w:color w:val="000000" w:themeColor="text1"/>
        </w:rPr>
        <w:t xml:space="preserve"> es preciso tener en cuenta un factor más</w:t>
      </w:r>
      <w:r w:rsidR="005A7570">
        <w:rPr>
          <w:rFonts w:cs="Arial"/>
          <w:color w:val="000000" w:themeColor="text1"/>
        </w:rPr>
        <w:t xml:space="preserve">, </w:t>
      </w:r>
      <w:r w:rsidR="005A7570">
        <w:t>e</w:t>
      </w:r>
      <w:r>
        <w:t xml:space="preserve">n la actualidad, las competencias en </w:t>
      </w:r>
      <w:r w:rsidR="005A7570">
        <w:t>m</w:t>
      </w:r>
      <w:r>
        <w:t>ateria de Urbanismo y Ordenación del Territorio se encuentran plenamente transferidas a las Comunidades Autónomas y los Ayuntamientos, por lo que cualquier línea de actuación que pudiera considerarse en relación con estos ámbitos, como es el caso de la práctica mayoría de las estrategias que han sido mencionadas en este documento, tendrán</w:t>
      </w:r>
      <w:r w:rsidR="005A7570">
        <w:t>,</w:t>
      </w:r>
      <w:r>
        <w:t xml:space="preserve"> forzosamente</w:t>
      </w:r>
      <w:r w:rsidR="005A7570">
        <w:t>,</w:t>
      </w:r>
      <w:r>
        <w:t xml:space="preserve"> que contar con la concurrencia de estas administraciones. </w:t>
      </w:r>
    </w:p>
    <w:p w14:paraId="56964425" w14:textId="77777777" w:rsidR="008A069C" w:rsidRDefault="008A069C" w:rsidP="007B667D">
      <w:pPr>
        <w:jc w:val="both"/>
        <w:rPr>
          <w:rFonts w:cs="Arial"/>
          <w:b/>
          <w:bCs/>
        </w:rPr>
      </w:pPr>
    </w:p>
    <w:p w14:paraId="5DC1280A" w14:textId="77777777" w:rsidR="008A069C" w:rsidRPr="00DA6852" w:rsidRDefault="008A069C" w:rsidP="007B667D">
      <w:pPr>
        <w:pStyle w:val="Ttulo3"/>
        <w:numPr>
          <w:ilvl w:val="0"/>
          <w:numId w:val="0"/>
        </w:numPr>
        <w:jc w:val="both"/>
        <w:rPr>
          <w:lang w:val="es-ES"/>
        </w:rPr>
      </w:pPr>
      <w:r w:rsidRPr="007B667D">
        <w:rPr>
          <w:lang w:val="es-ES"/>
        </w:rPr>
        <w:t>Fases de Elaboración del Plan Director</w:t>
      </w:r>
    </w:p>
    <w:p w14:paraId="433FB144" w14:textId="77777777" w:rsidR="008A069C" w:rsidRDefault="008A069C" w:rsidP="007B667D">
      <w:pPr>
        <w:jc w:val="both"/>
        <w:rPr>
          <w:rFonts w:cs="Arial"/>
          <w:b/>
          <w:bCs/>
        </w:rPr>
      </w:pPr>
    </w:p>
    <w:p w14:paraId="5629F75A" w14:textId="77777777" w:rsidR="008A069C" w:rsidRPr="007B667D" w:rsidRDefault="008A069C" w:rsidP="007B667D">
      <w:pPr>
        <w:pStyle w:val="Ttulo3"/>
        <w:numPr>
          <w:ilvl w:val="0"/>
          <w:numId w:val="0"/>
        </w:numPr>
        <w:jc w:val="both"/>
        <w:rPr>
          <w:i/>
          <w:iCs/>
          <w:color w:val="auto"/>
          <w:lang w:val="es-ES"/>
        </w:rPr>
      </w:pPr>
      <w:r w:rsidRPr="007B667D">
        <w:rPr>
          <w:i/>
          <w:iCs/>
          <w:color w:val="auto"/>
          <w:lang w:val="es-ES"/>
        </w:rPr>
        <w:t>Instrumentos de referencia. Ámbito de Competencia Estatal.</w:t>
      </w:r>
    </w:p>
    <w:p w14:paraId="7A7F8005" w14:textId="77777777" w:rsidR="006A099D" w:rsidRDefault="006A099D" w:rsidP="00183629">
      <w:pPr>
        <w:pStyle w:val="Ttulo3"/>
        <w:numPr>
          <w:ilvl w:val="0"/>
          <w:numId w:val="0"/>
        </w:numPr>
        <w:ind w:left="720" w:hanging="720"/>
        <w:jc w:val="both"/>
        <w:rPr>
          <w:color w:val="auto"/>
          <w:u w:val="single"/>
          <w:lang w:val="es-ES"/>
        </w:rPr>
      </w:pPr>
    </w:p>
    <w:p w14:paraId="23030ADE" w14:textId="2F7D71B2" w:rsidR="008A069C" w:rsidRPr="008A069C" w:rsidRDefault="008A069C" w:rsidP="00183629">
      <w:pPr>
        <w:pStyle w:val="Ttulo3"/>
        <w:numPr>
          <w:ilvl w:val="0"/>
          <w:numId w:val="0"/>
        </w:numPr>
        <w:ind w:left="720" w:hanging="720"/>
        <w:jc w:val="both"/>
        <w:rPr>
          <w:color w:val="auto"/>
          <w:u w:val="single"/>
          <w:lang w:val="es-ES"/>
        </w:rPr>
      </w:pPr>
      <w:r w:rsidRPr="008A069C">
        <w:rPr>
          <w:color w:val="auto"/>
          <w:u w:val="single"/>
          <w:lang w:val="es-ES"/>
        </w:rPr>
        <w:t>Libro Blanco de la Ciudades Activas.</w:t>
      </w:r>
    </w:p>
    <w:p w14:paraId="46C4B1F4" w14:textId="7567FB87" w:rsidR="008A069C" w:rsidRDefault="008A069C" w:rsidP="00183629">
      <w:pPr>
        <w:jc w:val="both"/>
        <w:rPr>
          <w:lang w:eastAsia="es-ES"/>
        </w:rPr>
      </w:pPr>
      <w:r>
        <w:rPr>
          <w:lang w:eastAsia="es-ES"/>
        </w:rPr>
        <w:t xml:space="preserve">Es </w:t>
      </w:r>
      <w:r w:rsidRPr="008A069C">
        <w:t>preciso</w:t>
      </w:r>
      <w:r>
        <w:rPr>
          <w:lang w:eastAsia="es-ES"/>
        </w:rPr>
        <w:t xml:space="preserve"> desponer de un documento marco de carácter conceptual que establezca directrices, estrategias y procedimientos de carácter genérico que puedan servir como referencia a la hora de desarrollar los planes directores específicos</w:t>
      </w:r>
      <w:r w:rsidR="006A099D">
        <w:rPr>
          <w:lang w:eastAsia="es-ES"/>
        </w:rPr>
        <w:t>.</w:t>
      </w:r>
    </w:p>
    <w:p w14:paraId="3007ECD8" w14:textId="77777777" w:rsidR="008A069C" w:rsidRDefault="008A069C" w:rsidP="00183629">
      <w:pPr>
        <w:jc w:val="both"/>
        <w:rPr>
          <w:lang w:eastAsia="es-ES"/>
        </w:rPr>
      </w:pPr>
    </w:p>
    <w:p w14:paraId="02EBA62D" w14:textId="093F81CD" w:rsidR="008A069C" w:rsidRPr="008A069C" w:rsidRDefault="008A069C" w:rsidP="00183629">
      <w:pPr>
        <w:pStyle w:val="Ttulo3"/>
        <w:numPr>
          <w:ilvl w:val="0"/>
          <w:numId w:val="0"/>
        </w:numPr>
        <w:ind w:left="720" w:hanging="720"/>
        <w:jc w:val="both"/>
        <w:rPr>
          <w:color w:val="auto"/>
          <w:u w:val="single"/>
          <w:lang w:val="es-ES"/>
        </w:rPr>
      </w:pPr>
      <w:r w:rsidRPr="008A069C">
        <w:rPr>
          <w:color w:val="auto"/>
          <w:u w:val="single"/>
          <w:lang w:val="es-ES"/>
        </w:rPr>
        <w:t>Observatorio de las ciudades activas</w:t>
      </w:r>
      <w:r w:rsidR="006A099D">
        <w:rPr>
          <w:color w:val="auto"/>
          <w:u w:val="single"/>
          <w:lang w:val="es-ES"/>
        </w:rPr>
        <w:t>.</w:t>
      </w:r>
    </w:p>
    <w:p w14:paraId="2552B93B" w14:textId="1E4AC097" w:rsidR="008A069C" w:rsidRDefault="008A069C" w:rsidP="00183629">
      <w:pPr>
        <w:jc w:val="both"/>
        <w:rPr>
          <w:lang w:eastAsia="es-ES"/>
        </w:rPr>
      </w:pPr>
      <w:r>
        <w:rPr>
          <w:lang w:eastAsia="es-ES"/>
        </w:rPr>
        <w:t>Así mismo, sería muy relevante poder disponer de un repositorio abierto en el que acumular las distintas buenas prácticas a escala nacional que se vayan implementando en las distintas ciudades y territorios.</w:t>
      </w:r>
    </w:p>
    <w:p w14:paraId="7198DEB4" w14:textId="77777777" w:rsidR="008A069C" w:rsidRDefault="008A069C" w:rsidP="00183629">
      <w:pPr>
        <w:jc w:val="both"/>
        <w:rPr>
          <w:lang w:eastAsia="es-ES"/>
        </w:rPr>
      </w:pPr>
      <w:r>
        <w:rPr>
          <w:lang w:eastAsia="es-ES"/>
        </w:rPr>
        <w:t>En un sentido ideal, estas dos herramientas de carácter genérico e integrador deberían ser desarrolladas y coordinadas por parte de la Administración Central.</w:t>
      </w:r>
    </w:p>
    <w:p w14:paraId="10A4A12B" w14:textId="77777777" w:rsidR="008A069C" w:rsidRPr="00B50172" w:rsidRDefault="008A069C" w:rsidP="00183629">
      <w:pPr>
        <w:jc w:val="both"/>
        <w:rPr>
          <w:rFonts w:cs="Arial"/>
          <w:b/>
          <w:bCs/>
        </w:rPr>
      </w:pPr>
    </w:p>
    <w:p w14:paraId="16C7B92D" w14:textId="53DFF128" w:rsidR="008A069C" w:rsidRPr="008A069C" w:rsidRDefault="008A069C" w:rsidP="00183629">
      <w:pPr>
        <w:pStyle w:val="Ttulo3"/>
        <w:numPr>
          <w:ilvl w:val="0"/>
          <w:numId w:val="0"/>
        </w:numPr>
        <w:ind w:left="720" w:hanging="720"/>
        <w:jc w:val="both"/>
        <w:rPr>
          <w:color w:val="auto"/>
          <w:u w:val="single"/>
          <w:lang w:val="es-ES"/>
        </w:rPr>
      </w:pPr>
      <w:r w:rsidRPr="008A069C">
        <w:rPr>
          <w:color w:val="auto"/>
          <w:u w:val="single"/>
          <w:lang w:val="es-ES"/>
        </w:rPr>
        <w:t>Auditoria Urbana. Á</w:t>
      </w:r>
      <w:r>
        <w:rPr>
          <w:color w:val="auto"/>
          <w:u w:val="single"/>
          <w:lang w:val="es-ES"/>
        </w:rPr>
        <w:t>mbito de Competencia Autonómico</w:t>
      </w:r>
    </w:p>
    <w:p w14:paraId="0717C2ED" w14:textId="77777777" w:rsidR="008A069C" w:rsidRDefault="008A069C" w:rsidP="00183629">
      <w:pPr>
        <w:jc w:val="both"/>
        <w:rPr>
          <w:b/>
          <w:bCs/>
          <w:color w:val="000000"/>
        </w:rPr>
      </w:pPr>
      <w:r>
        <w:rPr>
          <w:color w:val="000000"/>
        </w:rPr>
        <w:t xml:space="preserve">La </w:t>
      </w:r>
      <w:r w:rsidRPr="00B50172">
        <w:rPr>
          <w:color w:val="000000"/>
        </w:rPr>
        <w:t>activación de la ciudad</w:t>
      </w:r>
      <w:r>
        <w:rPr>
          <w:color w:val="000000"/>
        </w:rPr>
        <w:t xml:space="preserve"> o el territorio </w:t>
      </w:r>
      <w:r w:rsidRPr="00F13D20">
        <w:rPr>
          <w:color w:val="000000"/>
        </w:rPr>
        <w:t xml:space="preserve">debe </w:t>
      </w:r>
      <w:r>
        <w:rPr>
          <w:color w:val="000000"/>
        </w:rPr>
        <w:t>comenzar</w:t>
      </w:r>
      <w:r w:rsidRPr="00F13D20">
        <w:rPr>
          <w:color w:val="000000"/>
        </w:rPr>
        <w:t xml:space="preserve"> </w:t>
      </w:r>
      <w:r>
        <w:rPr>
          <w:color w:val="000000"/>
        </w:rPr>
        <w:t>con el</w:t>
      </w:r>
      <w:r w:rsidRPr="00F13D20">
        <w:rPr>
          <w:color w:val="000000"/>
        </w:rPr>
        <w:t xml:space="preserve"> análisis de las bases de partida</w:t>
      </w:r>
      <w:r>
        <w:rPr>
          <w:color w:val="000000"/>
        </w:rPr>
        <w:t xml:space="preserve">, es decir, con una evaluación inicial de las condiciones que afectan a las ciudades y los territorios: la </w:t>
      </w:r>
      <w:r w:rsidRPr="007B667D">
        <w:rPr>
          <w:color w:val="000000"/>
        </w:rPr>
        <w:t>Auditoría Urbana.</w:t>
      </w:r>
    </w:p>
    <w:p w14:paraId="6E5D9ABB" w14:textId="77777777" w:rsidR="008A069C" w:rsidRDefault="008A069C" w:rsidP="007B78CE">
      <w:pPr>
        <w:jc w:val="both"/>
        <w:rPr>
          <w:b/>
          <w:bCs/>
          <w:color w:val="000000"/>
        </w:rPr>
      </w:pPr>
    </w:p>
    <w:p w14:paraId="359DADD4" w14:textId="34CB18E7" w:rsidR="008A069C" w:rsidRDefault="008A069C" w:rsidP="007B78CE">
      <w:pPr>
        <w:jc w:val="both"/>
      </w:pPr>
      <w:r w:rsidRPr="00EC13FF">
        <w:t>La</w:t>
      </w:r>
      <w:r>
        <w:rPr>
          <w:b/>
          <w:bCs/>
        </w:rPr>
        <w:t xml:space="preserve"> </w:t>
      </w:r>
      <w:r w:rsidRPr="007B667D">
        <w:t>Auditoria Urbana</w:t>
      </w:r>
      <w:r w:rsidRPr="006A099D">
        <w:t xml:space="preserve">, es un estudio particularizado de ciertos aspectos de la ciudad, relacionados con el modelo de Ciudad Activa. Esta Auditoría mide el estado de la ciudad respecto a las posibilidades máximas que pueden asumirse con realismo. La metodología utiliza un sistema de </w:t>
      </w:r>
      <w:r w:rsidR="006A099D">
        <w:t>i</w:t>
      </w:r>
      <w:r w:rsidRPr="007B667D">
        <w:t>ndicadores de Ciudad Activa</w:t>
      </w:r>
      <w:r w:rsidRPr="006A099D">
        <w:t xml:space="preserve"> que llegan a agruparse en un indicador global. Debe precisarse que la ciudad no compite</w:t>
      </w:r>
      <w:r>
        <w:t xml:space="preserve"> con otras sino consigo misma y que los esfuerzos realizados son medibles y objetivables. </w:t>
      </w:r>
    </w:p>
    <w:p w14:paraId="1E8677EB" w14:textId="77777777" w:rsidR="00A01F04" w:rsidRDefault="00A01F04" w:rsidP="007B78CE">
      <w:pPr>
        <w:jc w:val="both"/>
      </w:pPr>
    </w:p>
    <w:p w14:paraId="2CAAD1C3" w14:textId="513363F2" w:rsidR="008A069C" w:rsidRDefault="008A069C" w:rsidP="007B78CE">
      <w:pPr>
        <w:jc w:val="both"/>
      </w:pPr>
      <w:r w:rsidRPr="006C34B4">
        <w:t xml:space="preserve">En un sentido ideal, esta fase de arranque debiera </w:t>
      </w:r>
      <w:r>
        <w:t xml:space="preserve">no </w:t>
      </w:r>
      <w:r w:rsidRPr="006C34B4">
        <w:t>acometerse circunscribiendo la actuación a un municipio o unidad territorial específica, sino que debería albergar la voluntad de cubrir todo un territorio o sistema de ciudades con el objetivo de poder evaluar</w:t>
      </w:r>
      <w:r>
        <w:t>,</w:t>
      </w:r>
      <w:r w:rsidRPr="006C34B4">
        <w:t xml:space="preserve"> en última </w:t>
      </w:r>
      <w:r>
        <w:t>ins</w:t>
      </w:r>
      <w:r w:rsidRPr="006C34B4">
        <w:t>tancia</w:t>
      </w:r>
      <w:r>
        <w:t>,</w:t>
      </w:r>
      <w:r w:rsidRPr="006C34B4">
        <w:t xml:space="preserve"> el diferente estatus de los entornos observados y poder así priorizar en el programa de inversiones.</w:t>
      </w:r>
      <w:r>
        <w:t xml:space="preserve"> La coordinación de esta labor y su financiación debería, por tanto, recaer sobre las Comunidades Autónomas.</w:t>
      </w:r>
    </w:p>
    <w:p w14:paraId="3B8E21A4" w14:textId="77777777" w:rsidR="008A069C" w:rsidRPr="008A069C" w:rsidRDefault="008A069C" w:rsidP="007B78CE">
      <w:pPr>
        <w:jc w:val="both"/>
      </w:pPr>
    </w:p>
    <w:p w14:paraId="303DE169" w14:textId="56037A9A" w:rsidR="008A069C" w:rsidRPr="008A069C" w:rsidRDefault="008A069C" w:rsidP="007B78CE">
      <w:pPr>
        <w:pStyle w:val="Ttulo3"/>
        <w:numPr>
          <w:ilvl w:val="0"/>
          <w:numId w:val="0"/>
        </w:numPr>
        <w:jc w:val="both"/>
        <w:rPr>
          <w:color w:val="auto"/>
          <w:u w:val="single"/>
          <w:lang w:val="es-ES"/>
        </w:rPr>
      </w:pPr>
      <w:r w:rsidRPr="008A069C">
        <w:rPr>
          <w:color w:val="auto"/>
          <w:u w:val="single"/>
          <w:lang w:val="es-ES"/>
        </w:rPr>
        <w:lastRenderedPageBreak/>
        <w:t>Plan Director de Ciudad Activa. Ámbito de Com</w:t>
      </w:r>
      <w:r>
        <w:rPr>
          <w:color w:val="auto"/>
          <w:u w:val="single"/>
          <w:lang w:val="es-ES"/>
        </w:rPr>
        <w:t>petencia Local</w:t>
      </w:r>
    </w:p>
    <w:p w14:paraId="50FD3C21" w14:textId="77777777" w:rsidR="008A069C" w:rsidRDefault="008A069C" w:rsidP="007B78CE">
      <w:pPr>
        <w:jc w:val="both"/>
      </w:pPr>
      <w:r>
        <w:t xml:space="preserve">Este Plan es analítico, diagnóstico y propositivo y, como tal, no solo detecta necesidades y posibilidades, sino que incluye proyectos concretos que pretenden ayudar a alcanzar los beneficios del modelo de Ciudad Activa. </w:t>
      </w:r>
    </w:p>
    <w:p w14:paraId="5E834E3E" w14:textId="77777777" w:rsidR="008A069C" w:rsidRDefault="008A069C" w:rsidP="007B78CE">
      <w:pPr>
        <w:jc w:val="both"/>
      </w:pPr>
    </w:p>
    <w:p w14:paraId="1DF8A6AA" w14:textId="77777777" w:rsidR="008A069C" w:rsidRDefault="008A069C" w:rsidP="007B78CE">
      <w:pPr>
        <w:jc w:val="both"/>
      </w:pPr>
      <w:r>
        <w:t xml:space="preserve">El Plan Director realiza </w:t>
      </w:r>
      <w:r w:rsidRPr="006A099D">
        <w:t xml:space="preserve">un </w:t>
      </w:r>
      <w:r w:rsidRPr="007B667D">
        <w:t>Programa de diagnóstico de Ciudad Activa,</w:t>
      </w:r>
      <w:r w:rsidRPr="006A099D">
        <w:t xml:space="preserve"> que es una evaluación exhaustiva sobre el estado de situación del municipio respecto a las claves del modelo de Ciudad Activa. Como parte del diagnóstico, se abordará el estado del medio físico, el medio natural y el medio humano; procesos de </w:t>
      </w:r>
      <w:r w:rsidRPr="007B667D">
        <w:t>participación ciudadana</w:t>
      </w:r>
      <w:r w:rsidRPr="006A099D">
        <w:t xml:space="preserve"> y la </w:t>
      </w:r>
      <w:r w:rsidRPr="007B667D">
        <w:t>auditoría urbana</w:t>
      </w:r>
      <w:r w:rsidRPr="006A099D">
        <w:t xml:space="preserve"> del municipio. La diagnosis permite a los responsables urbanos fijar el horizonte a seguir y sirve de base para</w:t>
      </w:r>
      <w:r>
        <w:t xml:space="preserve"> la elaboración de un Modelo de Ciudad Activa. Este modelo fundamenta y justifica la proposición de proyectos y líneas de actuación cuya implementación debe ser planificada, así como su posterior seguimiento y control. Por estos motivos, la responsabilidad de la coordinación de esta fase debería recaer sobre las entidades locales, es decir, los ayuntamientos, los mejores conocedores de la realidad espacial y los responsables últimos de la gestión y el impulso de planes y propuestas.</w:t>
      </w:r>
      <w:bookmarkEnd w:id="13"/>
    </w:p>
    <w:p w14:paraId="0B25FE3F" w14:textId="77777777" w:rsidR="008A069C" w:rsidRDefault="008A069C" w:rsidP="007B78CE">
      <w:pPr>
        <w:jc w:val="both"/>
      </w:pPr>
    </w:p>
    <w:p w14:paraId="4467A80D" w14:textId="010F3BFE" w:rsidR="008A069C" w:rsidRPr="007B667D" w:rsidRDefault="008A069C" w:rsidP="007B78CE">
      <w:pPr>
        <w:pStyle w:val="Ttulo2"/>
        <w:numPr>
          <w:ilvl w:val="0"/>
          <w:numId w:val="0"/>
        </w:numPr>
        <w:jc w:val="both"/>
        <w:rPr>
          <w:sz w:val="24"/>
          <w:szCs w:val="24"/>
          <w:lang w:val="es-ES"/>
        </w:rPr>
      </w:pPr>
      <w:r w:rsidRPr="007B667D">
        <w:rPr>
          <w:sz w:val="24"/>
          <w:szCs w:val="24"/>
          <w:lang w:val="es-ES"/>
        </w:rPr>
        <w:t xml:space="preserve">Indicadores </w:t>
      </w:r>
      <w:r w:rsidR="00BB7A2A" w:rsidRPr="007B667D">
        <w:rPr>
          <w:sz w:val="24"/>
          <w:szCs w:val="24"/>
          <w:lang w:val="es-ES"/>
        </w:rPr>
        <w:t>para la</w:t>
      </w:r>
      <w:r w:rsidRPr="007B667D">
        <w:rPr>
          <w:sz w:val="24"/>
          <w:szCs w:val="24"/>
          <w:lang w:val="es-ES"/>
        </w:rPr>
        <w:t xml:space="preserve"> monitorización y eval</w:t>
      </w:r>
      <w:r w:rsidR="00BB7A2A" w:rsidRPr="007B667D">
        <w:rPr>
          <w:sz w:val="24"/>
          <w:szCs w:val="24"/>
          <w:lang w:val="es-ES"/>
        </w:rPr>
        <w:t xml:space="preserve">uación de la Ciudad Activa </w:t>
      </w:r>
    </w:p>
    <w:p w14:paraId="07BDBE46" w14:textId="77777777" w:rsidR="00BB7A2A" w:rsidRPr="00BB7A2A" w:rsidRDefault="00BB7A2A" w:rsidP="007B78CE">
      <w:pPr>
        <w:jc w:val="both"/>
      </w:pPr>
    </w:p>
    <w:p w14:paraId="3751FD2F" w14:textId="407D433C" w:rsidR="008A069C" w:rsidRDefault="008A069C" w:rsidP="007B78CE">
      <w:pPr>
        <w:tabs>
          <w:tab w:val="left" w:pos="2410"/>
          <w:tab w:val="left" w:pos="2694"/>
        </w:tabs>
        <w:jc w:val="both"/>
        <w:rPr>
          <w:rFonts w:cs="Arial"/>
        </w:rPr>
      </w:pPr>
      <w:r>
        <w:rPr>
          <w:rFonts w:cs="Arial"/>
        </w:rPr>
        <w:t xml:space="preserve">Se </w:t>
      </w:r>
      <w:r w:rsidRPr="003C2255">
        <w:rPr>
          <w:rFonts w:cs="Arial"/>
        </w:rPr>
        <w:t>proponen una serie de indicadores que evalúan la ciudad desde el punto de vista de los requisitos del modelo de Ciudad Activa.</w:t>
      </w:r>
      <w:r>
        <w:rPr>
          <w:rFonts w:cs="Arial"/>
        </w:rPr>
        <w:t xml:space="preserve"> Este conjunto de indicadores ya ha sido probado.</w:t>
      </w:r>
      <w:r>
        <w:rPr>
          <w:rStyle w:val="Refdenotaalpie"/>
          <w:rFonts w:cs="Arial"/>
          <w:b/>
          <w:bCs/>
        </w:rPr>
        <w:footnoteReference w:id="10"/>
      </w:r>
    </w:p>
    <w:p w14:paraId="208924F9" w14:textId="77777777" w:rsidR="00BB7A2A" w:rsidRDefault="00BB7A2A" w:rsidP="007B78CE">
      <w:pPr>
        <w:tabs>
          <w:tab w:val="left" w:pos="2410"/>
          <w:tab w:val="left" w:pos="2694"/>
        </w:tabs>
        <w:jc w:val="both"/>
        <w:rPr>
          <w:rFonts w:cs="Arial"/>
        </w:rPr>
      </w:pPr>
    </w:p>
    <w:p w14:paraId="5F6AB51C" w14:textId="2144D561" w:rsidR="008A069C" w:rsidRPr="006A099D" w:rsidRDefault="008A069C" w:rsidP="007B78CE">
      <w:pPr>
        <w:tabs>
          <w:tab w:val="left" w:pos="2410"/>
          <w:tab w:val="left" w:pos="2694"/>
        </w:tabs>
        <w:jc w:val="both"/>
        <w:rPr>
          <w:rFonts w:cs="Arial"/>
        </w:rPr>
      </w:pPr>
      <w:r w:rsidRPr="006A099D">
        <w:rPr>
          <w:rFonts w:cs="Arial"/>
        </w:rPr>
        <w:t xml:space="preserve">La valoración se organiza en </w:t>
      </w:r>
      <w:r w:rsidRPr="007B667D">
        <w:rPr>
          <w:rFonts w:cs="Arial"/>
        </w:rPr>
        <w:t>cinco categorías</w:t>
      </w:r>
      <w:r w:rsidRPr="006A099D">
        <w:rPr>
          <w:rFonts w:cs="Arial"/>
        </w:rPr>
        <w:t xml:space="preserve">, cada una de las cuales se despliega en tres ámbitos, resultando un total de </w:t>
      </w:r>
      <w:r w:rsidRPr="007B667D">
        <w:rPr>
          <w:rFonts w:cs="Arial"/>
        </w:rPr>
        <w:t>quince ámbitos de evaluación</w:t>
      </w:r>
      <w:r w:rsidRPr="006A099D">
        <w:rPr>
          <w:rFonts w:cs="Arial"/>
        </w:rPr>
        <w:t xml:space="preserve">. Estos ámbitos se auditan mediante dos índices, de manera que, finalmente, se obtienen </w:t>
      </w:r>
      <w:r w:rsidRPr="007B667D">
        <w:rPr>
          <w:rFonts w:cs="Arial"/>
        </w:rPr>
        <w:t xml:space="preserve">treinta indicadores </w:t>
      </w:r>
      <w:r w:rsidRPr="006A099D">
        <w:rPr>
          <w:rFonts w:cs="Arial"/>
        </w:rPr>
        <w:t>(KPI)</w:t>
      </w:r>
      <w:r w:rsidR="00BB7A2A" w:rsidRPr="006A099D">
        <w:rPr>
          <w:rFonts w:cs="Arial"/>
        </w:rPr>
        <w:t>.</w:t>
      </w:r>
    </w:p>
    <w:p w14:paraId="485C3109" w14:textId="77777777" w:rsidR="00BB7A2A" w:rsidRPr="006A099D" w:rsidRDefault="00BB7A2A" w:rsidP="007B78CE">
      <w:pPr>
        <w:tabs>
          <w:tab w:val="left" w:pos="2410"/>
          <w:tab w:val="left" w:pos="2694"/>
        </w:tabs>
        <w:jc w:val="both"/>
        <w:rPr>
          <w:rFonts w:cs="Arial"/>
        </w:rPr>
      </w:pPr>
    </w:p>
    <w:p w14:paraId="1BB2E67D" w14:textId="77777777" w:rsidR="008A069C" w:rsidRPr="006A099D" w:rsidRDefault="008A069C" w:rsidP="007B78CE">
      <w:pPr>
        <w:jc w:val="both"/>
        <w:rPr>
          <w:rFonts w:cs="Arial"/>
          <w:lang w:eastAsia="es-ES"/>
        </w:rPr>
      </w:pPr>
      <w:r w:rsidRPr="006A099D">
        <w:rPr>
          <w:rFonts w:cs="Arial"/>
          <w:lang w:eastAsia="es-ES"/>
        </w:rPr>
        <w:t xml:space="preserve">Los indicadores son testigos de la evolución que el municipio presenta en su proceso hacia la Ciudad Activa. El modelo establece un escenario ideal que tiene una expresión cuantitativa. El valor máximo es la unidad mientras que el cero advierte de la carencia absoluta. Los indicadores ofrecen cifras para cada ámbito investigado dentro de ese mismo intervalo. En la medida en que se aproxime a uno, el indicador señala el grado de cumplimiento de los requisitos del modelo. La posterior agregación ponderada de los indicadores parciales da como resultado el </w:t>
      </w:r>
      <w:r w:rsidRPr="007B667D">
        <w:rPr>
          <w:rFonts w:cs="Arial"/>
          <w:lang w:eastAsia="es-ES"/>
        </w:rPr>
        <w:t>indicador global de la ciudad</w:t>
      </w:r>
      <w:r w:rsidRPr="006A099D">
        <w:rPr>
          <w:rFonts w:cs="Arial"/>
          <w:lang w:eastAsia="es-ES"/>
        </w:rPr>
        <w:t>.</w:t>
      </w:r>
    </w:p>
    <w:p w14:paraId="78445BE5" w14:textId="77777777" w:rsidR="00BB7A2A" w:rsidRPr="006A099D" w:rsidRDefault="00BB7A2A" w:rsidP="007B78CE">
      <w:pPr>
        <w:jc w:val="both"/>
        <w:rPr>
          <w:rFonts w:cs="Arial"/>
          <w:lang w:eastAsia="es-ES"/>
        </w:rPr>
      </w:pPr>
    </w:p>
    <w:p w14:paraId="394111CB" w14:textId="52953EF6" w:rsidR="008A069C" w:rsidRPr="006A099D" w:rsidRDefault="008A069C" w:rsidP="007B78CE">
      <w:pPr>
        <w:jc w:val="both"/>
        <w:rPr>
          <w:rFonts w:cs="Arial"/>
          <w:lang w:eastAsia="es-ES"/>
        </w:rPr>
      </w:pPr>
      <w:r w:rsidRPr="006A099D">
        <w:rPr>
          <w:rFonts w:cs="Arial"/>
          <w:lang w:eastAsia="es-ES"/>
        </w:rPr>
        <w:t>Los indicadores son circunstanciales, es decir, están vinculados al momento concreto en el que se calculan</w:t>
      </w:r>
      <w:r w:rsidR="006A099D">
        <w:rPr>
          <w:rFonts w:cs="Arial"/>
          <w:lang w:eastAsia="es-ES"/>
        </w:rPr>
        <w:t>,</w:t>
      </w:r>
      <w:r w:rsidRPr="006A099D">
        <w:rPr>
          <w:rFonts w:cs="Arial"/>
          <w:lang w:eastAsia="es-ES"/>
        </w:rPr>
        <w:t xml:space="preserve"> puesto que chequean el estado de la ciudad en una fecha determinada. Esto, lejos de ser un inconveniente es su gran virtud, puesto que manteniendo el procedimiento de cálculo permiten conocer la progresión hacia el modelo como consecuencia de las medidas adoptadas. Por esta razón se recomienda su </w:t>
      </w:r>
      <w:r w:rsidRPr="007B667D">
        <w:rPr>
          <w:rFonts w:cs="Arial"/>
          <w:lang w:eastAsia="es-ES"/>
        </w:rPr>
        <w:t>actualización cuatrienal</w:t>
      </w:r>
      <w:r w:rsidRPr="006A099D">
        <w:rPr>
          <w:rFonts w:cs="Arial"/>
          <w:lang w:eastAsia="es-ES"/>
        </w:rPr>
        <w:t>.</w:t>
      </w:r>
    </w:p>
    <w:p w14:paraId="71865F31" w14:textId="77777777" w:rsidR="00BB7A2A" w:rsidRPr="00BB22D2" w:rsidRDefault="00BB7A2A" w:rsidP="007B78CE">
      <w:pPr>
        <w:jc w:val="both"/>
        <w:rPr>
          <w:rFonts w:cs="Arial"/>
          <w:lang w:eastAsia="es-ES"/>
        </w:rPr>
      </w:pPr>
    </w:p>
    <w:p w14:paraId="10545E0F" w14:textId="77777777" w:rsidR="008A069C" w:rsidRDefault="008A069C" w:rsidP="007B78CE">
      <w:pPr>
        <w:tabs>
          <w:tab w:val="left" w:pos="2410"/>
          <w:tab w:val="left" w:pos="2694"/>
        </w:tabs>
        <w:jc w:val="both"/>
        <w:rPr>
          <w:rFonts w:cs="Arial"/>
        </w:rPr>
      </w:pPr>
      <w:r w:rsidRPr="00BB22D2">
        <w:rPr>
          <w:rFonts w:cs="Arial"/>
        </w:rPr>
        <w:lastRenderedPageBreak/>
        <w:t xml:space="preserve">El esquema </w:t>
      </w:r>
      <w:r>
        <w:rPr>
          <w:rFonts w:cs="Arial"/>
        </w:rPr>
        <w:t xml:space="preserve">que ordena los indicadores propuestos </w:t>
      </w:r>
      <w:r w:rsidRPr="00BB22D2">
        <w:rPr>
          <w:rFonts w:cs="Arial"/>
        </w:rPr>
        <w:t>es el siguiente:</w:t>
      </w:r>
    </w:p>
    <w:p w14:paraId="4AFED682" w14:textId="77777777" w:rsidR="00BB7A2A" w:rsidRPr="00BB22D2" w:rsidRDefault="00BB7A2A" w:rsidP="007B78CE">
      <w:pPr>
        <w:tabs>
          <w:tab w:val="left" w:pos="2410"/>
          <w:tab w:val="left" w:pos="2694"/>
        </w:tabs>
        <w:jc w:val="both"/>
        <w:rPr>
          <w:rFonts w:cs="Arial"/>
        </w:rPr>
      </w:pPr>
    </w:p>
    <w:p w14:paraId="4C9A7C30" w14:textId="59883C70" w:rsidR="00BB7A2A" w:rsidRDefault="00BB7A2A" w:rsidP="007B78CE">
      <w:pPr>
        <w:jc w:val="both"/>
        <w:rPr>
          <w:rFonts w:cs="Arial"/>
          <w:b/>
          <w:bCs/>
        </w:rPr>
      </w:pPr>
      <w:r>
        <w:rPr>
          <w:rFonts w:cs="Arial"/>
          <w:b/>
          <w:bCs/>
        </w:rPr>
        <w:t>Categoría 1.</w:t>
      </w:r>
    </w:p>
    <w:p w14:paraId="6547EC9B" w14:textId="266A06FA" w:rsidR="008A069C" w:rsidRDefault="008A069C" w:rsidP="007B78CE">
      <w:pPr>
        <w:jc w:val="both"/>
        <w:rPr>
          <w:rFonts w:cs="Arial"/>
        </w:rPr>
      </w:pPr>
      <w:r w:rsidRPr="00BB22D2">
        <w:rPr>
          <w:rFonts w:cs="Arial"/>
          <w:b/>
          <w:bCs/>
        </w:rPr>
        <w:t>Auditoria de Entornos activos</w:t>
      </w:r>
      <w:r>
        <w:rPr>
          <w:rFonts w:cs="Arial"/>
          <w:b/>
          <w:bCs/>
        </w:rPr>
        <w:t>.</w:t>
      </w:r>
      <w:r w:rsidRPr="00BB22D2">
        <w:rPr>
          <w:rFonts w:cs="Arial"/>
          <w:b/>
          <w:bCs/>
        </w:rPr>
        <w:t xml:space="preserve"> </w:t>
      </w:r>
      <w:r>
        <w:rPr>
          <w:rFonts w:cs="Arial"/>
        </w:rPr>
        <w:t>Los tres primeros ámbitos valoran</w:t>
      </w:r>
      <w:r w:rsidRPr="00BB22D2">
        <w:rPr>
          <w:rFonts w:cs="Arial"/>
        </w:rPr>
        <w:t xml:space="preserve"> </w:t>
      </w:r>
      <w:r>
        <w:rPr>
          <w:rFonts w:cs="Arial"/>
        </w:rPr>
        <w:t xml:space="preserve">el </w:t>
      </w:r>
      <w:r w:rsidRPr="00BB22D2">
        <w:rPr>
          <w:rFonts w:cs="Arial"/>
        </w:rPr>
        <w:t>medio urbano cercano en el que se desenvuelve la persona (o el grupo)</w:t>
      </w:r>
      <w:r>
        <w:rPr>
          <w:rFonts w:cs="Arial"/>
        </w:rPr>
        <w:t xml:space="preserve"> enfocado especialmente hacia la satisfacción de</w:t>
      </w:r>
      <w:r w:rsidRPr="00BB22D2">
        <w:rPr>
          <w:rFonts w:cs="Arial"/>
        </w:rPr>
        <w:t xml:space="preserve"> la operativa diaria </w:t>
      </w:r>
      <w:r>
        <w:rPr>
          <w:rFonts w:cs="Arial"/>
        </w:rPr>
        <w:t>que debe permitir</w:t>
      </w:r>
      <w:r w:rsidRPr="00BB22D2">
        <w:rPr>
          <w:rFonts w:cs="Arial"/>
        </w:rPr>
        <w:t xml:space="preserve"> la realización de ejercicio físico </w:t>
      </w:r>
      <w:r>
        <w:rPr>
          <w:rFonts w:cs="Arial"/>
        </w:rPr>
        <w:t>individual.</w:t>
      </w:r>
    </w:p>
    <w:p w14:paraId="4C368C09" w14:textId="77777777" w:rsidR="007B78CE" w:rsidRPr="00BB22D2" w:rsidRDefault="007B78CE" w:rsidP="007B78CE">
      <w:pPr>
        <w:jc w:val="both"/>
        <w:rPr>
          <w:rFonts w:cs="Arial"/>
        </w:rPr>
      </w:pPr>
    </w:p>
    <w:p w14:paraId="134CD0FA" w14:textId="77777777" w:rsidR="008A069C" w:rsidRPr="00BB7A2A" w:rsidRDefault="008A069C" w:rsidP="007B78CE">
      <w:pPr>
        <w:jc w:val="both"/>
        <w:rPr>
          <w:rFonts w:cstheme="minorHAnsi"/>
        </w:rPr>
      </w:pPr>
      <w:r w:rsidRPr="00BB7A2A">
        <w:rPr>
          <w:rFonts w:cstheme="minorHAnsi"/>
        </w:rPr>
        <w:t>Modelo formal</w:t>
      </w:r>
    </w:p>
    <w:p w14:paraId="04F9B20F" w14:textId="77777777" w:rsidR="008A069C" w:rsidRPr="00BB7A2A" w:rsidRDefault="008A069C" w:rsidP="00E6399B">
      <w:pPr>
        <w:pStyle w:val="Prrafodelista"/>
        <w:numPr>
          <w:ilvl w:val="0"/>
          <w:numId w:val="117"/>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Intensidad</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urbana</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residencial</w:t>
      </w:r>
      <w:proofErr w:type="spellEnd"/>
    </w:p>
    <w:p w14:paraId="7A309581" w14:textId="77777777" w:rsidR="008A069C" w:rsidRPr="00BB7A2A" w:rsidRDefault="008A069C" w:rsidP="00E6399B">
      <w:pPr>
        <w:pStyle w:val="Prrafodelista"/>
        <w:numPr>
          <w:ilvl w:val="0"/>
          <w:numId w:val="117"/>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Continuidad</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arquitectónica</w:t>
      </w:r>
      <w:proofErr w:type="spellEnd"/>
    </w:p>
    <w:p w14:paraId="34E46E93" w14:textId="77777777" w:rsidR="008A069C" w:rsidRPr="00BB7A2A" w:rsidRDefault="008A069C" w:rsidP="007B78CE">
      <w:pPr>
        <w:jc w:val="both"/>
        <w:rPr>
          <w:rFonts w:cstheme="minorHAnsi"/>
        </w:rPr>
      </w:pPr>
    </w:p>
    <w:p w14:paraId="3A72C8DB" w14:textId="77777777" w:rsidR="008A069C" w:rsidRPr="00BB7A2A" w:rsidRDefault="008A069C" w:rsidP="007B78CE">
      <w:pPr>
        <w:jc w:val="both"/>
        <w:rPr>
          <w:rFonts w:cstheme="minorHAnsi"/>
        </w:rPr>
      </w:pPr>
      <w:r w:rsidRPr="00BB7A2A">
        <w:rPr>
          <w:rFonts w:cstheme="minorHAnsi"/>
        </w:rPr>
        <w:t>Organización funcional</w:t>
      </w:r>
    </w:p>
    <w:p w14:paraId="60905006" w14:textId="77777777" w:rsidR="008A069C" w:rsidRPr="00DA6852" w:rsidRDefault="008A069C" w:rsidP="00E6399B">
      <w:pPr>
        <w:pStyle w:val="Prrafodelista"/>
        <w:numPr>
          <w:ilvl w:val="0"/>
          <w:numId w:val="118"/>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3:</w:t>
      </w:r>
      <w:r w:rsidRPr="00DA6852">
        <w:rPr>
          <w:rFonts w:asciiTheme="minorHAnsi" w:hAnsiTheme="minorHAnsi" w:cstheme="minorHAnsi"/>
          <w:sz w:val="24"/>
          <w:szCs w:val="24"/>
          <w:lang w:val="es-ES"/>
        </w:rPr>
        <w:tab/>
        <w:t>Diversificación de usos de suelo</w:t>
      </w:r>
    </w:p>
    <w:p w14:paraId="1B5AE78C" w14:textId="77777777" w:rsidR="008A069C" w:rsidRPr="00BB7A2A" w:rsidRDefault="008A069C" w:rsidP="00E6399B">
      <w:pPr>
        <w:pStyle w:val="Prrafodelista"/>
        <w:numPr>
          <w:ilvl w:val="0"/>
          <w:numId w:val="118"/>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4: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Relación</w:t>
      </w:r>
      <w:proofErr w:type="spellEnd"/>
      <w:r w:rsidRPr="00BB7A2A">
        <w:rPr>
          <w:rFonts w:asciiTheme="minorHAnsi" w:hAnsiTheme="minorHAnsi" w:cstheme="minorHAnsi"/>
          <w:sz w:val="24"/>
          <w:szCs w:val="24"/>
        </w:rPr>
        <w:t xml:space="preserve"> residencia y </w:t>
      </w:r>
      <w:proofErr w:type="spellStart"/>
      <w:r w:rsidRPr="00BB7A2A">
        <w:rPr>
          <w:rFonts w:asciiTheme="minorHAnsi" w:hAnsiTheme="minorHAnsi" w:cstheme="minorHAnsi"/>
          <w:sz w:val="24"/>
          <w:szCs w:val="24"/>
        </w:rPr>
        <w:t>actividad</w:t>
      </w:r>
      <w:proofErr w:type="spellEnd"/>
    </w:p>
    <w:p w14:paraId="0971B8E2" w14:textId="77777777" w:rsidR="008A069C" w:rsidRPr="00BB7A2A" w:rsidRDefault="008A069C" w:rsidP="007B78CE">
      <w:pPr>
        <w:jc w:val="both"/>
        <w:rPr>
          <w:rFonts w:cstheme="minorHAnsi"/>
        </w:rPr>
      </w:pPr>
    </w:p>
    <w:p w14:paraId="6ACE7377" w14:textId="77777777" w:rsidR="008A069C" w:rsidRPr="00BB7A2A" w:rsidRDefault="008A069C" w:rsidP="007B78CE">
      <w:pPr>
        <w:jc w:val="both"/>
        <w:rPr>
          <w:rFonts w:cstheme="minorHAnsi"/>
        </w:rPr>
      </w:pPr>
      <w:r w:rsidRPr="00BB7A2A">
        <w:rPr>
          <w:rFonts w:cstheme="minorHAnsi"/>
        </w:rPr>
        <w:t>Estructura jerárquica</w:t>
      </w:r>
    </w:p>
    <w:p w14:paraId="0D30935F" w14:textId="77777777" w:rsidR="008A069C" w:rsidRPr="00DA6852" w:rsidRDefault="008A069C" w:rsidP="00E6399B">
      <w:pPr>
        <w:pStyle w:val="Prrafodelista"/>
        <w:numPr>
          <w:ilvl w:val="0"/>
          <w:numId w:val="119"/>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Indicador 5: </w:t>
      </w:r>
      <w:r w:rsidRPr="00DA6852">
        <w:rPr>
          <w:rFonts w:asciiTheme="minorHAnsi" w:hAnsiTheme="minorHAnsi" w:cstheme="minorHAnsi"/>
          <w:sz w:val="24"/>
          <w:szCs w:val="24"/>
          <w:lang w:val="es-ES"/>
        </w:rPr>
        <w:tab/>
        <w:t xml:space="preserve">Servicios (comerciales) cotidianos en proximidad </w:t>
      </w:r>
    </w:p>
    <w:p w14:paraId="1B924FCC" w14:textId="77777777" w:rsidR="008A069C" w:rsidRPr="00BB7A2A" w:rsidRDefault="008A069C" w:rsidP="00E6399B">
      <w:pPr>
        <w:pStyle w:val="Prrafodelista"/>
        <w:numPr>
          <w:ilvl w:val="0"/>
          <w:numId w:val="119"/>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6: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Cobertura</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dotacional</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en</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proximidad</w:t>
      </w:r>
      <w:proofErr w:type="spellEnd"/>
    </w:p>
    <w:p w14:paraId="570C05FF" w14:textId="77777777" w:rsidR="008A069C" w:rsidRPr="00BB7A2A" w:rsidRDefault="008A069C" w:rsidP="007B78CE">
      <w:pPr>
        <w:jc w:val="both"/>
        <w:rPr>
          <w:rFonts w:cstheme="minorHAnsi"/>
        </w:rPr>
      </w:pPr>
    </w:p>
    <w:p w14:paraId="775B75D2" w14:textId="0B2D0793" w:rsidR="00BB7A2A" w:rsidRPr="00EB2E09" w:rsidRDefault="008A069C" w:rsidP="007B78CE">
      <w:pPr>
        <w:jc w:val="both"/>
        <w:rPr>
          <w:rFonts w:cs="Arial"/>
          <w:b/>
          <w:bCs/>
        </w:rPr>
      </w:pPr>
      <w:r w:rsidRPr="00EB2E09">
        <w:rPr>
          <w:rFonts w:cs="Arial"/>
          <w:b/>
          <w:bCs/>
        </w:rPr>
        <w:t xml:space="preserve">Categoría 2. </w:t>
      </w:r>
    </w:p>
    <w:p w14:paraId="05E78314" w14:textId="77777777" w:rsidR="008A069C" w:rsidRDefault="008A069C" w:rsidP="007B78CE">
      <w:pPr>
        <w:jc w:val="both"/>
      </w:pPr>
      <w:r w:rsidRPr="00BB22D2">
        <w:rPr>
          <w:b/>
          <w:bCs/>
        </w:rPr>
        <w:t xml:space="preserve">Auditoria de Paisajes activos. </w:t>
      </w:r>
      <w:r>
        <w:t>Se</w:t>
      </w:r>
      <w:r w:rsidRPr="00BB22D2">
        <w:t xml:space="preserve"> investiga</w:t>
      </w:r>
      <w:r>
        <w:t>n</w:t>
      </w:r>
      <w:r w:rsidRPr="00BB22D2">
        <w:t xml:space="preserve"> cuestiones </w:t>
      </w:r>
      <w:r>
        <w:t>importantes en</w:t>
      </w:r>
      <w:r w:rsidRPr="00BB22D2">
        <w:t xml:space="preserve"> la relación naturaleza-ciudad </w:t>
      </w:r>
      <w:r>
        <w:t>(sistema verde), así como</w:t>
      </w:r>
      <w:r w:rsidRPr="00BB22D2">
        <w:t xml:space="preserve"> </w:t>
      </w:r>
      <w:r>
        <w:t>con el carácter estancial de los espacios libres y su programación.</w:t>
      </w:r>
    </w:p>
    <w:p w14:paraId="6FAE4229" w14:textId="77777777" w:rsidR="00BB7A2A" w:rsidRPr="00BB22D2" w:rsidRDefault="00BB7A2A" w:rsidP="007B78CE">
      <w:pPr>
        <w:jc w:val="both"/>
        <w:rPr>
          <w:b/>
          <w:bCs/>
        </w:rPr>
      </w:pPr>
    </w:p>
    <w:p w14:paraId="1D9C5AD4" w14:textId="77777777" w:rsidR="008A069C" w:rsidRPr="00BB7A2A" w:rsidRDefault="008A069C" w:rsidP="007B78CE">
      <w:pPr>
        <w:jc w:val="both"/>
        <w:rPr>
          <w:rFonts w:cstheme="minorHAnsi"/>
        </w:rPr>
      </w:pPr>
      <w:r w:rsidRPr="00BB7A2A">
        <w:rPr>
          <w:rFonts w:cstheme="minorHAnsi"/>
        </w:rPr>
        <w:t xml:space="preserve">Relación con la naturaleza </w:t>
      </w:r>
    </w:p>
    <w:p w14:paraId="12554935" w14:textId="77777777" w:rsidR="008A069C" w:rsidRPr="00BB7A2A" w:rsidRDefault="008A069C" w:rsidP="00E6399B">
      <w:pPr>
        <w:pStyle w:val="Prrafodelista"/>
        <w:numPr>
          <w:ilvl w:val="0"/>
          <w:numId w:val="120"/>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7: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Superficie</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verde</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periurbana</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accesible</w:t>
      </w:r>
      <w:proofErr w:type="spellEnd"/>
    </w:p>
    <w:p w14:paraId="6CE62472" w14:textId="77777777" w:rsidR="008A069C" w:rsidRPr="00BB7A2A" w:rsidRDefault="008A069C" w:rsidP="00E6399B">
      <w:pPr>
        <w:pStyle w:val="Prrafodelista"/>
        <w:numPr>
          <w:ilvl w:val="0"/>
          <w:numId w:val="120"/>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8: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Conectividad</w:t>
      </w:r>
      <w:proofErr w:type="spellEnd"/>
      <w:r w:rsidRPr="00BB7A2A">
        <w:rPr>
          <w:rFonts w:asciiTheme="minorHAnsi" w:hAnsiTheme="minorHAnsi" w:cstheme="minorHAnsi"/>
          <w:sz w:val="24"/>
          <w:szCs w:val="24"/>
        </w:rPr>
        <w:t xml:space="preserve"> del </w:t>
      </w:r>
      <w:proofErr w:type="spellStart"/>
      <w:r w:rsidRPr="00BB7A2A">
        <w:rPr>
          <w:rFonts w:asciiTheme="minorHAnsi" w:hAnsiTheme="minorHAnsi" w:cstheme="minorHAnsi"/>
          <w:sz w:val="24"/>
          <w:szCs w:val="24"/>
        </w:rPr>
        <w:t>sistema</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verde</w:t>
      </w:r>
      <w:proofErr w:type="spellEnd"/>
    </w:p>
    <w:p w14:paraId="541115B9" w14:textId="77777777" w:rsidR="008A069C" w:rsidRPr="00BB7A2A" w:rsidRDefault="008A069C" w:rsidP="007B78CE">
      <w:pPr>
        <w:jc w:val="both"/>
        <w:rPr>
          <w:rFonts w:cstheme="minorHAnsi"/>
        </w:rPr>
      </w:pPr>
    </w:p>
    <w:p w14:paraId="2E7B3672" w14:textId="77777777" w:rsidR="008A069C" w:rsidRPr="00BB7A2A" w:rsidRDefault="008A069C" w:rsidP="007B78CE">
      <w:pPr>
        <w:jc w:val="both"/>
        <w:rPr>
          <w:rFonts w:cstheme="minorHAnsi"/>
        </w:rPr>
      </w:pPr>
      <w:r w:rsidRPr="00BB7A2A">
        <w:rPr>
          <w:rFonts w:cstheme="minorHAnsi"/>
        </w:rPr>
        <w:t xml:space="preserve">Estancias de la ciudad </w:t>
      </w:r>
    </w:p>
    <w:p w14:paraId="47E47DE5" w14:textId="77777777" w:rsidR="008A069C" w:rsidRPr="00BB7A2A" w:rsidRDefault="008A069C" w:rsidP="00E6399B">
      <w:pPr>
        <w:pStyle w:val="Prrafodelista"/>
        <w:numPr>
          <w:ilvl w:val="0"/>
          <w:numId w:val="121"/>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9: </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Superficie</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estancial</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por</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habitante</w:t>
      </w:r>
      <w:proofErr w:type="spellEnd"/>
    </w:p>
    <w:p w14:paraId="23BE82CD" w14:textId="77777777" w:rsidR="008A069C" w:rsidRPr="00BB7A2A" w:rsidRDefault="008A069C" w:rsidP="00E6399B">
      <w:pPr>
        <w:pStyle w:val="Prrafodelista"/>
        <w:numPr>
          <w:ilvl w:val="0"/>
          <w:numId w:val="121"/>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10</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Proximidad</w:t>
      </w:r>
      <w:proofErr w:type="spellEnd"/>
      <w:r w:rsidRPr="00BB7A2A">
        <w:rPr>
          <w:rFonts w:asciiTheme="minorHAnsi" w:hAnsiTheme="minorHAnsi" w:cstheme="minorHAnsi"/>
          <w:sz w:val="24"/>
          <w:szCs w:val="24"/>
        </w:rPr>
        <w:t xml:space="preserve"> de </w:t>
      </w:r>
      <w:proofErr w:type="spellStart"/>
      <w:r w:rsidRPr="00BB7A2A">
        <w:rPr>
          <w:rFonts w:asciiTheme="minorHAnsi" w:hAnsiTheme="minorHAnsi" w:cstheme="minorHAnsi"/>
          <w:sz w:val="24"/>
          <w:szCs w:val="24"/>
        </w:rPr>
        <w:t>espacios</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estanciales</w:t>
      </w:r>
      <w:proofErr w:type="spellEnd"/>
      <w:r w:rsidRPr="00BB7A2A">
        <w:rPr>
          <w:rFonts w:asciiTheme="minorHAnsi" w:hAnsiTheme="minorHAnsi" w:cstheme="minorHAnsi"/>
          <w:sz w:val="24"/>
          <w:szCs w:val="24"/>
        </w:rPr>
        <w:t xml:space="preserve"> </w:t>
      </w:r>
    </w:p>
    <w:p w14:paraId="5EACA652" w14:textId="77777777" w:rsidR="008A069C" w:rsidRPr="00BB7A2A" w:rsidRDefault="008A069C" w:rsidP="007B78CE">
      <w:pPr>
        <w:jc w:val="both"/>
        <w:rPr>
          <w:rFonts w:cstheme="minorHAnsi"/>
        </w:rPr>
      </w:pPr>
    </w:p>
    <w:p w14:paraId="20758C4E" w14:textId="77777777" w:rsidR="008A069C" w:rsidRPr="00BB7A2A" w:rsidRDefault="008A069C" w:rsidP="007B78CE">
      <w:pPr>
        <w:jc w:val="both"/>
        <w:rPr>
          <w:rFonts w:cstheme="minorHAnsi"/>
        </w:rPr>
      </w:pPr>
      <w:r w:rsidRPr="00BB7A2A">
        <w:rPr>
          <w:rFonts w:cstheme="minorHAnsi"/>
        </w:rPr>
        <w:t>Programación de actividades</w:t>
      </w:r>
    </w:p>
    <w:p w14:paraId="5894511E" w14:textId="77777777" w:rsidR="008A069C" w:rsidRPr="00DA6852" w:rsidRDefault="008A069C" w:rsidP="00E6399B">
      <w:pPr>
        <w:pStyle w:val="Prrafodelista"/>
        <w:numPr>
          <w:ilvl w:val="0"/>
          <w:numId w:val="122"/>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Indicador 11: </w:t>
      </w:r>
      <w:r w:rsidRPr="00DA6852">
        <w:rPr>
          <w:rFonts w:asciiTheme="minorHAnsi" w:hAnsiTheme="minorHAnsi" w:cstheme="minorHAnsi"/>
          <w:sz w:val="24"/>
          <w:szCs w:val="24"/>
          <w:lang w:val="es-ES"/>
        </w:rPr>
        <w:tab/>
        <w:t>Actividad en el Espacio público</w:t>
      </w:r>
    </w:p>
    <w:p w14:paraId="4CF8E25C" w14:textId="77777777" w:rsidR="008A069C" w:rsidRPr="00DA6852" w:rsidRDefault="008A069C" w:rsidP="00E6399B">
      <w:pPr>
        <w:pStyle w:val="Prrafodelista"/>
        <w:numPr>
          <w:ilvl w:val="0"/>
          <w:numId w:val="122"/>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12:</w:t>
      </w:r>
      <w:r w:rsidRPr="00DA6852">
        <w:rPr>
          <w:rFonts w:asciiTheme="minorHAnsi" w:hAnsiTheme="minorHAnsi" w:cstheme="minorHAnsi"/>
          <w:sz w:val="24"/>
          <w:szCs w:val="24"/>
          <w:lang w:val="es-ES"/>
        </w:rPr>
        <w:tab/>
        <w:t>Actividad física/deporte en el Espacio público</w:t>
      </w:r>
    </w:p>
    <w:p w14:paraId="0310C3EF" w14:textId="77777777" w:rsidR="008A069C" w:rsidRPr="00BB7A2A" w:rsidRDefault="008A069C" w:rsidP="007B78CE">
      <w:pPr>
        <w:pStyle w:val="Prrafodelista"/>
        <w:jc w:val="both"/>
        <w:rPr>
          <w:rFonts w:asciiTheme="minorHAnsi" w:hAnsiTheme="minorHAnsi" w:cstheme="minorHAnsi"/>
          <w:sz w:val="24"/>
          <w:szCs w:val="24"/>
          <w:lang w:val="es-ES"/>
        </w:rPr>
      </w:pPr>
    </w:p>
    <w:p w14:paraId="35395981" w14:textId="77777777" w:rsidR="008A069C" w:rsidRPr="00EB2E09" w:rsidRDefault="008A069C" w:rsidP="007B78CE">
      <w:pPr>
        <w:jc w:val="both"/>
        <w:rPr>
          <w:rFonts w:cs="Arial"/>
          <w:b/>
          <w:bCs/>
        </w:rPr>
      </w:pPr>
      <w:r w:rsidRPr="00EB2E09">
        <w:rPr>
          <w:rFonts w:cs="Arial"/>
          <w:b/>
          <w:bCs/>
        </w:rPr>
        <w:t xml:space="preserve">Categoría 3. </w:t>
      </w:r>
    </w:p>
    <w:p w14:paraId="742B6DBF" w14:textId="77777777" w:rsidR="008A069C" w:rsidRPr="00BB7A2A" w:rsidRDefault="008A069C" w:rsidP="007B78CE">
      <w:pPr>
        <w:jc w:val="both"/>
        <w:rPr>
          <w:rFonts w:cstheme="minorHAnsi"/>
          <w:b/>
          <w:bCs/>
        </w:rPr>
      </w:pPr>
      <w:r w:rsidRPr="00BB7A2A">
        <w:rPr>
          <w:rFonts w:cstheme="minorHAnsi"/>
          <w:b/>
          <w:bCs/>
        </w:rPr>
        <w:t xml:space="preserve">Auditoria de Espacios urbanos activos. </w:t>
      </w:r>
      <w:r w:rsidRPr="00BB7A2A">
        <w:rPr>
          <w:rFonts w:cstheme="minorHAnsi"/>
        </w:rPr>
        <w:t>En esta categoría se profundiza en el diseño espacial y su relación con la comunidad que habita la ciudad.</w:t>
      </w:r>
    </w:p>
    <w:p w14:paraId="2801724B" w14:textId="77777777" w:rsidR="006A099D" w:rsidRDefault="006A099D" w:rsidP="007B78CE">
      <w:pPr>
        <w:jc w:val="both"/>
        <w:rPr>
          <w:rFonts w:cstheme="minorHAnsi"/>
        </w:rPr>
      </w:pPr>
    </w:p>
    <w:p w14:paraId="411E3EF5" w14:textId="62C483CE" w:rsidR="008A069C" w:rsidRPr="00BB7A2A" w:rsidRDefault="008A069C" w:rsidP="007B78CE">
      <w:pPr>
        <w:jc w:val="both"/>
        <w:rPr>
          <w:rFonts w:cstheme="minorHAnsi"/>
        </w:rPr>
      </w:pPr>
      <w:r w:rsidRPr="00BB7A2A">
        <w:rPr>
          <w:rFonts w:cstheme="minorHAnsi"/>
        </w:rPr>
        <w:t>Relación con la sociedad</w:t>
      </w:r>
    </w:p>
    <w:p w14:paraId="40621F89" w14:textId="77777777" w:rsidR="008A069C" w:rsidRPr="00BB7A2A" w:rsidRDefault="008A069C" w:rsidP="00E6399B">
      <w:pPr>
        <w:pStyle w:val="Prrafodelista"/>
        <w:numPr>
          <w:ilvl w:val="0"/>
          <w:numId w:val="123"/>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13:</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Pluralidad</w:t>
      </w:r>
      <w:proofErr w:type="spellEnd"/>
      <w:r w:rsidRPr="00BB7A2A">
        <w:rPr>
          <w:rFonts w:asciiTheme="minorHAnsi" w:hAnsiTheme="minorHAnsi" w:cstheme="minorHAnsi"/>
          <w:sz w:val="24"/>
          <w:szCs w:val="24"/>
        </w:rPr>
        <w:t xml:space="preserve"> social</w:t>
      </w:r>
    </w:p>
    <w:p w14:paraId="0F609F24" w14:textId="77777777" w:rsidR="008A069C" w:rsidRPr="00BB7A2A" w:rsidRDefault="008A069C" w:rsidP="00E6399B">
      <w:pPr>
        <w:pStyle w:val="Prrafodelista"/>
        <w:numPr>
          <w:ilvl w:val="0"/>
          <w:numId w:val="123"/>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14:</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Seguridad</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viaria</w:t>
      </w:r>
      <w:proofErr w:type="spellEnd"/>
    </w:p>
    <w:p w14:paraId="08C5EFCA" w14:textId="77777777" w:rsidR="008A069C" w:rsidRPr="00BB7A2A" w:rsidRDefault="008A069C" w:rsidP="007B78CE">
      <w:pPr>
        <w:jc w:val="both"/>
        <w:rPr>
          <w:rFonts w:cstheme="minorHAnsi"/>
        </w:rPr>
      </w:pPr>
    </w:p>
    <w:p w14:paraId="2C8CC557" w14:textId="77777777" w:rsidR="008A069C" w:rsidRPr="00BB7A2A" w:rsidRDefault="008A069C" w:rsidP="007B78CE">
      <w:pPr>
        <w:jc w:val="both"/>
        <w:rPr>
          <w:rFonts w:cstheme="minorHAnsi"/>
        </w:rPr>
      </w:pPr>
      <w:r w:rsidRPr="00BB7A2A">
        <w:rPr>
          <w:rFonts w:cstheme="minorHAnsi"/>
        </w:rPr>
        <w:t>Conectividad</w:t>
      </w:r>
    </w:p>
    <w:p w14:paraId="2F7B73D9" w14:textId="77777777" w:rsidR="008A069C" w:rsidRPr="00BB7A2A" w:rsidRDefault="008A069C" w:rsidP="00E6399B">
      <w:pPr>
        <w:pStyle w:val="Prrafodelista"/>
        <w:numPr>
          <w:ilvl w:val="0"/>
          <w:numId w:val="124"/>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15:</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Conectividad</w:t>
      </w:r>
      <w:proofErr w:type="spellEnd"/>
      <w:r w:rsidRPr="00BB7A2A">
        <w:rPr>
          <w:rFonts w:asciiTheme="minorHAnsi" w:hAnsiTheme="minorHAnsi" w:cstheme="minorHAnsi"/>
          <w:sz w:val="24"/>
          <w:szCs w:val="24"/>
        </w:rPr>
        <w:t xml:space="preserve"> del </w:t>
      </w:r>
      <w:proofErr w:type="spellStart"/>
      <w:r w:rsidRPr="00BB7A2A">
        <w:rPr>
          <w:rFonts w:asciiTheme="minorHAnsi" w:hAnsiTheme="minorHAnsi" w:cstheme="minorHAnsi"/>
          <w:sz w:val="24"/>
          <w:szCs w:val="24"/>
        </w:rPr>
        <w:t>viario</w:t>
      </w:r>
      <w:proofErr w:type="spellEnd"/>
    </w:p>
    <w:p w14:paraId="2E180C1F" w14:textId="77777777" w:rsidR="008A069C" w:rsidRPr="00BB7A2A" w:rsidRDefault="008A069C" w:rsidP="00E6399B">
      <w:pPr>
        <w:pStyle w:val="Prrafodelista"/>
        <w:numPr>
          <w:ilvl w:val="0"/>
          <w:numId w:val="124"/>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lastRenderedPageBreak/>
        <w:t>Indicador</w:t>
      </w:r>
      <w:proofErr w:type="spellEnd"/>
      <w:r w:rsidRPr="00BB7A2A">
        <w:rPr>
          <w:rFonts w:asciiTheme="minorHAnsi" w:hAnsiTheme="minorHAnsi" w:cstheme="minorHAnsi"/>
          <w:sz w:val="24"/>
          <w:szCs w:val="24"/>
        </w:rPr>
        <w:t xml:space="preserve"> 16:</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Índice</w:t>
      </w:r>
      <w:proofErr w:type="spellEnd"/>
      <w:r w:rsidRPr="00BB7A2A">
        <w:rPr>
          <w:rFonts w:asciiTheme="minorHAnsi" w:hAnsiTheme="minorHAnsi" w:cstheme="minorHAnsi"/>
          <w:sz w:val="24"/>
          <w:szCs w:val="24"/>
        </w:rPr>
        <w:t xml:space="preserve"> de </w:t>
      </w:r>
      <w:proofErr w:type="spellStart"/>
      <w:r w:rsidRPr="00BB7A2A">
        <w:rPr>
          <w:rFonts w:asciiTheme="minorHAnsi" w:hAnsiTheme="minorHAnsi" w:cstheme="minorHAnsi"/>
          <w:sz w:val="24"/>
          <w:szCs w:val="24"/>
        </w:rPr>
        <w:t>transitabilidad</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peatonal</w:t>
      </w:r>
      <w:proofErr w:type="spellEnd"/>
    </w:p>
    <w:p w14:paraId="6B95D541" w14:textId="77777777" w:rsidR="008A069C" w:rsidRPr="00BB7A2A" w:rsidRDefault="008A069C" w:rsidP="007B78CE">
      <w:pPr>
        <w:jc w:val="both"/>
        <w:rPr>
          <w:rFonts w:cstheme="minorHAnsi"/>
        </w:rPr>
      </w:pPr>
    </w:p>
    <w:p w14:paraId="6E231034" w14:textId="77777777" w:rsidR="008A069C" w:rsidRPr="00BB7A2A" w:rsidRDefault="008A069C" w:rsidP="007B78CE">
      <w:pPr>
        <w:jc w:val="both"/>
        <w:rPr>
          <w:rFonts w:cstheme="minorHAnsi"/>
        </w:rPr>
      </w:pPr>
      <w:r w:rsidRPr="00BB7A2A">
        <w:rPr>
          <w:rFonts w:cstheme="minorHAnsi"/>
        </w:rPr>
        <w:t>Calles de la ciudad</w:t>
      </w:r>
    </w:p>
    <w:p w14:paraId="523182D1" w14:textId="77777777" w:rsidR="008A069C" w:rsidRPr="00BB7A2A" w:rsidRDefault="008A069C" w:rsidP="00E6399B">
      <w:pPr>
        <w:pStyle w:val="Prrafodelista"/>
        <w:numPr>
          <w:ilvl w:val="0"/>
          <w:numId w:val="125"/>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17:</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Arbolado</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en</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viario</w:t>
      </w:r>
      <w:proofErr w:type="spellEnd"/>
    </w:p>
    <w:p w14:paraId="5074635E" w14:textId="68BAB1A5" w:rsidR="008A069C" w:rsidRPr="00BB7A2A" w:rsidRDefault="008A069C" w:rsidP="00E6399B">
      <w:pPr>
        <w:pStyle w:val="Prrafodelista"/>
        <w:numPr>
          <w:ilvl w:val="0"/>
          <w:numId w:val="125"/>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18:</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Índice</w:t>
      </w:r>
      <w:proofErr w:type="spellEnd"/>
      <w:r w:rsidRPr="00BB7A2A">
        <w:rPr>
          <w:rFonts w:asciiTheme="minorHAnsi" w:hAnsiTheme="minorHAnsi" w:cstheme="minorHAnsi"/>
          <w:sz w:val="24"/>
          <w:szCs w:val="24"/>
        </w:rPr>
        <w:t xml:space="preserve"> de C</w:t>
      </w:r>
      <w:r w:rsidR="006A099D">
        <w:rPr>
          <w:rFonts w:asciiTheme="minorHAnsi" w:hAnsiTheme="minorHAnsi" w:cstheme="minorHAnsi"/>
          <w:sz w:val="24"/>
          <w:szCs w:val="24"/>
        </w:rPr>
        <w:t xml:space="preserve">iudad </w:t>
      </w:r>
      <w:proofErr w:type="spellStart"/>
      <w:r w:rsidR="006A099D">
        <w:rPr>
          <w:rFonts w:asciiTheme="minorHAnsi" w:hAnsiTheme="minorHAnsi" w:cstheme="minorHAnsi"/>
          <w:sz w:val="24"/>
          <w:szCs w:val="24"/>
        </w:rPr>
        <w:t>caminable</w:t>
      </w:r>
      <w:proofErr w:type="spellEnd"/>
    </w:p>
    <w:p w14:paraId="1C14E604" w14:textId="77777777" w:rsidR="008A069C" w:rsidRPr="00BB7A2A" w:rsidRDefault="008A069C" w:rsidP="007B78CE">
      <w:pPr>
        <w:pStyle w:val="Prrafodelista"/>
        <w:jc w:val="both"/>
        <w:rPr>
          <w:rFonts w:asciiTheme="minorHAnsi" w:hAnsiTheme="minorHAnsi" w:cstheme="minorHAnsi"/>
          <w:sz w:val="24"/>
          <w:szCs w:val="24"/>
        </w:rPr>
      </w:pPr>
    </w:p>
    <w:p w14:paraId="68C8EB43" w14:textId="77777777" w:rsidR="008A069C" w:rsidRPr="00707E89" w:rsidRDefault="008A069C" w:rsidP="007B78CE">
      <w:pPr>
        <w:jc w:val="both"/>
        <w:rPr>
          <w:b/>
          <w:bCs/>
        </w:rPr>
      </w:pPr>
      <w:r w:rsidRPr="00707E89">
        <w:rPr>
          <w:rFonts w:cs="Arial"/>
          <w:b/>
          <w:bCs/>
        </w:rPr>
        <w:t>Categoría</w:t>
      </w:r>
      <w:r w:rsidRPr="00707E89">
        <w:rPr>
          <w:b/>
          <w:bCs/>
        </w:rPr>
        <w:t xml:space="preserve"> 4. </w:t>
      </w:r>
    </w:p>
    <w:p w14:paraId="7EF651F0" w14:textId="77777777" w:rsidR="008A069C" w:rsidRDefault="008A069C" w:rsidP="007B78CE">
      <w:pPr>
        <w:jc w:val="both"/>
      </w:pPr>
      <w:r w:rsidRPr="00BB22D2">
        <w:rPr>
          <w:b/>
          <w:bCs/>
        </w:rPr>
        <w:t>Auditoria de Movilidad activa</w:t>
      </w:r>
      <w:r w:rsidRPr="00BB22D2">
        <w:t xml:space="preserve"> es la que explora las cuestiones que afectan a los desplazamientos y a los canales utilizados para ello, con una atención pormenorizada al transporte público, a las circunstancias del tráfico rodado y, sobre todo, a la movilidad alternativa</w:t>
      </w:r>
      <w:r>
        <w:t>.</w:t>
      </w:r>
    </w:p>
    <w:p w14:paraId="5D0B7B0D" w14:textId="77777777" w:rsidR="00BB7A2A" w:rsidRPr="00BB22D2" w:rsidRDefault="00BB7A2A" w:rsidP="007B78CE">
      <w:pPr>
        <w:jc w:val="both"/>
      </w:pPr>
    </w:p>
    <w:p w14:paraId="4AB253E8" w14:textId="77777777" w:rsidR="008A069C" w:rsidRPr="00BB7A2A" w:rsidRDefault="008A069C" w:rsidP="007B78CE">
      <w:pPr>
        <w:jc w:val="both"/>
        <w:rPr>
          <w:rFonts w:cstheme="minorHAnsi"/>
        </w:rPr>
      </w:pPr>
      <w:r w:rsidRPr="00BB7A2A">
        <w:rPr>
          <w:rFonts w:cstheme="minorHAnsi"/>
        </w:rPr>
        <w:t xml:space="preserve">Transporte público </w:t>
      </w:r>
    </w:p>
    <w:p w14:paraId="3649BE87" w14:textId="77777777" w:rsidR="008A069C" w:rsidRPr="00DA6852" w:rsidRDefault="008A069C" w:rsidP="00E6399B">
      <w:pPr>
        <w:pStyle w:val="Prrafodelista"/>
        <w:numPr>
          <w:ilvl w:val="0"/>
          <w:numId w:val="126"/>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Indicador 19: Cobertura del transporte público urbano </w:t>
      </w:r>
    </w:p>
    <w:p w14:paraId="461F1350" w14:textId="77777777" w:rsidR="008A069C" w:rsidRPr="00DA6852" w:rsidRDefault="008A069C" w:rsidP="00E6399B">
      <w:pPr>
        <w:pStyle w:val="Prrafodelista"/>
        <w:numPr>
          <w:ilvl w:val="0"/>
          <w:numId w:val="126"/>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20:</w:t>
      </w:r>
      <w:r w:rsidRPr="00DA6852">
        <w:rPr>
          <w:rFonts w:asciiTheme="minorHAnsi" w:hAnsiTheme="minorHAnsi" w:cstheme="minorHAnsi"/>
          <w:sz w:val="24"/>
          <w:szCs w:val="24"/>
          <w:lang w:val="es-ES"/>
        </w:rPr>
        <w:tab/>
        <w:t>Acceso activo al transporte interurbano</w:t>
      </w:r>
    </w:p>
    <w:p w14:paraId="3134CED6" w14:textId="77777777" w:rsidR="008A069C" w:rsidRPr="00BB7A2A" w:rsidRDefault="008A069C" w:rsidP="007B78CE">
      <w:pPr>
        <w:jc w:val="both"/>
        <w:rPr>
          <w:rFonts w:cstheme="minorHAnsi"/>
        </w:rPr>
      </w:pPr>
    </w:p>
    <w:p w14:paraId="51EFBB5D" w14:textId="77777777" w:rsidR="008A069C" w:rsidRPr="00BB7A2A" w:rsidRDefault="008A069C" w:rsidP="007B78CE">
      <w:pPr>
        <w:jc w:val="both"/>
        <w:rPr>
          <w:rFonts w:cstheme="minorHAnsi"/>
        </w:rPr>
      </w:pPr>
      <w:r w:rsidRPr="00BB7A2A">
        <w:rPr>
          <w:rFonts w:cstheme="minorHAnsi"/>
        </w:rPr>
        <w:t>Tráfico privado</w:t>
      </w:r>
    </w:p>
    <w:p w14:paraId="74F3AD88" w14:textId="77777777" w:rsidR="008A069C" w:rsidRPr="00DA6852" w:rsidRDefault="008A069C" w:rsidP="00E6399B">
      <w:pPr>
        <w:pStyle w:val="Prrafodelista"/>
        <w:numPr>
          <w:ilvl w:val="0"/>
          <w:numId w:val="127"/>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21:</w:t>
      </w:r>
      <w:r w:rsidRPr="00DA6852">
        <w:rPr>
          <w:rFonts w:asciiTheme="minorHAnsi" w:hAnsiTheme="minorHAnsi" w:cstheme="minorHAnsi"/>
          <w:sz w:val="24"/>
          <w:szCs w:val="24"/>
          <w:lang w:val="es-ES"/>
        </w:rPr>
        <w:tab/>
        <w:t>Distribución del viario (peatón/vehículo)</w:t>
      </w:r>
    </w:p>
    <w:p w14:paraId="435536F0" w14:textId="77777777" w:rsidR="008A069C" w:rsidRPr="00BB7A2A" w:rsidRDefault="008A069C" w:rsidP="00E6399B">
      <w:pPr>
        <w:pStyle w:val="Prrafodelista"/>
        <w:numPr>
          <w:ilvl w:val="0"/>
          <w:numId w:val="127"/>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22:</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Situación</w:t>
      </w:r>
      <w:proofErr w:type="spellEnd"/>
      <w:r w:rsidRPr="00BB7A2A">
        <w:rPr>
          <w:rFonts w:asciiTheme="minorHAnsi" w:hAnsiTheme="minorHAnsi" w:cstheme="minorHAnsi"/>
          <w:sz w:val="24"/>
          <w:szCs w:val="24"/>
        </w:rPr>
        <w:t xml:space="preserve"> del </w:t>
      </w:r>
      <w:proofErr w:type="spellStart"/>
      <w:r w:rsidRPr="00BB7A2A">
        <w:rPr>
          <w:rFonts w:asciiTheme="minorHAnsi" w:hAnsiTheme="minorHAnsi" w:cstheme="minorHAnsi"/>
          <w:sz w:val="24"/>
          <w:szCs w:val="24"/>
        </w:rPr>
        <w:t>aparcamiento</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viario</w:t>
      </w:r>
      <w:proofErr w:type="spellEnd"/>
    </w:p>
    <w:p w14:paraId="37296AD5" w14:textId="77777777" w:rsidR="008A069C" w:rsidRPr="00BB7A2A" w:rsidRDefault="008A069C" w:rsidP="007B78CE">
      <w:pPr>
        <w:jc w:val="both"/>
        <w:rPr>
          <w:rFonts w:cstheme="minorHAnsi"/>
        </w:rPr>
      </w:pPr>
    </w:p>
    <w:p w14:paraId="4AF43875" w14:textId="77777777" w:rsidR="008A069C" w:rsidRPr="00BB7A2A" w:rsidRDefault="008A069C" w:rsidP="007B78CE">
      <w:pPr>
        <w:jc w:val="both"/>
        <w:rPr>
          <w:rFonts w:cstheme="minorHAnsi"/>
        </w:rPr>
      </w:pPr>
      <w:r w:rsidRPr="00BB7A2A">
        <w:rPr>
          <w:rFonts w:cstheme="minorHAnsi"/>
        </w:rPr>
        <w:t>Movilidad alternativa</w:t>
      </w:r>
    </w:p>
    <w:p w14:paraId="1626BA7F" w14:textId="77777777" w:rsidR="008A069C" w:rsidRPr="00DA6852" w:rsidRDefault="008A069C" w:rsidP="00E6399B">
      <w:pPr>
        <w:pStyle w:val="Prrafodelista"/>
        <w:numPr>
          <w:ilvl w:val="0"/>
          <w:numId w:val="128"/>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23:</w:t>
      </w:r>
      <w:r w:rsidRPr="00DA6852">
        <w:rPr>
          <w:rFonts w:asciiTheme="minorHAnsi" w:hAnsiTheme="minorHAnsi" w:cstheme="minorHAnsi"/>
          <w:sz w:val="24"/>
          <w:szCs w:val="24"/>
          <w:lang w:val="es-ES"/>
        </w:rPr>
        <w:tab/>
        <w:t>Relevancia de la movilidad alternativa (ciclista)</w:t>
      </w:r>
    </w:p>
    <w:p w14:paraId="66CD5361" w14:textId="77777777" w:rsidR="008A069C" w:rsidRPr="00DA6852" w:rsidRDefault="008A069C" w:rsidP="00E6399B">
      <w:pPr>
        <w:pStyle w:val="Prrafodelista"/>
        <w:numPr>
          <w:ilvl w:val="0"/>
          <w:numId w:val="128"/>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24:</w:t>
      </w:r>
      <w:r w:rsidRPr="00DA6852">
        <w:rPr>
          <w:rFonts w:asciiTheme="minorHAnsi" w:hAnsiTheme="minorHAnsi" w:cstheme="minorHAnsi"/>
          <w:sz w:val="24"/>
          <w:szCs w:val="24"/>
          <w:lang w:val="es-ES"/>
        </w:rPr>
        <w:tab/>
        <w:t>Relevancia de la movilidad alternativa periurbana (peatonal y ciclista)</w:t>
      </w:r>
    </w:p>
    <w:p w14:paraId="6E04A7BF" w14:textId="77777777" w:rsidR="008A069C" w:rsidRPr="00BB7A2A" w:rsidRDefault="008A069C" w:rsidP="007B78CE">
      <w:pPr>
        <w:pStyle w:val="Prrafodelista"/>
        <w:jc w:val="both"/>
        <w:rPr>
          <w:rFonts w:asciiTheme="minorHAnsi" w:hAnsiTheme="minorHAnsi" w:cstheme="minorHAnsi"/>
          <w:i/>
          <w:iCs/>
          <w:sz w:val="24"/>
          <w:szCs w:val="24"/>
          <w:lang w:val="es-ES"/>
        </w:rPr>
      </w:pPr>
    </w:p>
    <w:p w14:paraId="43A43FB9" w14:textId="77777777" w:rsidR="008A069C" w:rsidRPr="00707E89" w:rsidRDefault="008A069C" w:rsidP="007B78CE">
      <w:pPr>
        <w:jc w:val="both"/>
        <w:rPr>
          <w:rFonts w:cs="Arial"/>
          <w:b/>
          <w:bCs/>
        </w:rPr>
      </w:pPr>
      <w:r w:rsidRPr="00707E89">
        <w:rPr>
          <w:rFonts w:cs="Arial"/>
          <w:b/>
          <w:bCs/>
        </w:rPr>
        <w:t xml:space="preserve">Categoría 5. </w:t>
      </w:r>
    </w:p>
    <w:p w14:paraId="0F2D876F" w14:textId="45768FB4" w:rsidR="008A069C" w:rsidRDefault="008A069C" w:rsidP="007B78CE">
      <w:pPr>
        <w:jc w:val="both"/>
      </w:pPr>
      <w:r w:rsidRPr="00707E89">
        <w:rPr>
          <w:rFonts w:cs="Arial"/>
          <w:b/>
          <w:bCs/>
        </w:rPr>
        <w:t>Auditoria</w:t>
      </w:r>
      <w:r w:rsidRPr="00BB22D2">
        <w:rPr>
          <w:b/>
          <w:bCs/>
        </w:rPr>
        <w:t xml:space="preserve"> de Arquitecturas activas</w:t>
      </w:r>
      <w:r w:rsidRPr="00BB22D2">
        <w:t xml:space="preserve">. </w:t>
      </w:r>
      <w:r>
        <w:t>S</w:t>
      </w:r>
      <w:r w:rsidRPr="00BB22D2">
        <w:t xml:space="preserve">e </w:t>
      </w:r>
      <w:r>
        <w:t>atiende solamente a las edificaciones que resultan</w:t>
      </w:r>
      <w:r w:rsidRPr="00BB22D2">
        <w:t xml:space="preserve"> trascendental</w:t>
      </w:r>
      <w:r>
        <w:t>es</w:t>
      </w:r>
      <w:r w:rsidRPr="00BB22D2">
        <w:t xml:space="preserve"> para el cumplimiento de los objetivos </w:t>
      </w:r>
      <w:r>
        <w:t>de la Ciudad Activa (</w:t>
      </w:r>
      <w:r w:rsidRPr="00BB22D2">
        <w:t>centros deportivos, escuelas y espacios de trabajo</w:t>
      </w:r>
      <w:r>
        <w:t>)</w:t>
      </w:r>
      <w:r w:rsidR="006A099D">
        <w:t>,</w:t>
      </w:r>
      <w:r>
        <w:t xml:space="preserve"> </w:t>
      </w:r>
      <w:r w:rsidRPr="00BB22D2">
        <w:t>descartan</w:t>
      </w:r>
      <w:r>
        <w:t>do los de</w:t>
      </w:r>
      <w:r w:rsidRPr="00BB22D2">
        <w:t xml:space="preserve"> influencia escasa </w:t>
      </w:r>
      <w:r>
        <w:t xml:space="preserve">o los que </w:t>
      </w:r>
      <w:r w:rsidRPr="00BB22D2">
        <w:t>están más relacionados con los comportamientos individuales (como sucede con la arquitectura residencial).</w:t>
      </w:r>
    </w:p>
    <w:p w14:paraId="0AFAC953" w14:textId="77777777" w:rsidR="00BB7A2A" w:rsidRPr="00BB22D2" w:rsidRDefault="00BB7A2A" w:rsidP="007B78CE">
      <w:pPr>
        <w:jc w:val="both"/>
        <w:rPr>
          <w:b/>
          <w:bCs/>
        </w:rPr>
      </w:pPr>
    </w:p>
    <w:p w14:paraId="60B15E07" w14:textId="77777777" w:rsidR="008A069C" w:rsidRPr="00BB7A2A" w:rsidRDefault="008A069C" w:rsidP="007B78CE">
      <w:pPr>
        <w:jc w:val="both"/>
      </w:pPr>
      <w:r w:rsidRPr="00BB7A2A">
        <w:t xml:space="preserve">Dotaciones deportivas </w:t>
      </w:r>
    </w:p>
    <w:p w14:paraId="0F710EEF" w14:textId="77777777" w:rsidR="008A069C" w:rsidRPr="00BB7A2A" w:rsidRDefault="008A069C" w:rsidP="00E6399B">
      <w:pPr>
        <w:pStyle w:val="Prrafodelista"/>
        <w:numPr>
          <w:ilvl w:val="0"/>
          <w:numId w:val="129"/>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25:</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Proximidad</w:t>
      </w:r>
      <w:proofErr w:type="spellEnd"/>
      <w:r w:rsidRPr="00BB7A2A">
        <w:rPr>
          <w:rFonts w:asciiTheme="minorHAnsi" w:hAnsiTheme="minorHAnsi" w:cstheme="minorHAnsi"/>
          <w:sz w:val="24"/>
          <w:szCs w:val="24"/>
        </w:rPr>
        <w:t xml:space="preserve"> a </w:t>
      </w:r>
      <w:proofErr w:type="spellStart"/>
      <w:r w:rsidRPr="00BB7A2A">
        <w:rPr>
          <w:rFonts w:asciiTheme="minorHAnsi" w:hAnsiTheme="minorHAnsi" w:cstheme="minorHAnsi"/>
          <w:sz w:val="24"/>
          <w:szCs w:val="24"/>
        </w:rPr>
        <w:t>espacios</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deportivos</w:t>
      </w:r>
      <w:proofErr w:type="spellEnd"/>
    </w:p>
    <w:p w14:paraId="7F5698DF" w14:textId="77777777" w:rsidR="008A069C" w:rsidRPr="00BB7A2A" w:rsidRDefault="008A069C" w:rsidP="00E6399B">
      <w:pPr>
        <w:pStyle w:val="Prrafodelista"/>
        <w:numPr>
          <w:ilvl w:val="0"/>
          <w:numId w:val="129"/>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26:</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Conectividad</w:t>
      </w:r>
      <w:proofErr w:type="spellEnd"/>
      <w:r w:rsidRPr="00BB7A2A">
        <w:rPr>
          <w:rFonts w:asciiTheme="minorHAnsi" w:hAnsiTheme="minorHAnsi" w:cstheme="minorHAnsi"/>
          <w:sz w:val="24"/>
          <w:szCs w:val="24"/>
        </w:rPr>
        <w:t xml:space="preserve"> del </w:t>
      </w:r>
      <w:proofErr w:type="spellStart"/>
      <w:r w:rsidRPr="00BB7A2A">
        <w:rPr>
          <w:rFonts w:asciiTheme="minorHAnsi" w:hAnsiTheme="minorHAnsi" w:cstheme="minorHAnsi"/>
          <w:sz w:val="24"/>
          <w:szCs w:val="24"/>
        </w:rPr>
        <w:t>sistema</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deportivo</w:t>
      </w:r>
      <w:proofErr w:type="spellEnd"/>
    </w:p>
    <w:p w14:paraId="3833B01A" w14:textId="77777777" w:rsidR="008A069C" w:rsidRPr="00BB7A2A" w:rsidRDefault="008A069C" w:rsidP="007B78CE">
      <w:pPr>
        <w:jc w:val="both"/>
        <w:rPr>
          <w:rFonts w:cstheme="minorHAnsi"/>
        </w:rPr>
      </w:pPr>
    </w:p>
    <w:p w14:paraId="31F7B07C" w14:textId="77777777" w:rsidR="008A069C" w:rsidRPr="00BB7A2A" w:rsidRDefault="008A069C" w:rsidP="007B78CE">
      <w:pPr>
        <w:jc w:val="both"/>
        <w:rPr>
          <w:rFonts w:cstheme="minorHAnsi"/>
        </w:rPr>
      </w:pPr>
      <w:r w:rsidRPr="00BB7A2A">
        <w:rPr>
          <w:rFonts w:cstheme="minorHAnsi"/>
        </w:rPr>
        <w:t xml:space="preserve">Equipamientos escolares </w:t>
      </w:r>
    </w:p>
    <w:p w14:paraId="063A5320" w14:textId="77777777" w:rsidR="008A069C" w:rsidRPr="00BB7A2A" w:rsidRDefault="008A069C" w:rsidP="00E6399B">
      <w:pPr>
        <w:pStyle w:val="Prrafodelista"/>
        <w:numPr>
          <w:ilvl w:val="0"/>
          <w:numId w:val="130"/>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27:</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Dotación</w:t>
      </w:r>
      <w:proofErr w:type="spellEnd"/>
      <w:r w:rsidRPr="00BB7A2A">
        <w:rPr>
          <w:rFonts w:asciiTheme="minorHAnsi" w:hAnsiTheme="minorHAnsi" w:cstheme="minorHAnsi"/>
          <w:sz w:val="24"/>
          <w:szCs w:val="24"/>
        </w:rPr>
        <w:t xml:space="preserve"> de </w:t>
      </w:r>
      <w:proofErr w:type="spellStart"/>
      <w:r w:rsidRPr="00BB7A2A">
        <w:rPr>
          <w:rFonts w:asciiTheme="minorHAnsi" w:hAnsiTheme="minorHAnsi" w:cstheme="minorHAnsi"/>
          <w:sz w:val="24"/>
          <w:szCs w:val="24"/>
        </w:rPr>
        <w:t>escuelas</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activas</w:t>
      </w:r>
      <w:proofErr w:type="spellEnd"/>
    </w:p>
    <w:p w14:paraId="0693B072" w14:textId="77777777" w:rsidR="008A069C" w:rsidRPr="00BB7A2A" w:rsidRDefault="008A069C" w:rsidP="00E6399B">
      <w:pPr>
        <w:pStyle w:val="Prrafodelista"/>
        <w:numPr>
          <w:ilvl w:val="0"/>
          <w:numId w:val="130"/>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28:</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Escuelas</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conectadas</w:t>
      </w:r>
      <w:proofErr w:type="spellEnd"/>
    </w:p>
    <w:p w14:paraId="6AE4B345" w14:textId="77777777" w:rsidR="008A069C" w:rsidRPr="00BB7A2A" w:rsidRDefault="008A069C" w:rsidP="007B78CE">
      <w:pPr>
        <w:jc w:val="both"/>
        <w:rPr>
          <w:rFonts w:cstheme="minorHAnsi"/>
        </w:rPr>
      </w:pPr>
    </w:p>
    <w:p w14:paraId="62BE3E33" w14:textId="77777777" w:rsidR="008A069C" w:rsidRPr="00BB7A2A" w:rsidRDefault="008A069C" w:rsidP="007B78CE">
      <w:pPr>
        <w:jc w:val="both"/>
        <w:rPr>
          <w:rFonts w:cstheme="minorHAnsi"/>
        </w:rPr>
      </w:pPr>
      <w:r w:rsidRPr="00BB7A2A">
        <w:rPr>
          <w:rFonts w:cstheme="minorHAnsi"/>
        </w:rPr>
        <w:t xml:space="preserve">Espacios de trabajo </w:t>
      </w:r>
    </w:p>
    <w:p w14:paraId="3765062A" w14:textId="77777777" w:rsidR="008A069C" w:rsidRPr="00DA6852" w:rsidRDefault="008A069C" w:rsidP="00E6399B">
      <w:pPr>
        <w:pStyle w:val="Prrafodelista"/>
        <w:numPr>
          <w:ilvl w:val="0"/>
          <w:numId w:val="131"/>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Indicador 29:</w:t>
      </w:r>
      <w:r w:rsidRPr="00DA6852">
        <w:rPr>
          <w:rFonts w:asciiTheme="minorHAnsi" w:hAnsiTheme="minorHAnsi" w:cstheme="minorHAnsi"/>
          <w:sz w:val="24"/>
          <w:szCs w:val="24"/>
          <w:lang w:val="es-ES"/>
        </w:rPr>
        <w:tab/>
        <w:t>Proximidad deportiva a entornos laborales</w:t>
      </w:r>
    </w:p>
    <w:p w14:paraId="39AA58B8" w14:textId="77777777" w:rsidR="008A069C" w:rsidRDefault="008A069C" w:rsidP="00E6399B">
      <w:pPr>
        <w:pStyle w:val="Prrafodelista"/>
        <w:numPr>
          <w:ilvl w:val="0"/>
          <w:numId w:val="131"/>
        </w:numPr>
        <w:jc w:val="both"/>
        <w:rPr>
          <w:rFonts w:asciiTheme="minorHAnsi" w:hAnsiTheme="minorHAnsi" w:cstheme="minorHAnsi"/>
          <w:sz w:val="24"/>
          <w:szCs w:val="24"/>
        </w:rPr>
      </w:pPr>
      <w:proofErr w:type="spellStart"/>
      <w:r w:rsidRPr="00BB7A2A">
        <w:rPr>
          <w:rFonts w:asciiTheme="minorHAnsi" w:hAnsiTheme="minorHAnsi" w:cstheme="minorHAnsi"/>
          <w:sz w:val="24"/>
          <w:szCs w:val="24"/>
        </w:rPr>
        <w:t>Indicador</w:t>
      </w:r>
      <w:proofErr w:type="spellEnd"/>
      <w:r w:rsidRPr="00BB7A2A">
        <w:rPr>
          <w:rFonts w:asciiTheme="minorHAnsi" w:hAnsiTheme="minorHAnsi" w:cstheme="minorHAnsi"/>
          <w:sz w:val="24"/>
          <w:szCs w:val="24"/>
        </w:rPr>
        <w:t xml:space="preserve"> 30:</w:t>
      </w:r>
      <w:r w:rsidRPr="00BB7A2A">
        <w:rPr>
          <w:rFonts w:asciiTheme="minorHAnsi" w:hAnsiTheme="minorHAnsi" w:cstheme="minorHAnsi"/>
          <w:sz w:val="24"/>
          <w:szCs w:val="24"/>
        </w:rPr>
        <w:tab/>
      </w:r>
      <w:proofErr w:type="spellStart"/>
      <w:r w:rsidRPr="00BB7A2A">
        <w:rPr>
          <w:rFonts w:asciiTheme="minorHAnsi" w:hAnsiTheme="minorHAnsi" w:cstheme="minorHAnsi"/>
          <w:sz w:val="24"/>
          <w:szCs w:val="24"/>
        </w:rPr>
        <w:t>Entornos</w:t>
      </w:r>
      <w:proofErr w:type="spellEnd"/>
      <w:r w:rsidRPr="00BB7A2A">
        <w:rPr>
          <w:rFonts w:asciiTheme="minorHAnsi" w:hAnsiTheme="minorHAnsi" w:cstheme="minorHAnsi"/>
          <w:sz w:val="24"/>
          <w:szCs w:val="24"/>
        </w:rPr>
        <w:t xml:space="preserve"> de </w:t>
      </w:r>
      <w:proofErr w:type="spellStart"/>
      <w:r w:rsidRPr="00BB7A2A">
        <w:rPr>
          <w:rFonts w:asciiTheme="minorHAnsi" w:hAnsiTheme="minorHAnsi" w:cstheme="minorHAnsi"/>
          <w:sz w:val="24"/>
          <w:szCs w:val="24"/>
        </w:rPr>
        <w:t>trabajo</w:t>
      </w:r>
      <w:proofErr w:type="spellEnd"/>
      <w:r w:rsidRPr="00BB7A2A">
        <w:rPr>
          <w:rFonts w:asciiTheme="minorHAnsi" w:hAnsiTheme="minorHAnsi" w:cstheme="minorHAnsi"/>
          <w:sz w:val="24"/>
          <w:szCs w:val="24"/>
        </w:rPr>
        <w:t xml:space="preserve"> </w:t>
      </w:r>
      <w:proofErr w:type="spellStart"/>
      <w:r w:rsidRPr="00BB7A2A">
        <w:rPr>
          <w:rFonts w:asciiTheme="minorHAnsi" w:hAnsiTheme="minorHAnsi" w:cstheme="minorHAnsi"/>
          <w:sz w:val="24"/>
          <w:szCs w:val="24"/>
        </w:rPr>
        <w:t>conectados</w:t>
      </w:r>
      <w:proofErr w:type="spellEnd"/>
    </w:p>
    <w:p w14:paraId="6E0C03FE" w14:textId="77777777" w:rsidR="00BB7A2A" w:rsidRPr="00BB7A2A" w:rsidRDefault="00BB7A2A" w:rsidP="007B78CE">
      <w:pPr>
        <w:pStyle w:val="Prrafodelista"/>
        <w:jc w:val="both"/>
        <w:rPr>
          <w:rFonts w:asciiTheme="minorHAnsi" w:hAnsiTheme="minorHAnsi" w:cstheme="minorHAnsi"/>
          <w:sz w:val="24"/>
          <w:szCs w:val="24"/>
        </w:rPr>
      </w:pPr>
    </w:p>
    <w:p w14:paraId="48414D3E" w14:textId="77777777" w:rsidR="00A01F04" w:rsidRDefault="00A01F04" w:rsidP="007B78CE">
      <w:pPr>
        <w:pStyle w:val="Ttulo3"/>
        <w:numPr>
          <w:ilvl w:val="0"/>
          <w:numId w:val="0"/>
        </w:numPr>
        <w:jc w:val="both"/>
        <w:rPr>
          <w:lang w:val="es-ES"/>
        </w:rPr>
      </w:pPr>
      <w:bookmarkStart w:id="14" w:name="_Toc103769906"/>
    </w:p>
    <w:p w14:paraId="571A4E0E" w14:textId="19A41EE1" w:rsidR="008A069C" w:rsidRDefault="008A069C" w:rsidP="007B78CE">
      <w:pPr>
        <w:pStyle w:val="Ttulo3"/>
        <w:numPr>
          <w:ilvl w:val="0"/>
          <w:numId w:val="0"/>
        </w:numPr>
        <w:jc w:val="both"/>
        <w:rPr>
          <w:lang w:val="es-ES"/>
        </w:rPr>
      </w:pPr>
      <w:r w:rsidRPr="00BB7A2A">
        <w:rPr>
          <w:lang w:val="es-ES"/>
        </w:rPr>
        <w:t xml:space="preserve">Cálculo del indicador global de Ciudad Activa </w:t>
      </w:r>
      <w:bookmarkEnd w:id="14"/>
    </w:p>
    <w:p w14:paraId="2087FFDB" w14:textId="77777777" w:rsidR="00A01F04" w:rsidRPr="00A01F04" w:rsidRDefault="00A01F04" w:rsidP="00A01F04"/>
    <w:p w14:paraId="2731464E" w14:textId="01226A3C" w:rsidR="008A069C" w:rsidRDefault="008A069C" w:rsidP="007B78CE">
      <w:pPr>
        <w:spacing w:after="160" w:line="259" w:lineRule="auto"/>
        <w:jc w:val="both"/>
        <w:rPr>
          <w:rFonts w:cs="Arial"/>
        </w:rPr>
      </w:pPr>
      <w:r w:rsidRPr="00BB22D2">
        <w:rPr>
          <w:rFonts w:cs="Arial"/>
        </w:rPr>
        <w:t xml:space="preserve">Los indicadores anteriores </w:t>
      </w:r>
      <w:r>
        <w:rPr>
          <w:rFonts w:cs="Arial"/>
        </w:rPr>
        <w:t>se integran</w:t>
      </w:r>
      <w:r w:rsidRPr="00BB22D2">
        <w:rPr>
          <w:rFonts w:cs="Arial"/>
        </w:rPr>
        <w:t xml:space="preserve"> paulatinamente con el objetivo de componer </w:t>
      </w:r>
      <w:r w:rsidRPr="00BB22D2">
        <w:rPr>
          <w:rFonts w:cs="Arial"/>
          <w:b/>
          <w:bCs/>
        </w:rPr>
        <w:t xml:space="preserve">un índice </w:t>
      </w:r>
      <w:r>
        <w:rPr>
          <w:rFonts w:cs="Arial"/>
          <w:b/>
          <w:bCs/>
        </w:rPr>
        <w:t>global</w:t>
      </w:r>
      <w:r w:rsidRPr="00BB22D2">
        <w:rPr>
          <w:rFonts w:cs="Arial"/>
          <w:b/>
          <w:bCs/>
        </w:rPr>
        <w:t xml:space="preserve"> </w:t>
      </w:r>
      <w:r w:rsidRPr="00613737">
        <w:rPr>
          <w:rFonts w:cs="Arial"/>
        </w:rPr>
        <w:t>final</w:t>
      </w:r>
      <w:r w:rsidRPr="00BB22D2">
        <w:rPr>
          <w:rFonts w:cs="Arial"/>
        </w:rPr>
        <w:t xml:space="preserve">. Cada pareja de valores se fusiona ponderadamente dentro de su ámbito y cada uno de estos </w:t>
      </w:r>
      <w:r>
        <w:rPr>
          <w:rFonts w:cs="Arial"/>
        </w:rPr>
        <w:t xml:space="preserve">resultados </w:t>
      </w:r>
      <w:r w:rsidRPr="00BB22D2">
        <w:rPr>
          <w:rFonts w:cs="Arial"/>
        </w:rPr>
        <w:t>se combina</w:t>
      </w:r>
      <w:r w:rsidRPr="006C4217">
        <w:rPr>
          <w:rFonts w:cs="Arial"/>
        </w:rPr>
        <w:t xml:space="preserve"> </w:t>
      </w:r>
      <w:r w:rsidRPr="00BB22D2">
        <w:rPr>
          <w:rFonts w:cs="Arial"/>
        </w:rPr>
        <w:t>dentro de cada categoría, también con sus respectivos coeficientes de ponderación. El último paso se da con la unificación de las cinco categorías.</w:t>
      </w:r>
    </w:p>
    <w:p w14:paraId="097CA287" w14:textId="63A71540" w:rsidR="00BB7A2A" w:rsidRPr="0051709F" w:rsidRDefault="008A069C" w:rsidP="007B78CE">
      <w:pPr>
        <w:spacing w:after="160" w:line="259" w:lineRule="auto"/>
        <w:jc w:val="both"/>
        <w:rPr>
          <w:rFonts w:cstheme="minorHAnsi"/>
        </w:rPr>
      </w:pPr>
      <w:r>
        <w:rPr>
          <w:rFonts w:cs="Arial"/>
        </w:rPr>
        <w:t xml:space="preserve">Se recomienda la realización de nuevas auditorias cuatrienalmente para poder comprobar la evolución del municipio respecto a lo requerido por el modelo tras la implementación de las acciones y proyectos señalados, así como por otras </w:t>
      </w:r>
      <w:r w:rsidR="00BB7A2A">
        <w:rPr>
          <w:rFonts w:cs="Arial"/>
        </w:rPr>
        <w:t>i</w:t>
      </w:r>
      <w:r>
        <w:rPr>
          <w:rFonts w:cs="Arial"/>
        </w:rPr>
        <w:t>ntervenciones en la misma línea que puedan ser desarrolladas durante los años próximos.</w:t>
      </w:r>
    </w:p>
    <w:p w14:paraId="25A46278" w14:textId="77777777" w:rsidR="00A01F04" w:rsidRDefault="00A01F04" w:rsidP="0032285C">
      <w:pPr>
        <w:pStyle w:val="Ttulo1"/>
        <w:rPr>
          <w:rFonts w:asciiTheme="minorHAnsi" w:hAnsiTheme="minorHAnsi" w:cstheme="minorHAnsi"/>
          <w:sz w:val="24"/>
          <w:szCs w:val="24"/>
        </w:rPr>
      </w:pPr>
    </w:p>
    <w:p w14:paraId="77EFE7D9" w14:textId="77777777" w:rsidR="00A01F04" w:rsidRDefault="00A01F04" w:rsidP="0032285C">
      <w:pPr>
        <w:pStyle w:val="Ttulo1"/>
        <w:rPr>
          <w:rFonts w:asciiTheme="minorHAnsi" w:hAnsiTheme="minorHAnsi" w:cstheme="minorHAnsi"/>
          <w:sz w:val="24"/>
          <w:szCs w:val="24"/>
        </w:rPr>
      </w:pPr>
    </w:p>
    <w:p w14:paraId="5D11E877" w14:textId="77777777" w:rsidR="00A01F04" w:rsidRDefault="00A01F04" w:rsidP="0032285C">
      <w:pPr>
        <w:pStyle w:val="Ttulo1"/>
        <w:rPr>
          <w:rFonts w:asciiTheme="minorHAnsi" w:hAnsiTheme="minorHAnsi" w:cstheme="minorHAnsi"/>
          <w:sz w:val="24"/>
          <w:szCs w:val="24"/>
        </w:rPr>
      </w:pPr>
    </w:p>
    <w:p w14:paraId="687D4894" w14:textId="77777777" w:rsidR="00A01F04" w:rsidRDefault="00A01F04" w:rsidP="0032285C">
      <w:pPr>
        <w:pStyle w:val="Ttulo1"/>
        <w:rPr>
          <w:rFonts w:asciiTheme="minorHAnsi" w:hAnsiTheme="minorHAnsi" w:cstheme="minorHAnsi"/>
          <w:sz w:val="24"/>
          <w:szCs w:val="24"/>
        </w:rPr>
      </w:pPr>
    </w:p>
    <w:p w14:paraId="6B83F26F" w14:textId="77777777" w:rsidR="00A01F04" w:rsidRDefault="00A01F04" w:rsidP="0032285C">
      <w:pPr>
        <w:pStyle w:val="Ttulo1"/>
        <w:rPr>
          <w:rFonts w:asciiTheme="minorHAnsi" w:hAnsiTheme="minorHAnsi" w:cstheme="minorHAnsi"/>
          <w:sz w:val="24"/>
          <w:szCs w:val="24"/>
        </w:rPr>
      </w:pPr>
    </w:p>
    <w:p w14:paraId="3AB8A572" w14:textId="77777777" w:rsidR="00A01F04" w:rsidRDefault="00A01F04" w:rsidP="0032285C">
      <w:pPr>
        <w:pStyle w:val="Ttulo1"/>
        <w:rPr>
          <w:rFonts w:asciiTheme="minorHAnsi" w:hAnsiTheme="minorHAnsi" w:cstheme="minorHAnsi"/>
          <w:sz w:val="24"/>
          <w:szCs w:val="24"/>
        </w:rPr>
      </w:pPr>
    </w:p>
    <w:p w14:paraId="6EC20934" w14:textId="77777777" w:rsidR="00A01F04" w:rsidRDefault="00A01F04" w:rsidP="0032285C">
      <w:pPr>
        <w:pStyle w:val="Ttulo1"/>
        <w:rPr>
          <w:rFonts w:asciiTheme="minorHAnsi" w:hAnsiTheme="minorHAnsi" w:cstheme="minorHAnsi"/>
          <w:sz w:val="24"/>
          <w:szCs w:val="24"/>
        </w:rPr>
      </w:pPr>
    </w:p>
    <w:p w14:paraId="75651E66" w14:textId="77777777" w:rsidR="00A01F04" w:rsidRDefault="00A01F04" w:rsidP="0032285C">
      <w:pPr>
        <w:pStyle w:val="Ttulo1"/>
        <w:rPr>
          <w:rFonts w:asciiTheme="minorHAnsi" w:hAnsiTheme="minorHAnsi" w:cstheme="minorHAnsi"/>
          <w:sz w:val="24"/>
          <w:szCs w:val="24"/>
        </w:rPr>
      </w:pPr>
    </w:p>
    <w:p w14:paraId="58D295EF" w14:textId="77777777" w:rsidR="00A01F04" w:rsidRDefault="00A01F04" w:rsidP="0032285C">
      <w:pPr>
        <w:pStyle w:val="Ttulo1"/>
        <w:rPr>
          <w:rFonts w:asciiTheme="minorHAnsi" w:hAnsiTheme="minorHAnsi" w:cstheme="minorHAnsi"/>
          <w:sz w:val="24"/>
          <w:szCs w:val="24"/>
        </w:rPr>
      </w:pPr>
    </w:p>
    <w:p w14:paraId="147F34E8" w14:textId="77777777" w:rsidR="00A01F04" w:rsidRDefault="00A01F04" w:rsidP="0032285C">
      <w:pPr>
        <w:pStyle w:val="Ttulo1"/>
        <w:rPr>
          <w:rFonts w:asciiTheme="minorHAnsi" w:hAnsiTheme="minorHAnsi" w:cstheme="minorHAnsi"/>
          <w:sz w:val="24"/>
          <w:szCs w:val="24"/>
        </w:rPr>
      </w:pPr>
    </w:p>
    <w:p w14:paraId="584CA57F" w14:textId="77777777" w:rsidR="00A01F04" w:rsidRDefault="00A01F04" w:rsidP="0032285C">
      <w:pPr>
        <w:pStyle w:val="Ttulo1"/>
        <w:rPr>
          <w:rFonts w:asciiTheme="minorHAnsi" w:hAnsiTheme="minorHAnsi" w:cstheme="minorHAnsi"/>
          <w:sz w:val="24"/>
          <w:szCs w:val="24"/>
        </w:rPr>
      </w:pPr>
    </w:p>
    <w:p w14:paraId="36930DD6" w14:textId="77777777" w:rsidR="00A01F04" w:rsidRDefault="00A01F04" w:rsidP="0032285C">
      <w:pPr>
        <w:pStyle w:val="Ttulo1"/>
        <w:rPr>
          <w:rFonts w:asciiTheme="minorHAnsi" w:hAnsiTheme="minorHAnsi" w:cstheme="minorHAnsi"/>
          <w:sz w:val="24"/>
          <w:szCs w:val="24"/>
        </w:rPr>
      </w:pPr>
    </w:p>
    <w:p w14:paraId="4316F1C8" w14:textId="77777777" w:rsidR="00A01F04" w:rsidRDefault="00A01F04" w:rsidP="0032285C">
      <w:pPr>
        <w:pStyle w:val="Ttulo1"/>
        <w:rPr>
          <w:rFonts w:asciiTheme="minorHAnsi" w:hAnsiTheme="minorHAnsi" w:cstheme="minorHAnsi"/>
          <w:sz w:val="24"/>
          <w:szCs w:val="24"/>
        </w:rPr>
      </w:pPr>
    </w:p>
    <w:p w14:paraId="73D6B942" w14:textId="77777777" w:rsidR="00560971" w:rsidRDefault="00560971" w:rsidP="00560971"/>
    <w:p w14:paraId="588B757D" w14:textId="77777777" w:rsidR="00560971" w:rsidRDefault="00560971" w:rsidP="00560971"/>
    <w:p w14:paraId="6F225DAA" w14:textId="77777777" w:rsidR="00560971" w:rsidRDefault="00560971" w:rsidP="00560971"/>
    <w:p w14:paraId="302D7B7B" w14:textId="77777777" w:rsidR="00560971" w:rsidRDefault="00560971" w:rsidP="00560971"/>
    <w:p w14:paraId="4362A781" w14:textId="77777777" w:rsidR="00560971" w:rsidRDefault="00560971" w:rsidP="00560971"/>
    <w:p w14:paraId="11925568" w14:textId="77777777" w:rsidR="00560971" w:rsidRDefault="00560971" w:rsidP="00560971"/>
    <w:p w14:paraId="65326AA8" w14:textId="77777777" w:rsidR="00560971" w:rsidRDefault="00560971" w:rsidP="00560971"/>
    <w:p w14:paraId="64349115" w14:textId="77777777" w:rsidR="00560971" w:rsidRDefault="00560971" w:rsidP="00560971"/>
    <w:p w14:paraId="7BD620DB" w14:textId="77777777" w:rsidR="00560971" w:rsidRDefault="00560971" w:rsidP="00560971"/>
    <w:p w14:paraId="789CB745" w14:textId="77777777" w:rsidR="00560971" w:rsidRDefault="00560971" w:rsidP="00560971"/>
    <w:p w14:paraId="58CD90F2" w14:textId="77777777" w:rsidR="00560971" w:rsidRDefault="00560971" w:rsidP="00560971"/>
    <w:p w14:paraId="3746C5C5" w14:textId="77777777" w:rsidR="00560971" w:rsidRDefault="00560971" w:rsidP="00560971"/>
    <w:p w14:paraId="6631E537" w14:textId="77777777" w:rsidR="00560971" w:rsidRDefault="00560971" w:rsidP="00560971"/>
    <w:p w14:paraId="06545A3A" w14:textId="77777777" w:rsidR="00560971" w:rsidRDefault="00560971" w:rsidP="00560971"/>
    <w:p w14:paraId="01A2BF19" w14:textId="77777777" w:rsidR="00560971" w:rsidRDefault="00560971" w:rsidP="00560971"/>
    <w:p w14:paraId="523A1BF7" w14:textId="77777777" w:rsidR="00560971" w:rsidRDefault="00560971" w:rsidP="00560971"/>
    <w:p w14:paraId="000632E9" w14:textId="77777777" w:rsidR="00560971" w:rsidRDefault="00560971" w:rsidP="00560971"/>
    <w:p w14:paraId="71FB060C" w14:textId="77777777" w:rsidR="00560971" w:rsidRDefault="00560971" w:rsidP="00560971"/>
    <w:p w14:paraId="6904018A" w14:textId="77777777" w:rsidR="00560971" w:rsidRDefault="00560971" w:rsidP="00560971"/>
    <w:p w14:paraId="19AD8639" w14:textId="77777777" w:rsidR="00560971" w:rsidRDefault="00560971" w:rsidP="00560971"/>
    <w:p w14:paraId="5CA0C567" w14:textId="77777777" w:rsidR="00560971" w:rsidRDefault="00560971" w:rsidP="00560971"/>
    <w:p w14:paraId="0FD5F105" w14:textId="77777777" w:rsidR="00560971" w:rsidRDefault="00560971" w:rsidP="00560971"/>
    <w:p w14:paraId="200AE260" w14:textId="77777777" w:rsidR="00560971" w:rsidRDefault="00560971" w:rsidP="00560971"/>
    <w:p w14:paraId="4BDF38BC" w14:textId="77777777" w:rsidR="00560971" w:rsidRDefault="00560971" w:rsidP="00560971"/>
    <w:p w14:paraId="34E8A85D" w14:textId="77777777" w:rsidR="00560971" w:rsidRDefault="00560971" w:rsidP="00560971"/>
    <w:p w14:paraId="13F3DE1A" w14:textId="77777777" w:rsidR="00560971" w:rsidRDefault="00560971" w:rsidP="00560971"/>
    <w:p w14:paraId="40687B69" w14:textId="77777777" w:rsidR="00560971" w:rsidRDefault="00560971" w:rsidP="00560971"/>
    <w:p w14:paraId="2ED1CEF8" w14:textId="77777777" w:rsidR="00560971" w:rsidRDefault="00560971" w:rsidP="00560971"/>
    <w:p w14:paraId="3DEA24B0" w14:textId="77777777" w:rsidR="00560971" w:rsidRDefault="00560971" w:rsidP="00560971"/>
    <w:p w14:paraId="1EEBECBF" w14:textId="77777777" w:rsidR="00560971" w:rsidRDefault="00560971" w:rsidP="00560971"/>
    <w:p w14:paraId="245EFFC0" w14:textId="77777777" w:rsidR="00560971" w:rsidRDefault="00560971" w:rsidP="00560971"/>
    <w:p w14:paraId="17BE37A7" w14:textId="77777777" w:rsidR="00560971" w:rsidRDefault="00560971" w:rsidP="00560971"/>
    <w:p w14:paraId="2EA48F1D" w14:textId="77777777" w:rsidR="00560971" w:rsidRDefault="00560971" w:rsidP="00560971"/>
    <w:p w14:paraId="48DBC496" w14:textId="77777777" w:rsidR="00560971" w:rsidRDefault="00560971" w:rsidP="00560971"/>
    <w:p w14:paraId="0A4AC430" w14:textId="0CB684CE" w:rsidR="00F43666" w:rsidRDefault="00F43666" w:rsidP="00F43666">
      <w:pPr>
        <w:pStyle w:val="Ttulo1"/>
        <w:jc w:val="right"/>
        <w:rPr>
          <w:rFonts w:asciiTheme="minorHAnsi" w:hAnsiTheme="minorHAnsi" w:cstheme="minorHAnsi"/>
        </w:rPr>
      </w:pPr>
    </w:p>
    <w:p w14:paraId="71550E7F" w14:textId="77777777" w:rsidR="00F43666" w:rsidRDefault="00F43666" w:rsidP="00F43666">
      <w:pPr>
        <w:pStyle w:val="Ttulo1"/>
        <w:jc w:val="right"/>
        <w:rPr>
          <w:rFonts w:asciiTheme="minorHAnsi" w:hAnsiTheme="minorHAnsi" w:cstheme="minorHAnsi"/>
        </w:rPr>
      </w:pPr>
    </w:p>
    <w:p w14:paraId="671A0CA7" w14:textId="29DDD370" w:rsidR="00F43666" w:rsidRPr="00560971" w:rsidRDefault="00F43666" w:rsidP="00F43666">
      <w:pPr>
        <w:pStyle w:val="Ttulo1"/>
        <w:jc w:val="right"/>
        <w:rPr>
          <w:rFonts w:asciiTheme="minorHAnsi" w:hAnsiTheme="minorHAnsi" w:cstheme="minorHAnsi"/>
        </w:rPr>
      </w:pPr>
      <w:r>
        <w:rPr>
          <w:rFonts w:asciiTheme="minorHAnsi" w:hAnsiTheme="minorHAnsi" w:cstheme="minorHAnsi"/>
        </w:rPr>
        <w:t>Acciones</w:t>
      </w:r>
      <w:r w:rsidRPr="00560971">
        <w:rPr>
          <w:rFonts w:asciiTheme="minorHAnsi" w:hAnsiTheme="minorHAnsi" w:cstheme="minorHAnsi"/>
        </w:rPr>
        <w:t xml:space="preserve"> </w:t>
      </w:r>
      <w:r w:rsidR="00E84D14">
        <w:rPr>
          <w:rFonts w:asciiTheme="minorHAnsi" w:hAnsiTheme="minorHAnsi" w:cstheme="minorHAnsi"/>
        </w:rPr>
        <w:t>propuestas</w:t>
      </w:r>
      <w:r w:rsidR="00330A24">
        <w:rPr>
          <w:rFonts w:asciiTheme="minorHAnsi" w:hAnsiTheme="minorHAnsi" w:cstheme="minorHAnsi"/>
        </w:rPr>
        <w:t xml:space="preserve"> como parte de la Estrategia</w:t>
      </w:r>
    </w:p>
    <w:p w14:paraId="6D645FDF" w14:textId="77777777" w:rsidR="00F43666" w:rsidRDefault="00F43666" w:rsidP="00F43666"/>
    <w:p w14:paraId="5703AA82" w14:textId="77777777" w:rsidR="00E84D14" w:rsidRDefault="00E84D14" w:rsidP="00F43666"/>
    <w:p w14:paraId="20613235" w14:textId="77777777" w:rsidR="00E84D14" w:rsidRDefault="00E84D14" w:rsidP="00F43666"/>
    <w:p w14:paraId="027C1C98" w14:textId="77777777" w:rsidR="00E84D14" w:rsidRDefault="00E84D14" w:rsidP="00F43666"/>
    <w:p w14:paraId="34DA1A1B" w14:textId="77777777" w:rsidR="00E84D14" w:rsidRDefault="00E84D14" w:rsidP="00F43666"/>
    <w:p w14:paraId="598131F6" w14:textId="77777777" w:rsidR="00E84D14" w:rsidRDefault="00E84D14" w:rsidP="00F43666"/>
    <w:p w14:paraId="180107DB" w14:textId="77777777" w:rsidR="00E84D14" w:rsidRDefault="00E84D14" w:rsidP="00F43666"/>
    <w:p w14:paraId="0FA84272" w14:textId="77777777" w:rsidR="00E84D14" w:rsidRDefault="00E84D14" w:rsidP="00F43666"/>
    <w:p w14:paraId="23C86804" w14:textId="77777777" w:rsidR="00E84D14" w:rsidRDefault="00E84D14" w:rsidP="00F43666"/>
    <w:p w14:paraId="12EF40C4" w14:textId="77777777" w:rsidR="00E84D14" w:rsidRDefault="00E84D14" w:rsidP="00F43666"/>
    <w:p w14:paraId="7A3A179A" w14:textId="77777777" w:rsidR="00E84D14" w:rsidRDefault="00E84D14" w:rsidP="00F43666"/>
    <w:p w14:paraId="53C2ED50" w14:textId="77777777" w:rsidR="00E84D14" w:rsidRDefault="00E84D14" w:rsidP="00F43666"/>
    <w:p w14:paraId="236E5D8C" w14:textId="77777777" w:rsidR="00E84D14" w:rsidRDefault="00E84D14" w:rsidP="00F43666"/>
    <w:p w14:paraId="2A147AE4" w14:textId="77777777" w:rsidR="00E84D14" w:rsidRDefault="00E84D14" w:rsidP="00F43666"/>
    <w:p w14:paraId="23A8336B" w14:textId="77777777" w:rsidR="00E84D14" w:rsidRDefault="00E84D14" w:rsidP="00F43666"/>
    <w:p w14:paraId="72297F00" w14:textId="77777777" w:rsidR="00E84D14" w:rsidRDefault="00E84D14" w:rsidP="00F43666"/>
    <w:p w14:paraId="63141469" w14:textId="77777777" w:rsidR="00E84D14" w:rsidRDefault="00E84D14" w:rsidP="00F43666"/>
    <w:p w14:paraId="40E9144A" w14:textId="77777777" w:rsidR="00E84D14" w:rsidRDefault="00E84D14" w:rsidP="00F43666"/>
    <w:p w14:paraId="785C0213" w14:textId="7F6AC50B" w:rsidR="00E84D14" w:rsidRPr="00E84D14" w:rsidRDefault="00E84D14" w:rsidP="00F43666">
      <w:pPr>
        <w:rPr>
          <w:b/>
          <w:bCs/>
          <w:color w:val="1F4E79" w:themeColor="accent5" w:themeShade="80"/>
          <w:sz w:val="28"/>
          <w:szCs w:val="28"/>
        </w:rPr>
      </w:pPr>
      <w:r w:rsidRPr="00E84D14">
        <w:rPr>
          <w:b/>
          <w:bCs/>
          <w:color w:val="1F4E79" w:themeColor="accent5" w:themeShade="80"/>
          <w:sz w:val="28"/>
          <w:szCs w:val="28"/>
        </w:rPr>
        <w:t>Acciones propuestas:</w:t>
      </w:r>
    </w:p>
    <w:p w14:paraId="3EBEDBDB" w14:textId="77777777" w:rsidR="00F43666" w:rsidRDefault="00F43666" w:rsidP="00F43666">
      <w:pPr>
        <w:pStyle w:val="Ttulo1"/>
        <w:rPr>
          <w:rFonts w:asciiTheme="minorHAnsi" w:hAnsiTheme="minorHAnsi" w:cstheme="minorHAnsi"/>
          <w:sz w:val="24"/>
          <w:szCs w:val="24"/>
        </w:rPr>
      </w:pPr>
    </w:p>
    <w:p w14:paraId="685C0A2B" w14:textId="1809B46A" w:rsidR="00E84D14" w:rsidRPr="007B667D" w:rsidRDefault="00E84D14" w:rsidP="00AA5E9D">
      <w:pPr>
        <w:pStyle w:val="Ttulo2"/>
        <w:numPr>
          <w:ilvl w:val="0"/>
          <w:numId w:val="0"/>
        </w:numPr>
        <w:ind w:left="576" w:hanging="576"/>
        <w:jc w:val="both"/>
        <w:rPr>
          <w:rFonts w:asciiTheme="minorHAnsi" w:eastAsia="Times New Roman" w:hAnsiTheme="minorHAnsi" w:cstheme="minorHAnsi"/>
          <w:b/>
          <w:bCs/>
          <w:caps/>
          <w:sz w:val="24"/>
          <w:szCs w:val="24"/>
          <w:lang w:val="es-ES" w:eastAsia="es-ES"/>
        </w:rPr>
      </w:pPr>
      <w:r w:rsidRPr="007B667D">
        <w:rPr>
          <w:rFonts w:asciiTheme="minorHAnsi" w:eastAsia="Times New Roman" w:hAnsiTheme="minorHAnsi" w:cstheme="minorHAnsi"/>
          <w:b/>
          <w:bCs/>
          <w:caps/>
          <w:sz w:val="24"/>
          <w:szCs w:val="24"/>
          <w:lang w:val="es-ES" w:eastAsia="es-ES"/>
        </w:rPr>
        <w:t xml:space="preserve">acciones para aumentar la actividad física </w:t>
      </w:r>
      <w:r w:rsidR="00AA5E9D">
        <w:rPr>
          <w:rFonts w:asciiTheme="minorHAnsi" w:eastAsia="Times New Roman" w:hAnsiTheme="minorHAnsi" w:cstheme="minorHAnsi"/>
          <w:b/>
          <w:bCs/>
          <w:caps/>
          <w:sz w:val="24"/>
          <w:szCs w:val="24"/>
          <w:lang w:val="es-ES" w:eastAsia="es-ES"/>
        </w:rPr>
        <w:t>EN EL CONTEXTO</w:t>
      </w:r>
      <w:r w:rsidRPr="007B667D">
        <w:rPr>
          <w:rFonts w:asciiTheme="minorHAnsi" w:eastAsia="Times New Roman" w:hAnsiTheme="minorHAnsi" w:cstheme="minorHAnsi"/>
          <w:b/>
          <w:bCs/>
          <w:caps/>
          <w:sz w:val="24"/>
          <w:szCs w:val="24"/>
          <w:lang w:val="es-ES" w:eastAsia="es-ES"/>
        </w:rPr>
        <w:t xml:space="preserve"> educativo</w:t>
      </w:r>
    </w:p>
    <w:p w14:paraId="2DFEF70D" w14:textId="77777777" w:rsidR="00E84D14" w:rsidRPr="0051709F" w:rsidRDefault="00E84D14" w:rsidP="00E84D14">
      <w:pPr>
        <w:rPr>
          <w:rFonts w:cstheme="minorHAnsi"/>
          <w:lang w:eastAsia="es-ES"/>
        </w:rPr>
      </w:pPr>
    </w:p>
    <w:p w14:paraId="295888FD"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Incorporar más tiempo de educación física.</w:t>
      </w:r>
      <w:r w:rsidRPr="0051709F">
        <w:rPr>
          <w:rFonts w:asciiTheme="minorHAnsi" w:eastAsia="Calibri" w:hAnsiTheme="minorHAnsi" w:cstheme="minorHAnsi"/>
          <w:sz w:val="24"/>
          <w:szCs w:val="24"/>
          <w:lang w:val="es-ES"/>
        </w:rPr>
        <w:t xml:space="preserve"> Estas clases también pueden ayudar a los estudiantes a desarrollarse física, social, emocional y cognitivamente. Las clases de educación física brindan a los estudiantes la oportunidad de hacer algo de ejercicio durante la jornada escolar y pueden ayudarlos a aprender hábitos saludables para llevar estilos de vida activos. Las clases de educación física que enseñan deportes y otros juegos de trabajo en equipo agregan un componente social a la actividad física que puede hacerla más divertida y significativa para los niños. Las clases de educación física pueden desempeñar un papel influyente para los estudiantes que, de lo contrario, vivirían estilos de vida sedentarios. Aumentar la cantidad de tiempo dedicado a la educación física en el currículo escolar. Esto puede implicar incrementar la frecuencia y duración de las clases de educación física </w:t>
      </w:r>
      <w:r>
        <w:rPr>
          <w:rFonts w:asciiTheme="minorHAnsi" w:eastAsia="Calibri" w:hAnsiTheme="minorHAnsi" w:cstheme="minorHAnsi"/>
          <w:sz w:val="24"/>
          <w:szCs w:val="24"/>
          <w:lang w:val="es-ES"/>
        </w:rPr>
        <w:t>favoreciendo</w:t>
      </w:r>
      <w:r w:rsidRPr="0051709F">
        <w:rPr>
          <w:rFonts w:asciiTheme="minorHAnsi" w:eastAsia="Calibri" w:hAnsiTheme="minorHAnsi" w:cstheme="minorHAnsi"/>
          <w:sz w:val="24"/>
          <w:szCs w:val="24"/>
          <w:lang w:val="es-ES"/>
        </w:rPr>
        <w:t xml:space="preserve"> que los estudiantes tengan al menos 150 minutos de actividad física moderada a vigorosa por semana, de acuerdo con las recomendaciones de la Organización Mundial de la Salud.</w:t>
      </w:r>
      <w:r w:rsidRPr="0051709F">
        <w:rPr>
          <w:rFonts w:asciiTheme="minorHAnsi" w:hAnsiTheme="minorHAnsi" w:cstheme="minorHAnsi"/>
          <w:sz w:val="24"/>
          <w:szCs w:val="24"/>
          <w:lang w:val="es-ES"/>
        </w:rPr>
        <w:t xml:space="preserve"> </w:t>
      </w:r>
      <w:r>
        <w:rPr>
          <w:rFonts w:asciiTheme="minorHAnsi" w:hAnsiTheme="minorHAnsi" w:cstheme="minorHAnsi"/>
          <w:sz w:val="24"/>
          <w:szCs w:val="24"/>
          <w:lang w:val="es-ES"/>
        </w:rPr>
        <w:t>Es preciso</w:t>
      </w:r>
      <w:r w:rsidRPr="0051709F">
        <w:rPr>
          <w:rFonts w:asciiTheme="minorHAnsi" w:eastAsia="Calibri" w:hAnsiTheme="minorHAnsi" w:cstheme="minorHAnsi"/>
          <w:sz w:val="24"/>
          <w:szCs w:val="24"/>
          <w:lang w:val="es-ES"/>
        </w:rPr>
        <w:t xml:space="preserve"> ofrecer clases de educación física que fomenten hábitos saludables que los estudiantes puedan llevar consigo más allá de las clases o el patio de recreo.</w:t>
      </w:r>
    </w:p>
    <w:p w14:paraId="448C0E87"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4C1628DC"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Promover el juego activo durante el recreo.</w:t>
      </w:r>
      <w:r w:rsidRPr="0051709F">
        <w:rPr>
          <w:rFonts w:asciiTheme="minorHAnsi" w:eastAsia="Calibri" w:hAnsiTheme="minorHAnsi" w:cstheme="minorHAnsi"/>
          <w:i/>
          <w:iCs/>
          <w:sz w:val="24"/>
          <w:szCs w:val="24"/>
          <w:lang w:val="es-ES"/>
        </w:rPr>
        <w:t xml:space="preserve"> </w:t>
      </w:r>
      <w:r w:rsidRPr="0051709F">
        <w:rPr>
          <w:rFonts w:asciiTheme="minorHAnsi" w:eastAsia="Calibri" w:hAnsiTheme="minorHAnsi" w:cstheme="minorHAnsi"/>
          <w:sz w:val="24"/>
          <w:szCs w:val="24"/>
          <w:lang w:val="es-ES"/>
        </w:rPr>
        <w:t xml:space="preserve">El recreo es otra forma importante en la que </w:t>
      </w:r>
      <w:r>
        <w:rPr>
          <w:rFonts w:asciiTheme="minorHAnsi" w:eastAsia="Calibri" w:hAnsiTheme="minorHAnsi" w:cstheme="minorHAnsi"/>
          <w:sz w:val="24"/>
          <w:szCs w:val="24"/>
          <w:lang w:val="es-ES"/>
        </w:rPr>
        <w:t xml:space="preserve">se </w:t>
      </w:r>
      <w:r w:rsidRPr="0051709F">
        <w:rPr>
          <w:rFonts w:asciiTheme="minorHAnsi" w:eastAsia="Calibri" w:hAnsiTheme="minorHAnsi" w:cstheme="minorHAnsi"/>
          <w:sz w:val="24"/>
          <w:szCs w:val="24"/>
          <w:lang w:val="es-ES"/>
        </w:rPr>
        <w:t xml:space="preserve">puede promover la actividad física en su escuela. Mientras que las clases de educación física están estructuradas, el recreo debe centrarse más en el juego libre. Hay varios modelos para el recreo que </w:t>
      </w:r>
      <w:r>
        <w:rPr>
          <w:rFonts w:asciiTheme="minorHAnsi" w:eastAsia="Calibri" w:hAnsiTheme="minorHAnsi" w:cstheme="minorHAnsi"/>
          <w:sz w:val="24"/>
          <w:szCs w:val="24"/>
          <w:lang w:val="es-ES"/>
        </w:rPr>
        <w:t xml:space="preserve">se </w:t>
      </w:r>
      <w:r w:rsidRPr="0051709F">
        <w:rPr>
          <w:rFonts w:asciiTheme="minorHAnsi" w:eastAsia="Calibri" w:hAnsiTheme="minorHAnsi" w:cstheme="minorHAnsi"/>
          <w:sz w:val="24"/>
          <w:szCs w:val="24"/>
          <w:lang w:val="es-ES"/>
        </w:rPr>
        <w:t xml:space="preserve">puede implementar en </w:t>
      </w:r>
      <w:r>
        <w:rPr>
          <w:rFonts w:asciiTheme="minorHAnsi" w:eastAsia="Calibri" w:hAnsiTheme="minorHAnsi" w:cstheme="minorHAnsi"/>
          <w:sz w:val="24"/>
          <w:szCs w:val="24"/>
          <w:lang w:val="es-ES"/>
        </w:rPr>
        <w:t>la</w:t>
      </w:r>
      <w:r w:rsidRPr="0051709F">
        <w:rPr>
          <w:rFonts w:asciiTheme="minorHAnsi" w:eastAsia="Calibri" w:hAnsiTheme="minorHAnsi" w:cstheme="minorHAnsi"/>
          <w:sz w:val="24"/>
          <w:szCs w:val="24"/>
          <w:lang w:val="es-ES"/>
        </w:rPr>
        <w:t xml:space="preserve"> escuela. Puede ser un período de receso por la tarde o una serie de períodos cortos de receso a lo largo del día. Independientemente de cómo </w:t>
      </w:r>
      <w:r>
        <w:rPr>
          <w:rFonts w:asciiTheme="minorHAnsi" w:eastAsia="Calibri" w:hAnsiTheme="minorHAnsi" w:cstheme="minorHAnsi"/>
          <w:sz w:val="24"/>
          <w:szCs w:val="24"/>
          <w:lang w:val="es-ES"/>
        </w:rPr>
        <w:t xml:space="preserve">se </w:t>
      </w:r>
      <w:r w:rsidRPr="0051709F">
        <w:rPr>
          <w:rFonts w:asciiTheme="minorHAnsi" w:eastAsia="Calibri" w:hAnsiTheme="minorHAnsi" w:cstheme="minorHAnsi"/>
          <w:sz w:val="24"/>
          <w:szCs w:val="24"/>
          <w:lang w:val="es-ES"/>
        </w:rPr>
        <w:t xml:space="preserve">elija incluirlo, </w:t>
      </w:r>
      <w:r>
        <w:rPr>
          <w:rFonts w:asciiTheme="minorHAnsi" w:eastAsia="Calibri" w:hAnsiTheme="minorHAnsi" w:cstheme="minorHAnsi"/>
          <w:sz w:val="24"/>
          <w:szCs w:val="24"/>
          <w:lang w:val="es-ES"/>
        </w:rPr>
        <w:t xml:space="preserve">fomentar </w:t>
      </w:r>
      <w:r w:rsidRPr="0051709F">
        <w:rPr>
          <w:rFonts w:asciiTheme="minorHAnsi" w:eastAsia="Calibri" w:hAnsiTheme="minorHAnsi" w:cstheme="minorHAnsi"/>
          <w:sz w:val="24"/>
          <w:szCs w:val="24"/>
          <w:lang w:val="es-ES"/>
        </w:rPr>
        <w:t xml:space="preserve">que </w:t>
      </w:r>
      <w:r>
        <w:rPr>
          <w:rFonts w:asciiTheme="minorHAnsi" w:eastAsia="Calibri" w:hAnsiTheme="minorHAnsi" w:cstheme="minorHAnsi"/>
          <w:sz w:val="24"/>
          <w:szCs w:val="24"/>
          <w:lang w:val="es-ES"/>
        </w:rPr>
        <w:t>la</w:t>
      </w:r>
      <w:r w:rsidRPr="0051709F">
        <w:rPr>
          <w:rFonts w:asciiTheme="minorHAnsi" w:eastAsia="Calibri" w:hAnsiTheme="minorHAnsi" w:cstheme="minorHAnsi"/>
          <w:sz w:val="24"/>
          <w:szCs w:val="24"/>
          <w:lang w:val="es-ES"/>
        </w:rPr>
        <w:t xml:space="preserve"> escuela incluya tiempo en el horario de recreo para que no se vea desplazado por otras cosas. Fomentar la participación en juegos y actividades físicas durante los períodos de recreo. Esto puede incluir la organización de juegos estructurados, la disponibilidad de equipamiento deportivo y la promoción de actividades que involucren movimiento y ejercicio. Además de dedicar más tiempo al recreo, hay que </w:t>
      </w:r>
      <w:r>
        <w:rPr>
          <w:rFonts w:asciiTheme="minorHAnsi" w:eastAsia="Calibri" w:hAnsiTheme="minorHAnsi" w:cstheme="minorHAnsi"/>
          <w:sz w:val="24"/>
          <w:szCs w:val="24"/>
          <w:lang w:val="es-ES"/>
        </w:rPr>
        <w:t>facilitar</w:t>
      </w:r>
      <w:r w:rsidRPr="0051709F">
        <w:rPr>
          <w:rFonts w:asciiTheme="minorHAnsi" w:eastAsia="Calibri" w:hAnsiTheme="minorHAnsi" w:cstheme="minorHAnsi"/>
          <w:sz w:val="24"/>
          <w:szCs w:val="24"/>
          <w:lang w:val="es-ES"/>
        </w:rPr>
        <w:t xml:space="preserve"> equipo de calidad en el patio de recreo que anime a los estudiantes a participar en el juego activo.</w:t>
      </w:r>
    </w:p>
    <w:p w14:paraId="092A5545"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3815E746"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Integrar el ejercicio físico en el currículo.</w:t>
      </w:r>
      <w:r w:rsidRPr="0051709F">
        <w:rPr>
          <w:rFonts w:asciiTheme="minorHAnsi" w:eastAsia="Calibri" w:hAnsiTheme="minorHAnsi" w:cstheme="minorHAnsi"/>
          <w:sz w:val="24"/>
          <w:szCs w:val="24"/>
          <w:lang w:val="es-ES"/>
        </w:rPr>
        <w:t xml:space="preserve"> Los maestros pueden ayudar a los estudiantes a mantenerse activos al incorporar el movimiento físico en sus clases. Buscar formas de integrar el ejercicio físico en otras áreas curriculares, como las matemáticas o las ciencias. Por ejemplo, se pueden organizar actividades al aire libre que combinen aprendizaje y movimiento, como la resolución de problemas matemáticos a través de juegos físicos.</w:t>
      </w:r>
    </w:p>
    <w:p w14:paraId="3B562C8A" w14:textId="77777777" w:rsidR="00E84D14" w:rsidRDefault="00E84D14" w:rsidP="00E84D14">
      <w:pPr>
        <w:pStyle w:val="Prrafodelista"/>
        <w:ind w:left="426"/>
        <w:jc w:val="both"/>
        <w:rPr>
          <w:rFonts w:asciiTheme="minorHAnsi" w:eastAsia="Calibri" w:hAnsiTheme="minorHAnsi" w:cstheme="minorHAnsi"/>
          <w:sz w:val="24"/>
          <w:szCs w:val="24"/>
          <w:lang w:val="es-ES"/>
        </w:rPr>
      </w:pPr>
    </w:p>
    <w:p w14:paraId="07B68FEA" w14:textId="77777777" w:rsidR="00AA5E9D" w:rsidRPr="0051709F" w:rsidRDefault="00AA5E9D" w:rsidP="00E84D14">
      <w:pPr>
        <w:pStyle w:val="Prrafodelista"/>
        <w:ind w:left="426"/>
        <w:jc w:val="both"/>
        <w:rPr>
          <w:rFonts w:asciiTheme="minorHAnsi" w:eastAsia="Calibri" w:hAnsiTheme="minorHAnsi" w:cstheme="minorHAnsi"/>
          <w:sz w:val="24"/>
          <w:szCs w:val="24"/>
          <w:lang w:val="es-ES"/>
        </w:rPr>
      </w:pPr>
    </w:p>
    <w:p w14:paraId="73F7883D"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lastRenderedPageBreak/>
        <w:t>Fomentar la participación en deportes y actividades extracurriculares que se puedan convertir en nuevos desafíos y metas.</w:t>
      </w:r>
      <w:r w:rsidRPr="0051709F">
        <w:rPr>
          <w:rFonts w:asciiTheme="minorHAnsi" w:eastAsia="Calibri" w:hAnsiTheme="minorHAnsi" w:cstheme="minorHAnsi"/>
          <w:sz w:val="24"/>
          <w:szCs w:val="24"/>
          <w:lang w:val="es-ES"/>
        </w:rPr>
        <w:t xml:space="preserve"> Los deportes pueden ser una forma divertida para que los niños se mantengan activos. Sin embargo, algunos niños no tienen el interés o el tiempo para dedicarse a estar en un equipo deportivo. Por eso es una buena idea que las escuelas organicen eventos deportivos más allá de sus juegos deportivos normales. Promover la participación de los estudiantes en equipos deportivos escolares, clubes deportivos locales u otras actividades extracurriculares relacionadas con el ejercicio físico. Esto puede ayudar a fomentar el interés y la práctica regular de actividad física fuera del horario escolar.</w:t>
      </w:r>
      <w:r w:rsidRPr="0051709F">
        <w:rPr>
          <w:rFonts w:asciiTheme="minorHAnsi" w:hAnsiTheme="minorHAnsi" w:cstheme="minorHAnsi"/>
          <w:sz w:val="24"/>
          <w:szCs w:val="24"/>
          <w:lang w:val="es-ES"/>
        </w:rPr>
        <w:t xml:space="preserve"> </w:t>
      </w:r>
      <w:r w:rsidRPr="0051709F">
        <w:rPr>
          <w:rFonts w:asciiTheme="minorHAnsi" w:eastAsia="Calibri" w:hAnsiTheme="minorHAnsi" w:cstheme="minorHAnsi"/>
          <w:sz w:val="24"/>
          <w:szCs w:val="24"/>
          <w:lang w:val="es-ES"/>
        </w:rPr>
        <w:t>Los programas antes y después de la escuela también pueden brindar una oportunidad para que los estudiantes se vuelvan más activos. La incorporación de una variedad de actividades físicas para que los estudiantes elijan antes y después de la escuela hace que sea más probable que encuentren un programa adecuado para ellos. Se puede invitar a organizaciones privadas a organizar programas antes o después de clases en su escuela que animen a los estudiantes a mantenerse activos.</w:t>
      </w:r>
    </w:p>
    <w:p w14:paraId="7A3291C1"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010E943A"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Crear entornos activos.</w:t>
      </w:r>
      <w:r w:rsidRPr="0051709F">
        <w:rPr>
          <w:rFonts w:asciiTheme="minorHAnsi" w:eastAsia="Calibri" w:hAnsiTheme="minorHAnsi" w:cstheme="minorHAnsi"/>
          <w:sz w:val="24"/>
          <w:szCs w:val="24"/>
          <w:lang w:val="es-ES"/>
        </w:rPr>
        <w:t xml:space="preserve"> Asegurarse de que los entornos escolares promuevan la actividad física. Esto implica tener espacios abiertos para jugar, acceso a equipamiento deportivo, senderos para caminar o andar en bicicleta, y promover el uso de las escaleras en lugar de los ascensores. Existen acuerdos de uso compartido que utilizan espacios escolares. El acceso a la comunidad está respaldado por iniciativas para promover y apoyar oportunidades de actividad física para todas las personas fuera del horario escolar normal.</w:t>
      </w:r>
    </w:p>
    <w:p w14:paraId="275912F8"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1F3979C8"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Invitar a profesionales y expertos.</w:t>
      </w:r>
      <w:r w:rsidRPr="0051709F">
        <w:rPr>
          <w:rFonts w:asciiTheme="minorHAnsi" w:eastAsia="Calibri" w:hAnsiTheme="minorHAnsi" w:cstheme="minorHAnsi"/>
          <w:sz w:val="24"/>
          <w:szCs w:val="24"/>
          <w:lang w:val="es-ES"/>
        </w:rPr>
        <w:t xml:space="preserve"> Traer a profesionales y expertos en diferentes disciplinas deportivas y de actividad física para realizar demostraciones, talleres o charlas motivadoras. Esto puede ayudar a los estudiantes a descubrir nuevas actividades y a comprender los beneficios del ejercicio físico.</w:t>
      </w:r>
    </w:p>
    <w:p w14:paraId="7B01A9C8"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09DB6817"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Promover la conciencia sobre la importancia del ejercicio físico.</w:t>
      </w:r>
      <w:r w:rsidRPr="0051709F">
        <w:rPr>
          <w:rFonts w:asciiTheme="minorHAnsi" w:eastAsia="Calibri" w:hAnsiTheme="minorHAnsi" w:cstheme="minorHAnsi"/>
          <w:sz w:val="24"/>
          <w:szCs w:val="24"/>
          <w:lang w:val="es-ES"/>
        </w:rPr>
        <w:t xml:space="preserve"> Informar a los estudiantes de los beneficios. La promoción de actividades físicas en las escuelas puede comenzar con la educación de los estudiantes sobre los beneficios que </w:t>
      </w:r>
      <w:r>
        <w:rPr>
          <w:rFonts w:asciiTheme="minorHAnsi" w:eastAsia="Calibri" w:hAnsiTheme="minorHAnsi" w:cstheme="minorHAnsi"/>
          <w:sz w:val="24"/>
          <w:szCs w:val="24"/>
          <w:lang w:val="es-ES"/>
        </w:rPr>
        <w:t>se han mostrado</w:t>
      </w:r>
      <w:r w:rsidRPr="0051709F">
        <w:rPr>
          <w:rFonts w:asciiTheme="minorHAnsi" w:eastAsia="Calibri" w:hAnsiTheme="minorHAnsi" w:cstheme="minorHAnsi"/>
          <w:sz w:val="24"/>
          <w:szCs w:val="24"/>
          <w:lang w:val="es-ES"/>
        </w:rPr>
        <w:t xml:space="preserve"> anteriormente. Al informar a los estudiantes sobre el impacto que tiene el ejercicio físico en su salud y bienestar, así como en su rendimiento escolar, </w:t>
      </w:r>
      <w:r>
        <w:rPr>
          <w:rFonts w:asciiTheme="minorHAnsi" w:eastAsia="Calibri" w:hAnsiTheme="minorHAnsi" w:cstheme="minorHAnsi"/>
          <w:sz w:val="24"/>
          <w:szCs w:val="24"/>
          <w:lang w:val="es-ES"/>
        </w:rPr>
        <w:t>se puede</w:t>
      </w:r>
      <w:r w:rsidRPr="0051709F">
        <w:rPr>
          <w:rFonts w:asciiTheme="minorHAnsi" w:eastAsia="Calibri" w:hAnsiTheme="minorHAnsi" w:cstheme="minorHAnsi"/>
          <w:sz w:val="24"/>
          <w:szCs w:val="24"/>
          <w:lang w:val="es-ES"/>
        </w:rPr>
        <w:t xml:space="preserve"> motivarlos y empoderarlos para que se mantengan activos. Esto es especialmente importante para los estudiantes mayores, ya que son más capaces de comprender la investigación sobre los beneficios de la actividad física y tienden a tener más voz sobre cómo pasan su tiempo en casa. Realizar campañas de concienciación y educación sobre los beneficios del ejercicio físico para la salud y el bienestar. Esto puede incluir charlas informativas, proyección de videos, distribución de materiales educativos y la participación de expertos en salud y actividad física.</w:t>
      </w:r>
    </w:p>
    <w:p w14:paraId="4134F0FA"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270D909F"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Involucrar a las familias.</w:t>
      </w:r>
      <w:r w:rsidRPr="0051709F">
        <w:rPr>
          <w:rFonts w:asciiTheme="minorHAnsi" w:eastAsia="Calibri" w:hAnsiTheme="minorHAnsi" w:cstheme="minorHAnsi"/>
          <w:sz w:val="24"/>
          <w:szCs w:val="24"/>
          <w:lang w:val="es-ES"/>
        </w:rPr>
        <w:t xml:space="preserve"> Informando a las familias de los beneficios. Las familias también pueden desempeñar un papel vital para ayudar a sus hijos a mantenerse activos, especialmente cuando se trata de niños más pequeños, por lo </w:t>
      </w:r>
      <w:r w:rsidRPr="0051709F">
        <w:rPr>
          <w:rFonts w:asciiTheme="minorHAnsi" w:eastAsia="Calibri" w:hAnsiTheme="minorHAnsi" w:cstheme="minorHAnsi"/>
          <w:sz w:val="24"/>
          <w:szCs w:val="24"/>
          <w:lang w:val="es-ES"/>
        </w:rPr>
        <w:lastRenderedPageBreak/>
        <w:t>que las escuelas deben encontrar oportunidades para educar a los padres sobre cuán beneficiosa es la actividad física para sus hijos. Establecer una comunicación regular con las familias para promover la importancia del ejercicio físico y brindarles recursos e ideas para fomentar la actividad física en el hogar. Se pueden organizar eventos familiares relacionados con el ejercicio físico, como carreras familiares o jornadas deportivas.</w:t>
      </w:r>
    </w:p>
    <w:p w14:paraId="4E71E985"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03187148" w14:textId="77777777" w:rsidR="00E84D14"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Apoyarse en una educación física basada en la evidencia.</w:t>
      </w:r>
      <w:r w:rsidRPr="0051709F">
        <w:rPr>
          <w:rFonts w:asciiTheme="minorHAnsi" w:eastAsia="Calibri" w:hAnsiTheme="minorHAnsi" w:cstheme="minorHAnsi"/>
          <w:i/>
          <w:iCs/>
          <w:sz w:val="24"/>
          <w:szCs w:val="24"/>
          <w:lang w:val="es-ES"/>
        </w:rPr>
        <w:t xml:space="preserve"> </w:t>
      </w:r>
      <w:r w:rsidRPr="0051709F">
        <w:rPr>
          <w:rFonts w:asciiTheme="minorHAnsi" w:eastAsia="Calibri" w:hAnsiTheme="minorHAnsi" w:cstheme="minorHAnsi"/>
          <w:sz w:val="24"/>
          <w:szCs w:val="24"/>
          <w:lang w:val="es-ES"/>
        </w:rPr>
        <w:t>La educación física obligatoria de calidad, basada en evidencia, que promueve y apoya los ideales de equidad, diversidad e inclusión y se adhiere a los estándares definidos debería ser parte del plan de estudios en todas las escuelas.</w:t>
      </w:r>
    </w:p>
    <w:p w14:paraId="5BBE8217" w14:textId="77777777" w:rsidR="00E84D14" w:rsidRPr="0051709F" w:rsidRDefault="00E84D14" w:rsidP="00E84D14">
      <w:pPr>
        <w:pStyle w:val="Prrafodelista"/>
        <w:ind w:left="426"/>
        <w:jc w:val="both"/>
        <w:rPr>
          <w:rFonts w:asciiTheme="minorHAnsi" w:eastAsia="Calibri" w:hAnsiTheme="minorHAnsi" w:cstheme="minorHAnsi"/>
          <w:sz w:val="24"/>
          <w:szCs w:val="24"/>
          <w:lang w:val="es-ES"/>
        </w:rPr>
      </w:pPr>
    </w:p>
    <w:p w14:paraId="36918945" w14:textId="77777777" w:rsidR="00E84D14" w:rsidRPr="0051709F" w:rsidRDefault="00E84D14" w:rsidP="00E84D14">
      <w:pPr>
        <w:pStyle w:val="Prrafodelista"/>
        <w:numPr>
          <w:ilvl w:val="0"/>
          <w:numId w:val="33"/>
        </w:numPr>
        <w:ind w:left="426"/>
        <w:jc w:val="both"/>
        <w:rPr>
          <w:rFonts w:asciiTheme="minorHAnsi" w:eastAsia="Calibri" w:hAnsiTheme="minorHAnsi" w:cstheme="minorHAnsi"/>
          <w:sz w:val="24"/>
          <w:szCs w:val="24"/>
          <w:lang w:val="es-ES"/>
        </w:rPr>
      </w:pPr>
      <w:r w:rsidRPr="007B667D">
        <w:rPr>
          <w:rFonts w:asciiTheme="minorHAnsi" w:eastAsia="Calibri" w:hAnsiTheme="minorHAnsi" w:cstheme="minorHAnsi"/>
          <w:b/>
          <w:bCs/>
          <w:caps/>
          <w:sz w:val="24"/>
          <w:szCs w:val="24"/>
          <w:lang w:val="es-ES"/>
        </w:rPr>
        <w:t>Utilizar en la forma de enseñar el apoyar a la autonomía.</w:t>
      </w:r>
      <w:r w:rsidRPr="0051709F">
        <w:rPr>
          <w:rFonts w:asciiTheme="minorHAnsi" w:eastAsia="Calibri" w:hAnsiTheme="minorHAnsi" w:cstheme="minorHAnsi"/>
          <w:sz w:val="24"/>
          <w:szCs w:val="24"/>
          <w:lang w:val="es-ES"/>
        </w:rPr>
        <w:t xml:space="preserve"> El apoyo a la autonomía en la promoción del ejercicio físico es fundamental porque se ha demostrado que aumenta la motivación intrínseca y la adherencia a la actividad física a largo plazo. El apoyo a la autonomía en la promoción del ejercicio físico es crucial para fomentar la motivación intrínseca, aumentar la adherencia a largo plazo, promover el bienestar psicológico y empoderar a las personas en su propia práctica de ejercicio físico. Al permitir que las personas elijan actividades que les gusten y se adapten a sus intereses y necesidades, se promueve una relación más positiva y duradera con la actividad física.</w:t>
      </w:r>
      <w:r w:rsidRPr="0051709F">
        <w:rPr>
          <w:rFonts w:asciiTheme="minorHAnsi" w:hAnsiTheme="minorHAnsi" w:cstheme="minorHAnsi"/>
          <w:sz w:val="24"/>
          <w:szCs w:val="24"/>
          <w:lang w:val="es-ES"/>
        </w:rPr>
        <w:t xml:space="preserve"> Por ello, e</w:t>
      </w:r>
      <w:r w:rsidRPr="0051709F">
        <w:rPr>
          <w:rFonts w:asciiTheme="minorHAnsi" w:eastAsia="Calibri" w:hAnsiTheme="minorHAnsi" w:cstheme="minorHAnsi"/>
          <w:sz w:val="24"/>
          <w:szCs w:val="24"/>
          <w:lang w:val="es-ES"/>
        </w:rPr>
        <w:t>valuar la calidad de la enseñanza y aprendizaje en educación física puede ayudar en este sentido.</w:t>
      </w:r>
    </w:p>
    <w:p w14:paraId="084BEF8A" w14:textId="77777777" w:rsidR="00E84D14" w:rsidRPr="0051709F" w:rsidRDefault="00E84D14" w:rsidP="00E84D14">
      <w:pPr>
        <w:pStyle w:val="Prrafodelista"/>
        <w:jc w:val="both"/>
        <w:rPr>
          <w:rFonts w:asciiTheme="minorHAnsi" w:eastAsia="Calibri" w:hAnsiTheme="minorHAnsi" w:cstheme="minorHAnsi"/>
          <w:sz w:val="24"/>
          <w:szCs w:val="24"/>
          <w:lang w:val="es-ES"/>
        </w:rPr>
      </w:pPr>
    </w:p>
    <w:p w14:paraId="643141F2" w14:textId="77777777" w:rsidR="00E84D14" w:rsidRDefault="00E84D14" w:rsidP="00E84D14">
      <w:pPr>
        <w:jc w:val="both"/>
        <w:rPr>
          <w:rFonts w:eastAsia="Calibri" w:cstheme="minorHAnsi"/>
        </w:rPr>
      </w:pPr>
      <w:r w:rsidRPr="0051709F">
        <w:rPr>
          <w:rFonts w:eastAsia="Calibri" w:cstheme="minorHAnsi"/>
        </w:rPr>
        <w:t>Estas estrategias pueden adaptarse y combinarse según las necesidades y recursos de cada escuela. Es importante involucrar a los estudiantes, profesores, padres y personal escolar en la planificación e implementación de estas acciones para promover la participación y el compromiso con la actividad física.</w:t>
      </w:r>
    </w:p>
    <w:p w14:paraId="50BBBF53" w14:textId="77777777" w:rsidR="00E84D14" w:rsidRDefault="00E84D14" w:rsidP="00E84D14">
      <w:pPr>
        <w:jc w:val="both"/>
        <w:rPr>
          <w:rFonts w:eastAsia="Calibri" w:cstheme="minorHAnsi"/>
        </w:rPr>
      </w:pPr>
    </w:p>
    <w:p w14:paraId="4DA7A7E5" w14:textId="77777777" w:rsidR="00E84D14" w:rsidRDefault="00E84D14" w:rsidP="00E84D14">
      <w:pPr>
        <w:jc w:val="both"/>
        <w:rPr>
          <w:rFonts w:eastAsia="Calibri" w:cstheme="minorHAnsi"/>
        </w:rPr>
      </w:pPr>
    </w:p>
    <w:p w14:paraId="33E0E6BE" w14:textId="105CF9E3" w:rsidR="00E84D14" w:rsidRPr="007B667D" w:rsidRDefault="00E84D14" w:rsidP="00E84D14">
      <w:pPr>
        <w:pStyle w:val="Ttulo2"/>
        <w:numPr>
          <w:ilvl w:val="0"/>
          <w:numId w:val="0"/>
        </w:numPr>
        <w:ind w:left="576" w:hanging="576"/>
        <w:rPr>
          <w:rFonts w:asciiTheme="minorHAnsi" w:hAnsiTheme="minorHAnsi" w:cstheme="minorHAnsi"/>
          <w:b/>
          <w:bCs/>
          <w:caps/>
          <w:sz w:val="24"/>
          <w:szCs w:val="24"/>
          <w:lang w:val="es-ES"/>
        </w:rPr>
      </w:pPr>
      <w:r w:rsidRPr="007B667D">
        <w:rPr>
          <w:rFonts w:asciiTheme="minorHAnsi" w:hAnsiTheme="minorHAnsi" w:cstheme="minorHAnsi"/>
          <w:b/>
          <w:bCs/>
          <w:caps/>
          <w:sz w:val="24"/>
          <w:szCs w:val="24"/>
          <w:lang w:val="es-ES"/>
        </w:rPr>
        <w:t xml:space="preserve">Acciones para aumentar la actividad física en el </w:t>
      </w:r>
      <w:r w:rsidR="00AA5E9D">
        <w:rPr>
          <w:rFonts w:asciiTheme="minorHAnsi" w:hAnsiTheme="minorHAnsi" w:cstheme="minorHAnsi"/>
          <w:b/>
          <w:bCs/>
          <w:caps/>
          <w:sz w:val="24"/>
          <w:szCs w:val="24"/>
          <w:lang w:val="es-ES"/>
        </w:rPr>
        <w:t xml:space="preserve">CONTEXTO DE LA </w:t>
      </w:r>
      <w:r w:rsidRPr="007B667D">
        <w:rPr>
          <w:rFonts w:asciiTheme="minorHAnsi" w:hAnsiTheme="minorHAnsi" w:cstheme="minorHAnsi"/>
          <w:b/>
          <w:bCs/>
          <w:caps/>
          <w:sz w:val="24"/>
          <w:szCs w:val="24"/>
          <w:lang w:val="es-ES"/>
        </w:rPr>
        <w:t>salud</w:t>
      </w:r>
    </w:p>
    <w:p w14:paraId="5600C5BD" w14:textId="77777777" w:rsidR="00E84D14" w:rsidRPr="0051709F" w:rsidRDefault="00E84D14" w:rsidP="00E84D14">
      <w:pPr>
        <w:jc w:val="both"/>
        <w:rPr>
          <w:rFonts w:cstheme="minorHAnsi"/>
          <w:b/>
          <w:bCs/>
          <w:color w:val="C00000"/>
        </w:rPr>
      </w:pPr>
    </w:p>
    <w:p w14:paraId="76AEBEC5" w14:textId="5233B049" w:rsidR="00E84D14" w:rsidRPr="0051709F" w:rsidRDefault="00E84D14" w:rsidP="00E84D14">
      <w:pPr>
        <w:jc w:val="both"/>
        <w:rPr>
          <w:rFonts w:cstheme="minorHAnsi"/>
        </w:rPr>
      </w:pPr>
      <w:r w:rsidRPr="007B667D">
        <w:rPr>
          <w:rFonts w:cstheme="minorHAnsi"/>
          <w:b/>
          <w:bCs/>
        </w:rPr>
        <w:t>1.-</w:t>
      </w:r>
      <w:r w:rsidR="00AA5E9D">
        <w:rPr>
          <w:rFonts w:cstheme="minorHAnsi"/>
          <w:b/>
          <w:bCs/>
        </w:rPr>
        <w:t xml:space="preserve">MEJORAR LA </w:t>
      </w:r>
      <w:r w:rsidRPr="007B667D">
        <w:rPr>
          <w:rFonts w:cstheme="minorHAnsi"/>
          <w:b/>
          <w:bCs/>
        </w:rPr>
        <w:t xml:space="preserve">FORMACIÓN: </w:t>
      </w:r>
      <w:r w:rsidRPr="0051709F">
        <w:rPr>
          <w:rFonts w:cstheme="minorHAnsi"/>
        </w:rPr>
        <w:t>Repositorio de cursos existentes y fomento de participación de los profesionales implicados en la Estrategia</w:t>
      </w:r>
      <w:r>
        <w:rPr>
          <w:rFonts w:cstheme="minorHAnsi"/>
        </w:rPr>
        <w:t xml:space="preserve"> (Formación Continua)</w:t>
      </w:r>
      <w:r w:rsidRPr="0051709F">
        <w:rPr>
          <w:rFonts w:cstheme="minorHAnsi"/>
        </w:rPr>
        <w:t>. Incorporación de contenidos específicos para adquirir las competencias necesarias relacionadas con el Plan Estratégico en los Grados, Especialistas y Máster de los profesionales implicados en la Estrategia</w:t>
      </w:r>
      <w:r>
        <w:rPr>
          <w:rFonts w:cstheme="minorHAnsi"/>
        </w:rPr>
        <w:t xml:space="preserve"> (Formación Reglada)</w:t>
      </w:r>
      <w:r w:rsidRPr="0051709F">
        <w:rPr>
          <w:rFonts w:cstheme="minorHAnsi"/>
        </w:rPr>
        <w:t xml:space="preserve">. </w:t>
      </w:r>
    </w:p>
    <w:p w14:paraId="28D986FA" w14:textId="77777777" w:rsidR="00E84D14" w:rsidRPr="0051709F" w:rsidRDefault="00E84D14" w:rsidP="00E84D14">
      <w:pPr>
        <w:jc w:val="both"/>
        <w:rPr>
          <w:rFonts w:cstheme="minorHAnsi"/>
        </w:rPr>
      </w:pPr>
    </w:p>
    <w:p w14:paraId="3C1BDE97" w14:textId="77777777" w:rsidR="00E84D14" w:rsidRPr="0051709F" w:rsidRDefault="00E84D14" w:rsidP="00E84D14">
      <w:pPr>
        <w:jc w:val="both"/>
        <w:rPr>
          <w:rFonts w:cstheme="minorHAnsi"/>
        </w:rPr>
      </w:pPr>
      <w:r w:rsidRPr="007B667D">
        <w:rPr>
          <w:rFonts w:cstheme="minorHAnsi"/>
          <w:b/>
          <w:bCs/>
        </w:rPr>
        <w:t>2.-</w:t>
      </w:r>
      <w:r>
        <w:rPr>
          <w:rFonts w:cstheme="minorHAnsi"/>
          <w:b/>
          <w:bCs/>
        </w:rPr>
        <w:t xml:space="preserve">PROMOVER </w:t>
      </w:r>
      <w:r w:rsidRPr="007B667D">
        <w:rPr>
          <w:rFonts w:cstheme="minorHAnsi"/>
          <w:b/>
          <w:bCs/>
        </w:rPr>
        <w:t xml:space="preserve">LA FIGURA DE CONSULTOR EXPERTO EN DEPORTE Y </w:t>
      </w:r>
      <w:r w:rsidRPr="007B667D">
        <w:rPr>
          <w:rFonts w:cstheme="minorHAnsi"/>
          <w:b/>
          <w:bCs/>
          <w:i/>
          <w:iCs/>
        </w:rPr>
        <w:t>EXERCISE IS MEDICINE</w:t>
      </w:r>
      <w:r w:rsidRPr="0051709F">
        <w:rPr>
          <w:rFonts w:cstheme="minorHAnsi"/>
        </w:rPr>
        <w:t xml:space="preserve"> para que lidere la implantación del programa tanto en AP como en hospitales y la derivación a centros deportivos. </w:t>
      </w:r>
      <w:proofErr w:type="gramStart"/>
      <w:r w:rsidRPr="0051709F">
        <w:rPr>
          <w:rFonts w:cstheme="minorHAnsi"/>
          <w:u w:val="single"/>
        </w:rPr>
        <w:t>Agentes a implicar</w:t>
      </w:r>
      <w:proofErr w:type="gramEnd"/>
      <w:r w:rsidRPr="0051709F">
        <w:rPr>
          <w:rFonts w:cstheme="minorHAnsi"/>
        </w:rPr>
        <w:t xml:space="preserve">: Expertos en salud pública, expertos en ejercicio y salud, Universidades con titulación relacionada con las ciencias del deporte, </w:t>
      </w:r>
      <w:r>
        <w:rPr>
          <w:rFonts w:cstheme="minorHAnsi"/>
        </w:rPr>
        <w:t xml:space="preserve">Ministerios competentes, </w:t>
      </w:r>
      <w:r w:rsidRPr="0051709F">
        <w:rPr>
          <w:rFonts w:cstheme="minorHAnsi"/>
        </w:rPr>
        <w:t>CSD</w:t>
      </w:r>
      <w:r>
        <w:rPr>
          <w:rFonts w:cstheme="minorHAnsi"/>
        </w:rPr>
        <w:t>, CCAA y EELL</w:t>
      </w:r>
      <w:r w:rsidRPr="0051709F">
        <w:rPr>
          <w:rFonts w:cstheme="minorHAnsi"/>
        </w:rPr>
        <w:t>.</w:t>
      </w:r>
    </w:p>
    <w:p w14:paraId="1437226C" w14:textId="77777777" w:rsidR="00E84D14" w:rsidRPr="0051709F" w:rsidRDefault="00E84D14" w:rsidP="00E84D14">
      <w:pPr>
        <w:jc w:val="both"/>
        <w:rPr>
          <w:rFonts w:cstheme="minorHAnsi"/>
        </w:rPr>
      </w:pPr>
    </w:p>
    <w:p w14:paraId="22303B5D" w14:textId="0AE03B9B" w:rsidR="00E84D14" w:rsidRPr="0051709F" w:rsidRDefault="00E84D14" w:rsidP="00E84D14">
      <w:pPr>
        <w:jc w:val="both"/>
        <w:rPr>
          <w:rFonts w:cstheme="minorHAnsi"/>
        </w:rPr>
      </w:pPr>
      <w:r w:rsidRPr="007B667D">
        <w:rPr>
          <w:rFonts w:cstheme="minorHAnsi"/>
          <w:b/>
          <w:bCs/>
        </w:rPr>
        <w:t xml:space="preserve">3.- </w:t>
      </w:r>
      <w:r w:rsidR="00AA5E9D">
        <w:rPr>
          <w:rFonts w:cstheme="minorHAnsi"/>
          <w:b/>
          <w:bCs/>
        </w:rPr>
        <w:t xml:space="preserve">PONER EN MARCHA UNA </w:t>
      </w:r>
      <w:r w:rsidRPr="007B667D">
        <w:rPr>
          <w:rFonts w:cstheme="minorHAnsi"/>
          <w:b/>
          <w:bCs/>
        </w:rPr>
        <w:t>CAMPAÑA DE DIVULGACIÓN A NIVEL NACIONAL</w:t>
      </w:r>
      <w:r w:rsidRPr="0051709F">
        <w:rPr>
          <w:rFonts w:cstheme="minorHAnsi"/>
          <w:bCs/>
        </w:rPr>
        <w:t xml:space="preserve"> </w:t>
      </w:r>
      <w:r w:rsidRPr="0051709F">
        <w:rPr>
          <w:rFonts w:cstheme="minorHAnsi"/>
        </w:rPr>
        <w:t xml:space="preserve">para dar a conocer la Estrategia. </w:t>
      </w:r>
    </w:p>
    <w:p w14:paraId="2F62261E" w14:textId="77777777" w:rsidR="00E84D14" w:rsidRPr="0051709F" w:rsidRDefault="00E84D14" w:rsidP="00E84D14">
      <w:pPr>
        <w:jc w:val="both"/>
        <w:rPr>
          <w:rFonts w:cstheme="minorHAnsi"/>
        </w:rPr>
      </w:pPr>
    </w:p>
    <w:p w14:paraId="635D23BD" w14:textId="5EF3C98D" w:rsidR="00E84D14" w:rsidRPr="0051709F" w:rsidRDefault="00E84D14" w:rsidP="00E84D14">
      <w:pPr>
        <w:jc w:val="both"/>
        <w:rPr>
          <w:rFonts w:cstheme="minorHAnsi"/>
        </w:rPr>
      </w:pPr>
      <w:r w:rsidRPr="007B667D">
        <w:rPr>
          <w:rFonts w:cstheme="minorHAnsi"/>
          <w:b/>
          <w:bCs/>
          <w:caps/>
        </w:rPr>
        <w:lastRenderedPageBreak/>
        <w:t>4.-</w:t>
      </w:r>
      <w:r w:rsidR="00AA5E9D">
        <w:rPr>
          <w:rFonts w:cstheme="minorHAnsi"/>
          <w:b/>
          <w:bCs/>
          <w:caps/>
        </w:rPr>
        <w:t xml:space="preserve">CREAR UN </w:t>
      </w:r>
      <w:r w:rsidRPr="007B667D">
        <w:rPr>
          <w:rFonts w:cstheme="minorHAnsi"/>
          <w:b/>
          <w:bCs/>
          <w:caps/>
        </w:rPr>
        <w:t>REPOSITORIO DE INICIATIVAS YA PUESTAS EN MARCHA POR CCAA Y AYUNTAMIENTOS y de centros y unidades existentes de medicina del deporte y similares en España</w:t>
      </w:r>
      <w:r w:rsidRPr="0051709F">
        <w:rPr>
          <w:rFonts w:cstheme="minorHAnsi"/>
        </w:rPr>
        <w:t xml:space="preserve">, tanto de carácter público como privado, que estén funcionando. Este repositorio puede incluir </w:t>
      </w:r>
      <w:r w:rsidRPr="0051709F">
        <w:rPr>
          <w:rFonts w:cstheme="minorHAnsi"/>
          <w:bCs/>
        </w:rPr>
        <w:t xml:space="preserve">materiales </w:t>
      </w:r>
      <w:r w:rsidRPr="0051709F">
        <w:rPr>
          <w:rFonts w:cstheme="minorHAnsi"/>
        </w:rPr>
        <w:t xml:space="preserve">existentes de programas de ejercicio para población sana y con patología y adaptarlos para su inclusión en el SNS. videos, folletos, etc. </w:t>
      </w:r>
    </w:p>
    <w:p w14:paraId="0730F782" w14:textId="77777777" w:rsidR="00E84D14" w:rsidRPr="0051709F" w:rsidRDefault="00E84D14" w:rsidP="00E84D14">
      <w:pPr>
        <w:jc w:val="both"/>
        <w:rPr>
          <w:rFonts w:cstheme="minorHAnsi"/>
        </w:rPr>
      </w:pPr>
    </w:p>
    <w:p w14:paraId="7C93F4A3" w14:textId="4927FFD9" w:rsidR="00E84D14" w:rsidRPr="0051709F" w:rsidRDefault="00E84D14" w:rsidP="00E84D14">
      <w:pPr>
        <w:jc w:val="both"/>
        <w:rPr>
          <w:rFonts w:cstheme="minorHAnsi"/>
        </w:rPr>
      </w:pPr>
      <w:r w:rsidRPr="007B667D">
        <w:rPr>
          <w:rFonts w:cstheme="minorHAnsi"/>
          <w:b/>
          <w:bCs/>
        </w:rPr>
        <w:t>5.-DISEÑ</w:t>
      </w:r>
      <w:r w:rsidR="00AA5E9D">
        <w:rPr>
          <w:rFonts w:cstheme="minorHAnsi"/>
          <w:b/>
          <w:bCs/>
        </w:rPr>
        <w:t>AR Y PONER EN MARCHA</w:t>
      </w:r>
      <w:r w:rsidRPr="007B667D">
        <w:rPr>
          <w:rFonts w:cstheme="minorHAnsi"/>
          <w:b/>
          <w:bCs/>
        </w:rPr>
        <w:t xml:space="preserve"> UN EQUIPO BÁSICO DE DIAGNÓSTICO.</w:t>
      </w:r>
      <w:r w:rsidRPr="0051709F">
        <w:rPr>
          <w:rFonts w:cstheme="minorHAnsi"/>
        </w:rPr>
        <w:t xml:space="preserve"> </w:t>
      </w:r>
      <w:r>
        <w:rPr>
          <w:rFonts w:cstheme="minorHAnsi"/>
        </w:rPr>
        <w:t>Se promoverá la i</w:t>
      </w:r>
      <w:r w:rsidRPr="0051709F">
        <w:rPr>
          <w:rFonts w:cstheme="minorHAnsi"/>
        </w:rPr>
        <w:t xml:space="preserve">nclusión de </w:t>
      </w:r>
      <w:r>
        <w:rPr>
          <w:rFonts w:cstheme="minorHAnsi"/>
        </w:rPr>
        <w:t xml:space="preserve">la </w:t>
      </w:r>
      <w:r w:rsidRPr="0051709F">
        <w:rPr>
          <w:rFonts w:cstheme="minorHAnsi"/>
        </w:rPr>
        <w:t xml:space="preserve">evaluación de actividad física, sedentarismo, condición física, composición corporal y hábitos de salud en la anamnesis de atención primaria y hospitales mediante herramientas de diagnóstico rápido. El Equipo Básico </w:t>
      </w:r>
      <w:r>
        <w:rPr>
          <w:rFonts w:cstheme="minorHAnsi"/>
        </w:rPr>
        <w:t>d</w:t>
      </w:r>
      <w:r w:rsidRPr="0051709F">
        <w:rPr>
          <w:rFonts w:cstheme="minorHAnsi"/>
        </w:rPr>
        <w:t xml:space="preserve">e Diagnóstico debe incluir los materiales y aparatos mínimos necesarios para poder hacer una valoración funcional adecuada (bioimpedancia, dinamómetro de mano, test para valorar funcionalidad de piernas, equilibrio, cuestionario rápido para valorar AF, inactividad física y sedentarismo). </w:t>
      </w:r>
    </w:p>
    <w:p w14:paraId="531D1D2E" w14:textId="77777777" w:rsidR="00E84D14" w:rsidRPr="0051709F" w:rsidRDefault="00E84D14" w:rsidP="00E84D14">
      <w:pPr>
        <w:jc w:val="both"/>
        <w:rPr>
          <w:rFonts w:cstheme="minorHAnsi"/>
        </w:rPr>
      </w:pPr>
    </w:p>
    <w:p w14:paraId="1EF5533E" w14:textId="68450556" w:rsidR="00E84D14" w:rsidRPr="00865634" w:rsidRDefault="00E84D14" w:rsidP="00E84D14">
      <w:pPr>
        <w:jc w:val="both"/>
        <w:rPr>
          <w:rFonts w:cstheme="minorHAnsi"/>
        </w:rPr>
      </w:pPr>
      <w:r w:rsidRPr="007B667D">
        <w:rPr>
          <w:rFonts w:cstheme="minorHAnsi"/>
          <w:b/>
          <w:bCs/>
        </w:rPr>
        <w:t xml:space="preserve">6.-CARACTERIZAR </w:t>
      </w:r>
      <w:r w:rsidR="00AA5E9D">
        <w:rPr>
          <w:rFonts w:cstheme="minorHAnsi"/>
          <w:b/>
          <w:bCs/>
        </w:rPr>
        <w:t xml:space="preserve">A LA </w:t>
      </w:r>
      <w:r w:rsidRPr="007B667D">
        <w:rPr>
          <w:rFonts w:cstheme="minorHAnsi"/>
          <w:b/>
          <w:bCs/>
        </w:rPr>
        <w:t>POBLACIÓN POR ACTIVO</w:t>
      </w:r>
      <w:r w:rsidR="00AA5E9D">
        <w:rPr>
          <w:rFonts w:cstheme="minorHAnsi"/>
          <w:b/>
          <w:bCs/>
        </w:rPr>
        <w:t>-</w:t>
      </w:r>
      <w:r w:rsidRPr="007B667D">
        <w:rPr>
          <w:rFonts w:cstheme="minorHAnsi"/>
          <w:b/>
          <w:bCs/>
        </w:rPr>
        <w:t>TIPOS (edad, sexo, situación fisiológica, combinación de sedentarismo y AF, composición corporal, otros hábitos estilo de vida)</w:t>
      </w:r>
      <w:r w:rsidRPr="0051709F">
        <w:rPr>
          <w:rFonts w:cstheme="minorHAnsi"/>
        </w:rPr>
        <w:t xml:space="preserve"> para facilitar los consejos individualizados y consensuados </w:t>
      </w:r>
      <w:r>
        <w:rPr>
          <w:rFonts w:cstheme="minorHAnsi"/>
        </w:rPr>
        <w:t>en</w:t>
      </w:r>
      <w:r w:rsidRPr="0051709F">
        <w:rPr>
          <w:rFonts w:cstheme="minorHAnsi"/>
        </w:rPr>
        <w:t xml:space="preserve"> la promoción de </w:t>
      </w:r>
      <w:r>
        <w:rPr>
          <w:rFonts w:cstheme="minorHAnsi"/>
        </w:rPr>
        <w:t>la actividad física</w:t>
      </w:r>
      <w:r w:rsidRPr="0051709F">
        <w:rPr>
          <w:rFonts w:cstheme="minorHAnsi"/>
        </w:rPr>
        <w:t>. Este algoritmo debe incluir las contraindicaciones claras para realizar ejercicio</w:t>
      </w:r>
      <w:r>
        <w:rPr>
          <w:rFonts w:cstheme="minorHAnsi"/>
        </w:rPr>
        <w:t>,</w:t>
      </w:r>
      <w:r w:rsidRPr="0051709F">
        <w:rPr>
          <w:rFonts w:cstheme="minorHAnsi"/>
        </w:rPr>
        <w:t xml:space="preserve"> y si se puede dar el consejo desde AP o se debe derivar al especialista. Se realizará una convocatoria para grupos de investigación multidisciplinares para desarrollar el algoritmo</w:t>
      </w:r>
      <w:r w:rsidRPr="00865634">
        <w:rPr>
          <w:rFonts w:cstheme="minorHAnsi"/>
        </w:rPr>
        <w:t xml:space="preserve">.  </w:t>
      </w:r>
    </w:p>
    <w:p w14:paraId="448729B8" w14:textId="77777777" w:rsidR="00E84D14" w:rsidRPr="00865634" w:rsidRDefault="00E84D14" w:rsidP="00E84D14">
      <w:pPr>
        <w:jc w:val="both"/>
        <w:rPr>
          <w:rFonts w:cstheme="minorHAnsi"/>
        </w:rPr>
      </w:pPr>
    </w:p>
    <w:p w14:paraId="10585A87" w14:textId="60F2C419" w:rsidR="00E84D14" w:rsidRPr="0051709F" w:rsidRDefault="00E84D14" w:rsidP="00E84D14">
      <w:pPr>
        <w:jc w:val="both"/>
        <w:rPr>
          <w:rFonts w:cstheme="minorHAnsi"/>
        </w:rPr>
      </w:pPr>
      <w:r w:rsidRPr="007B667D">
        <w:rPr>
          <w:rFonts w:cstheme="minorHAnsi"/>
          <w:b/>
          <w:bCs/>
        </w:rPr>
        <w:t xml:space="preserve">7.- </w:t>
      </w:r>
      <w:r w:rsidR="00AA5E9D">
        <w:rPr>
          <w:rFonts w:cstheme="minorHAnsi"/>
          <w:b/>
          <w:bCs/>
        </w:rPr>
        <w:t xml:space="preserve">ESTABLECER UNA </w:t>
      </w:r>
      <w:r w:rsidRPr="007B667D">
        <w:rPr>
          <w:rFonts w:cstheme="minorHAnsi"/>
          <w:b/>
          <w:bCs/>
        </w:rPr>
        <w:t>ESTRUCTURA FUNCIONAL QUE PERMITA REGULAR LAS UNIDADES ACTIVAS DE EJERCICIO.</w:t>
      </w:r>
      <w:r w:rsidRPr="00865634">
        <w:rPr>
          <w:rFonts w:cstheme="minorHAnsi"/>
          <w:bCs/>
        </w:rPr>
        <w:t xml:space="preserve"> </w:t>
      </w:r>
      <w:r>
        <w:rPr>
          <w:rFonts w:cstheme="minorHAnsi"/>
        </w:rPr>
        <w:t>Una estructura que incluya a</w:t>
      </w:r>
      <w:r w:rsidRPr="0051709F">
        <w:rPr>
          <w:rFonts w:cstheme="minorHAnsi"/>
        </w:rPr>
        <w:t xml:space="preserve"> un equipo de profesionales expertos e independientes que garanticen el conocimiento suficiente en la patología y la aplicación de la dosis correcta y efectiva de ejercicio.  Se </w:t>
      </w:r>
      <w:r>
        <w:rPr>
          <w:rFonts w:cstheme="minorHAnsi"/>
        </w:rPr>
        <w:t>trabajará con</w:t>
      </w:r>
      <w:r w:rsidRPr="0051709F">
        <w:rPr>
          <w:rFonts w:cstheme="minorHAnsi"/>
        </w:rPr>
        <w:t xml:space="preserve"> estándares de calidad, de instalaciones, y se hará un seguimiento de los indicadores. </w:t>
      </w:r>
    </w:p>
    <w:p w14:paraId="2895A8FD" w14:textId="77777777" w:rsidR="00E84D14" w:rsidRPr="0051709F" w:rsidRDefault="00E84D14" w:rsidP="00E84D14">
      <w:pPr>
        <w:jc w:val="both"/>
        <w:rPr>
          <w:rFonts w:cstheme="minorHAnsi"/>
        </w:rPr>
      </w:pPr>
    </w:p>
    <w:p w14:paraId="1080B161" w14:textId="20C409C3" w:rsidR="00E84D14" w:rsidRPr="0051709F" w:rsidRDefault="00E84D14" w:rsidP="00E84D14">
      <w:pPr>
        <w:jc w:val="both"/>
        <w:rPr>
          <w:rFonts w:cstheme="minorHAnsi"/>
        </w:rPr>
      </w:pPr>
      <w:r w:rsidRPr="007B667D">
        <w:rPr>
          <w:rFonts w:cstheme="minorHAnsi"/>
          <w:b/>
          <w:bCs/>
        </w:rPr>
        <w:t xml:space="preserve">8.- </w:t>
      </w:r>
      <w:r>
        <w:rPr>
          <w:rFonts w:cstheme="minorHAnsi"/>
          <w:b/>
          <w:bCs/>
        </w:rPr>
        <w:t>PROMOVER EL APOYO A</w:t>
      </w:r>
      <w:r w:rsidRPr="007B667D">
        <w:rPr>
          <w:rFonts w:cstheme="minorHAnsi"/>
          <w:b/>
          <w:bCs/>
        </w:rPr>
        <w:t xml:space="preserve"> ÁREA</w:t>
      </w:r>
      <w:r>
        <w:rPr>
          <w:rFonts w:cstheme="minorHAnsi"/>
          <w:b/>
          <w:bCs/>
        </w:rPr>
        <w:t>S</w:t>
      </w:r>
      <w:r w:rsidRPr="007B667D">
        <w:rPr>
          <w:rFonts w:cstheme="minorHAnsi"/>
          <w:b/>
          <w:bCs/>
        </w:rPr>
        <w:t xml:space="preserve"> DE INVESTIGACIÓN EN CIENCIAS DEL DEPORTE EN EL PLAN NACIONAL </w:t>
      </w:r>
      <w:r>
        <w:rPr>
          <w:rFonts w:cstheme="minorHAnsi"/>
          <w:b/>
          <w:bCs/>
        </w:rPr>
        <w:t xml:space="preserve">DE INVESTIGACIÓN </w:t>
      </w:r>
      <w:r w:rsidRPr="007B667D">
        <w:rPr>
          <w:rFonts w:cstheme="minorHAnsi"/>
          <w:b/>
          <w:bCs/>
        </w:rPr>
        <w:t>Y OTRAS CONVOCATORIAS. APOYO ESPECÍFICO A ESTUDIOS EPIDEMIOLÓGICOS Y DE INTERVENCIÓN.</w:t>
      </w:r>
      <w:r w:rsidRPr="0051709F">
        <w:rPr>
          <w:rFonts w:cstheme="minorHAnsi"/>
          <w:bCs/>
        </w:rPr>
        <w:t xml:space="preserve"> </w:t>
      </w:r>
      <w:r w:rsidRPr="0051709F">
        <w:rPr>
          <w:rFonts w:cstheme="minorHAnsi"/>
        </w:rPr>
        <w:t xml:space="preserve">Apoyar estudios multicéntricos longitudinales existentes realizados por grupos de investigación independientes en muestras representativas españolas y por grupos de edad. Impulsar líneas de investigación dentro del área de conocimiento, incluidas intervenciones con ejercicio en diversas patologías, investigaciones sobre adherencia al ejercicio y la AF y análisis de la viabilidad de los proyectos en entornos reales. Importante obtener los datos con una metodología validada y estandarizada. </w:t>
      </w:r>
    </w:p>
    <w:p w14:paraId="342183F2" w14:textId="77777777" w:rsidR="00E84D14" w:rsidRPr="0051709F" w:rsidRDefault="00E84D14" w:rsidP="00E84D14">
      <w:pPr>
        <w:jc w:val="both"/>
        <w:rPr>
          <w:rFonts w:cstheme="minorHAnsi"/>
        </w:rPr>
      </w:pPr>
    </w:p>
    <w:p w14:paraId="04CFAD1D" w14:textId="3F0F909B" w:rsidR="00E84D14" w:rsidRPr="0051709F" w:rsidRDefault="00E84D14" w:rsidP="00E84D14">
      <w:pPr>
        <w:jc w:val="both"/>
        <w:rPr>
          <w:rFonts w:cstheme="minorHAnsi"/>
        </w:rPr>
      </w:pPr>
      <w:r w:rsidRPr="007B667D">
        <w:rPr>
          <w:rFonts w:cstheme="minorHAnsi"/>
          <w:b/>
        </w:rPr>
        <w:t xml:space="preserve">9.- </w:t>
      </w:r>
      <w:r w:rsidR="00AA5E9D">
        <w:rPr>
          <w:rFonts w:cstheme="minorHAnsi"/>
          <w:b/>
        </w:rPr>
        <w:t xml:space="preserve">CREAR UN </w:t>
      </w:r>
      <w:r w:rsidRPr="007B667D">
        <w:rPr>
          <w:rFonts w:cstheme="minorHAnsi"/>
          <w:b/>
        </w:rPr>
        <w:t>REPOSITORIO DE DATOS ESPAÑOLES DE ACTIVIDAD FÍSICA, SEDENTARISMO Y VARIABLES ASOCIADAS</w:t>
      </w:r>
      <w:r w:rsidRPr="0051709F">
        <w:rPr>
          <w:rFonts w:cstheme="minorHAnsi"/>
        </w:rPr>
        <w:t xml:space="preserve"> que se pueden incorporar a la web datos.gob.es (</w:t>
      </w:r>
      <w:hyperlink r:id="rId104" w:history="1">
        <w:r w:rsidRPr="0051709F">
          <w:rPr>
            <w:rStyle w:val="Hipervnculo"/>
            <w:rFonts w:cstheme="minorHAnsi"/>
          </w:rPr>
          <w:t>https://datos.gob.es/es/sector/salud-bienestar</w:t>
        </w:r>
      </w:hyperlink>
      <w:r w:rsidRPr="0051709F">
        <w:rPr>
          <w:rFonts w:cstheme="minorHAnsi"/>
        </w:rPr>
        <w:t>). Puede unirse a la creación de un REGISTRO ESPAÑOL DE LESIONES DEPORTIVAS</w:t>
      </w:r>
      <w:r>
        <w:rPr>
          <w:rFonts w:cstheme="minorHAnsi"/>
        </w:rPr>
        <w:t>.</w:t>
      </w:r>
      <w:r w:rsidRPr="0051709F">
        <w:rPr>
          <w:rFonts w:cstheme="minorHAnsi"/>
        </w:rPr>
        <w:t xml:space="preserve"> Muchos de estos datos </w:t>
      </w:r>
      <w:r>
        <w:rPr>
          <w:rFonts w:cstheme="minorHAnsi"/>
        </w:rPr>
        <w:t>servirán</w:t>
      </w:r>
      <w:r w:rsidRPr="0051709F">
        <w:rPr>
          <w:rFonts w:cstheme="minorHAnsi"/>
        </w:rPr>
        <w:t xml:space="preserve"> </w:t>
      </w:r>
      <w:r>
        <w:rPr>
          <w:rFonts w:cstheme="minorHAnsi"/>
        </w:rPr>
        <w:t xml:space="preserve">posteriormente </w:t>
      </w:r>
      <w:r w:rsidRPr="0051709F">
        <w:rPr>
          <w:rFonts w:cstheme="minorHAnsi"/>
        </w:rPr>
        <w:t>como indicadores.</w:t>
      </w:r>
    </w:p>
    <w:p w14:paraId="2E30EEFA" w14:textId="77777777" w:rsidR="00E84D14" w:rsidRPr="0051709F" w:rsidRDefault="00E84D14" w:rsidP="00E84D14">
      <w:pPr>
        <w:jc w:val="both"/>
        <w:rPr>
          <w:rFonts w:cstheme="minorHAnsi"/>
        </w:rPr>
      </w:pPr>
    </w:p>
    <w:p w14:paraId="1C4652E5" w14:textId="77777777" w:rsidR="00AA5E9D" w:rsidRDefault="00E84D14" w:rsidP="00E84D14">
      <w:pPr>
        <w:jc w:val="both"/>
        <w:rPr>
          <w:rFonts w:cstheme="minorHAnsi"/>
        </w:rPr>
      </w:pPr>
      <w:r w:rsidRPr="007B667D">
        <w:rPr>
          <w:rFonts w:cstheme="minorHAnsi"/>
          <w:b/>
          <w:bCs/>
        </w:rPr>
        <w:lastRenderedPageBreak/>
        <w:t xml:space="preserve">10. </w:t>
      </w:r>
      <w:r>
        <w:rPr>
          <w:rFonts w:cstheme="minorHAnsi"/>
          <w:b/>
          <w:bCs/>
        </w:rPr>
        <w:t xml:space="preserve">FACILITAR EL </w:t>
      </w:r>
      <w:r w:rsidRPr="007B667D">
        <w:rPr>
          <w:rFonts w:cstheme="minorHAnsi"/>
          <w:b/>
          <w:bCs/>
        </w:rPr>
        <w:t>DESARROLLO DE METODOLOGÍA</w:t>
      </w:r>
      <w:r>
        <w:rPr>
          <w:rFonts w:cstheme="minorHAnsi"/>
          <w:b/>
          <w:bCs/>
        </w:rPr>
        <w:t>S</w:t>
      </w:r>
      <w:r w:rsidRPr="007B667D">
        <w:rPr>
          <w:rFonts w:cstheme="minorHAnsi"/>
          <w:b/>
          <w:bCs/>
        </w:rPr>
        <w:t xml:space="preserve"> PARA IMPLEMENTACIÓN EN A</w:t>
      </w:r>
      <w:r w:rsidR="00AA5E9D">
        <w:rPr>
          <w:rFonts w:cstheme="minorHAnsi"/>
          <w:b/>
          <w:bCs/>
        </w:rPr>
        <w:t xml:space="preserve">TENCIÓN </w:t>
      </w:r>
      <w:r w:rsidRPr="007B667D">
        <w:rPr>
          <w:rFonts w:cstheme="minorHAnsi"/>
          <w:b/>
          <w:bCs/>
        </w:rPr>
        <w:t>P</w:t>
      </w:r>
      <w:r w:rsidR="00AA5E9D">
        <w:rPr>
          <w:rFonts w:cstheme="minorHAnsi"/>
          <w:b/>
          <w:bCs/>
        </w:rPr>
        <w:t>RIMARIA</w:t>
      </w:r>
      <w:r w:rsidRPr="007B667D">
        <w:rPr>
          <w:rFonts w:cstheme="minorHAnsi"/>
          <w:b/>
          <w:bCs/>
        </w:rPr>
        <w:t xml:space="preserve"> Y HOSPITALES QUE AUN NO TENGAN UN PLAN</w:t>
      </w:r>
      <w:r>
        <w:rPr>
          <w:rFonts w:cstheme="minorHAnsi"/>
          <w:b/>
          <w:bCs/>
        </w:rPr>
        <w:t xml:space="preserve"> ESPECÍFICO</w:t>
      </w:r>
      <w:r w:rsidRPr="007B667D">
        <w:rPr>
          <w:rFonts w:cstheme="minorHAnsi"/>
          <w:b/>
          <w:bCs/>
        </w:rPr>
        <w:t xml:space="preserve">, </w:t>
      </w:r>
      <w:r>
        <w:rPr>
          <w:rFonts w:cstheme="minorHAnsi"/>
          <w:b/>
          <w:bCs/>
        </w:rPr>
        <w:t>DESARROLLANDO</w:t>
      </w:r>
      <w:r w:rsidRPr="007B667D">
        <w:rPr>
          <w:rFonts w:cstheme="minorHAnsi"/>
          <w:b/>
          <w:bCs/>
        </w:rPr>
        <w:t xml:space="preserve"> ESTUDIOS PILOTO Y </w:t>
      </w:r>
      <w:r>
        <w:rPr>
          <w:rFonts w:cstheme="minorHAnsi"/>
          <w:b/>
          <w:bCs/>
        </w:rPr>
        <w:t xml:space="preserve">SU </w:t>
      </w:r>
      <w:r w:rsidRPr="007B667D">
        <w:rPr>
          <w:rFonts w:cstheme="minorHAnsi"/>
          <w:b/>
          <w:bCs/>
        </w:rPr>
        <w:t>POSTERIOR EVALUACIÓN.</w:t>
      </w:r>
      <w:r w:rsidRPr="0051709F">
        <w:rPr>
          <w:rFonts w:cstheme="minorHAnsi"/>
          <w:bCs/>
        </w:rPr>
        <w:t xml:space="preserve"> </w:t>
      </w:r>
      <w:r w:rsidRPr="0051709F">
        <w:rPr>
          <w:rFonts w:cstheme="minorHAnsi"/>
        </w:rPr>
        <w:t>Desarrollo de metodología</w:t>
      </w:r>
      <w:r>
        <w:rPr>
          <w:rFonts w:cstheme="minorHAnsi"/>
        </w:rPr>
        <w:t>s</w:t>
      </w:r>
      <w:r w:rsidRPr="0051709F">
        <w:rPr>
          <w:rFonts w:cstheme="minorHAnsi"/>
        </w:rPr>
        <w:t xml:space="preserve"> estándar que facilite</w:t>
      </w:r>
      <w:r>
        <w:rPr>
          <w:rFonts w:cstheme="minorHAnsi"/>
        </w:rPr>
        <w:t>n</w:t>
      </w:r>
      <w:r w:rsidRPr="0051709F">
        <w:rPr>
          <w:rFonts w:cstheme="minorHAnsi"/>
        </w:rPr>
        <w:t xml:space="preserve"> la implementación y el análisis. La</w:t>
      </w:r>
      <w:r>
        <w:rPr>
          <w:rFonts w:cstheme="minorHAnsi"/>
        </w:rPr>
        <w:t>s</w:t>
      </w:r>
      <w:r w:rsidRPr="0051709F">
        <w:rPr>
          <w:rFonts w:cstheme="minorHAnsi"/>
        </w:rPr>
        <w:t xml:space="preserve"> metodología</w:t>
      </w:r>
      <w:r>
        <w:rPr>
          <w:rFonts w:cstheme="minorHAnsi"/>
        </w:rPr>
        <w:t>s</w:t>
      </w:r>
      <w:r w:rsidRPr="0051709F">
        <w:rPr>
          <w:rFonts w:cstheme="minorHAnsi"/>
        </w:rPr>
        <w:t xml:space="preserve"> de evaluación también sería</w:t>
      </w:r>
      <w:r>
        <w:rPr>
          <w:rFonts w:cstheme="minorHAnsi"/>
        </w:rPr>
        <w:t>n</w:t>
      </w:r>
      <w:r w:rsidRPr="0051709F">
        <w:rPr>
          <w:rFonts w:cstheme="minorHAnsi"/>
        </w:rPr>
        <w:t xml:space="preserve"> de aplicación a todas las iniciativas que ya están en marcha en CCAA, </w:t>
      </w:r>
      <w:r>
        <w:rPr>
          <w:rFonts w:cstheme="minorHAnsi"/>
        </w:rPr>
        <w:t>A</w:t>
      </w:r>
      <w:r w:rsidRPr="0051709F">
        <w:rPr>
          <w:rFonts w:cstheme="minorHAnsi"/>
        </w:rPr>
        <w:t>yuntamientos, etc. Se tratará de una evaluación con metodología cuali</w:t>
      </w:r>
      <w:r>
        <w:rPr>
          <w:rFonts w:cstheme="minorHAnsi"/>
        </w:rPr>
        <w:t>tativa</w:t>
      </w:r>
      <w:r w:rsidRPr="0051709F">
        <w:rPr>
          <w:rFonts w:cstheme="minorHAnsi"/>
        </w:rPr>
        <w:t xml:space="preserve"> y cuantitativa</w:t>
      </w:r>
      <w:r>
        <w:rPr>
          <w:rFonts w:cstheme="minorHAnsi"/>
        </w:rPr>
        <w:t>.</w:t>
      </w:r>
    </w:p>
    <w:p w14:paraId="6A1D96AF" w14:textId="77777777" w:rsidR="00E84D14" w:rsidRDefault="00E84D14" w:rsidP="00E84D14">
      <w:pPr>
        <w:jc w:val="both"/>
        <w:rPr>
          <w:rFonts w:cstheme="minorHAnsi"/>
        </w:rPr>
      </w:pPr>
    </w:p>
    <w:p w14:paraId="02053619" w14:textId="77777777" w:rsidR="00AA5E9D" w:rsidRDefault="00AA5E9D" w:rsidP="00E84D14">
      <w:pPr>
        <w:jc w:val="both"/>
        <w:rPr>
          <w:rFonts w:eastAsia="Calibri" w:cstheme="minorHAnsi"/>
        </w:rPr>
      </w:pPr>
    </w:p>
    <w:p w14:paraId="0C2AB7A1" w14:textId="77777777" w:rsidR="00E84D14" w:rsidRDefault="00E84D14" w:rsidP="00E84D14">
      <w:pPr>
        <w:pStyle w:val="Ttulo2"/>
        <w:numPr>
          <w:ilvl w:val="0"/>
          <w:numId w:val="0"/>
        </w:numPr>
        <w:ind w:left="576" w:hanging="576"/>
        <w:jc w:val="both"/>
        <w:rPr>
          <w:rFonts w:asciiTheme="minorHAnsi" w:hAnsiTheme="minorHAnsi" w:cstheme="minorHAnsi"/>
          <w:b/>
          <w:bCs/>
          <w:caps/>
          <w:sz w:val="24"/>
          <w:szCs w:val="24"/>
          <w:lang w:val="es-ES"/>
        </w:rPr>
      </w:pPr>
      <w:r w:rsidRPr="005148ED">
        <w:rPr>
          <w:rFonts w:asciiTheme="minorHAnsi" w:hAnsiTheme="minorHAnsi" w:cstheme="minorHAnsi"/>
          <w:b/>
          <w:bCs/>
          <w:caps/>
          <w:sz w:val="24"/>
          <w:szCs w:val="24"/>
          <w:lang w:val="es-ES"/>
        </w:rPr>
        <w:t>acciones para para aumentar la actividad física EN RELACIÓN CON EL medio</w:t>
      </w:r>
    </w:p>
    <w:p w14:paraId="5DD35F39" w14:textId="77777777" w:rsidR="00E84D14" w:rsidRPr="007B667D" w:rsidRDefault="00E84D14" w:rsidP="00E84D14">
      <w:pPr>
        <w:pStyle w:val="Ttulo2"/>
        <w:numPr>
          <w:ilvl w:val="0"/>
          <w:numId w:val="0"/>
        </w:numPr>
        <w:ind w:left="576" w:hanging="576"/>
        <w:jc w:val="both"/>
        <w:rPr>
          <w:rFonts w:asciiTheme="minorHAnsi" w:hAnsiTheme="minorHAnsi" w:cstheme="minorHAnsi"/>
          <w:b/>
          <w:bCs/>
          <w:caps/>
          <w:sz w:val="24"/>
          <w:szCs w:val="24"/>
          <w:lang w:val="es-ES"/>
        </w:rPr>
      </w:pPr>
      <w:r w:rsidRPr="005148ED">
        <w:rPr>
          <w:rFonts w:asciiTheme="minorHAnsi" w:hAnsiTheme="minorHAnsi" w:cstheme="minorHAnsi"/>
          <w:b/>
          <w:bCs/>
          <w:caps/>
          <w:sz w:val="24"/>
          <w:szCs w:val="24"/>
          <w:lang w:val="es-ES"/>
        </w:rPr>
        <w:t xml:space="preserve">ambiente y </w:t>
      </w:r>
      <w:r>
        <w:rPr>
          <w:rFonts w:asciiTheme="minorHAnsi" w:hAnsiTheme="minorHAnsi" w:cstheme="minorHAnsi"/>
          <w:b/>
          <w:bCs/>
          <w:caps/>
          <w:sz w:val="24"/>
          <w:szCs w:val="24"/>
          <w:lang w:val="es-ES"/>
        </w:rPr>
        <w:t xml:space="preserve">EL </w:t>
      </w:r>
      <w:r w:rsidRPr="005148ED">
        <w:rPr>
          <w:rFonts w:asciiTheme="minorHAnsi" w:hAnsiTheme="minorHAnsi" w:cstheme="minorHAnsi"/>
          <w:b/>
          <w:bCs/>
          <w:caps/>
          <w:sz w:val="24"/>
          <w:szCs w:val="24"/>
          <w:lang w:val="es-ES"/>
        </w:rPr>
        <w:t>desarrollo sostenible</w:t>
      </w:r>
    </w:p>
    <w:p w14:paraId="3902AA15" w14:textId="77777777" w:rsidR="00E84D14" w:rsidRPr="0051709F" w:rsidRDefault="00E84D14" w:rsidP="00E84D14">
      <w:pPr>
        <w:jc w:val="both"/>
        <w:rPr>
          <w:rFonts w:cstheme="minorHAnsi"/>
          <w:b/>
          <w:bCs/>
        </w:rPr>
      </w:pPr>
    </w:p>
    <w:p w14:paraId="3643BA6D"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Promover el desarrollo de planes de movilidad escolar y movilidad activa en espacios de trabajo.</w:t>
      </w:r>
    </w:p>
    <w:p w14:paraId="02B2D74F" w14:textId="77777777" w:rsidR="00A05338" w:rsidRPr="00F11637" w:rsidRDefault="00A05338" w:rsidP="00A05338">
      <w:pPr>
        <w:pStyle w:val="Prrafodelista"/>
        <w:jc w:val="both"/>
        <w:rPr>
          <w:rFonts w:asciiTheme="minorHAnsi" w:hAnsiTheme="minorHAnsi" w:cstheme="minorHAnsi"/>
          <w:sz w:val="24"/>
          <w:szCs w:val="24"/>
          <w:lang w:val="es-ES"/>
        </w:rPr>
      </w:pPr>
    </w:p>
    <w:p w14:paraId="5F53B66C"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AA5E9D">
        <w:rPr>
          <w:rFonts w:asciiTheme="minorHAnsi" w:hAnsiTheme="minorHAnsi" w:cstheme="minorHAnsi"/>
          <w:sz w:val="24"/>
          <w:szCs w:val="24"/>
          <w:lang w:val="es-ES"/>
        </w:rPr>
        <w:t>Fomentar la mejora, ampliación y mantenimiento de las infraestructuras para el uso de la bicicleta.</w:t>
      </w:r>
    </w:p>
    <w:p w14:paraId="60C8C2CB" w14:textId="77777777" w:rsidR="00A05338" w:rsidRPr="00A05338" w:rsidRDefault="00A05338" w:rsidP="00A05338">
      <w:pPr>
        <w:pStyle w:val="Prrafodelista"/>
        <w:rPr>
          <w:rFonts w:asciiTheme="minorHAnsi" w:hAnsiTheme="minorHAnsi" w:cstheme="minorHAnsi"/>
          <w:sz w:val="24"/>
          <w:szCs w:val="24"/>
          <w:lang w:val="es-ES"/>
        </w:rPr>
      </w:pPr>
    </w:p>
    <w:p w14:paraId="298A2A5F"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 xml:space="preserve">Promover el diseño y aprobación de una red de itinerarios urbanos accesibles y seguros para la AF. </w:t>
      </w:r>
    </w:p>
    <w:p w14:paraId="576AF9DD" w14:textId="77777777" w:rsidR="00A05338" w:rsidRPr="00A05338" w:rsidRDefault="00A05338" w:rsidP="00A05338">
      <w:pPr>
        <w:pStyle w:val="Prrafodelista"/>
        <w:rPr>
          <w:rFonts w:asciiTheme="minorHAnsi" w:hAnsiTheme="minorHAnsi" w:cstheme="minorHAnsi"/>
          <w:sz w:val="24"/>
          <w:szCs w:val="24"/>
          <w:lang w:val="es-ES"/>
        </w:rPr>
      </w:pPr>
    </w:p>
    <w:p w14:paraId="34884FE3"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Elaborar un diagnóstico de los equipamientos deportivos actuales con relación a la norma energética para poder realizar un plan de adaptación.</w:t>
      </w:r>
    </w:p>
    <w:p w14:paraId="42580558" w14:textId="77777777" w:rsidR="00A05338" w:rsidRPr="00A05338" w:rsidRDefault="00A05338" w:rsidP="00A05338">
      <w:pPr>
        <w:pStyle w:val="Prrafodelista"/>
        <w:rPr>
          <w:rFonts w:asciiTheme="minorHAnsi" w:hAnsiTheme="minorHAnsi" w:cstheme="minorHAnsi"/>
          <w:sz w:val="24"/>
          <w:szCs w:val="24"/>
          <w:lang w:val="es-ES"/>
        </w:rPr>
      </w:pPr>
    </w:p>
    <w:p w14:paraId="6C6D74FB"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Fomentar el que los espacios deportivos interiores y exteriores dispongan de una correcta calidad del aire.</w:t>
      </w:r>
    </w:p>
    <w:p w14:paraId="10A51E50" w14:textId="77777777" w:rsidR="00A05338" w:rsidRPr="00A05338" w:rsidRDefault="00A05338" w:rsidP="00A05338">
      <w:pPr>
        <w:pStyle w:val="Prrafodelista"/>
        <w:rPr>
          <w:rFonts w:asciiTheme="minorHAnsi" w:hAnsiTheme="minorHAnsi" w:cstheme="minorHAnsi"/>
          <w:sz w:val="24"/>
          <w:szCs w:val="24"/>
          <w:lang w:val="es-ES"/>
        </w:rPr>
      </w:pPr>
    </w:p>
    <w:p w14:paraId="3E2D9FE5"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Promover un estudio sobre el cálculo de emisiones de CO2 de los equipamientos deportivos, de las organizaciones, de los eventos, de las actividades y de la producción de material deportivo.</w:t>
      </w:r>
    </w:p>
    <w:p w14:paraId="2D843E93" w14:textId="77777777" w:rsidR="00A05338" w:rsidRPr="00A05338" w:rsidRDefault="00A05338" w:rsidP="00A05338">
      <w:pPr>
        <w:pStyle w:val="Prrafodelista"/>
        <w:rPr>
          <w:rFonts w:asciiTheme="minorHAnsi" w:hAnsiTheme="minorHAnsi" w:cstheme="minorHAnsi"/>
          <w:sz w:val="24"/>
          <w:szCs w:val="24"/>
          <w:lang w:val="es-ES"/>
        </w:rPr>
      </w:pPr>
    </w:p>
    <w:p w14:paraId="775BDE71" w14:textId="32338936"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Fomentar la elaboración de planes de reducción de emisiones en instalaciones, federaciones y demás agentes del deporte en base a la Ley de Cambio Climático y Transición energética para el año 2030.</w:t>
      </w:r>
    </w:p>
    <w:p w14:paraId="05069522" w14:textId="77777777" w:rsidR="00A05338" w:rsidRPr="00A05338" w:rsidRDefault="00A05338" w:rsidP="00A05338">
      <w:pPr>
        <w:pStyle w:val="Prrafodelista"/>
        <w:rPr>
          <w:rFonts w:asciiTheme="minorHAnsi" w:hAnsiTheme="minorHAnsi" w:cstheme="minorHAnsi"/>
          <w:sz w:val="24"/>
          <w:szCs w:val="24"/>
          <w:lang w:val="es-ES"/>
        </w:rPr>
      </w:pPr>
    </w:p>
    <w:p w14:paraId="1A71957B"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Promover la redacción de un estudio sobre el cálculo de la huella hídrica del deporte.</w:t>
      </w:r>
    </w:p>
    <w:p w14:paraId="1A85C8A4" w14:textId="77777777" w:rsidR="00A05338" w:rsidRPr="00A05338" w:rsidRDefault="00A05338" w:rsidP="00A05338">
      <w:pPr>
        <w:pStyle w:val="Prrafodelista"/>
        <w:rPr>
          <w:rFonts w:asciiTheme="minorHAnsi" w:hAnsiTheme="minorHAnsi" w:cstheme="minorHAnsi"/>
          <w:sz w:val="24"/>
          <w:szCs w:val="24"/>
          <w:lang w:val="es-ES"/>
        </w:rPr>
      </w:pPr>
    </w:p>
    <w:p w14:paraId="1280500D" w14:textId="0A1D9676"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Promover la instalación de sistemas de ahorro en el consumo en duchas y grifos de instalaciones deportivas.</w:t>
      </w:r>
    </w:p>
    <w:p w14:paraId="6B2344CA" w14:textId="77777777" w:rsidR="00A05338" w:rsidRPr="00A05338" w:rsidRDefault="00A05338" w:rsidP="00A05338">
      <w:pPr>
        <w:pStyle w:val="Prrafodelista"/>
        <w:rPr>
          <w:rFonts w:asciiTheme="minorHAnsi" w:hAnsiTheme="minorHAnsi" w:cstheme="minorHAnsi"/>
          <w:sz w:val="24"/>
          <w:szCs w:val="24"/>
          <w:lang w:val="es-ES"/>
        </w:rPr>
      </w:pPr>
    </w:p>
    <w:p w14:paraId="5F8BB752"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Definir las características para ser refugio climático en el caso de instalaciones deportivas.</w:t>
      </w:r>
    </w:p>
    <w:p w14:paraId="2209060D" w14:textId="77777777" w:rsidR="00A05338" w:rsidRPr="00A05338" w:rsidRDefault="00A05338" w:rsidP="00A05338">
      <w:pPr>
        <w:pStyle w:val="Prrafodelista"/>
        <w:rPr>
          <w:rFonts w:asciiTheme="minorHAnsi" w:hAnsiTheme="minorHAnsi" w:cstheme="minorHAnsi"/>
          <w:sz w:val="24"/>
          <w:szCs w:val="24"/>
          <w:lang w:val="es-ES"/>
        </w:rPr>
      </w:pPr>
    </w:p>
    <w:p w14:paraId="0E04B243"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Promover la adscripción de las instalaciones deportivas a las redes locales de refugios climáticos.</w:t>
      </w:r>
    </w:p>
    <w:p w14:paraId="27E81DA8" w14:textId="77777777" w:rsidR="00A05338" w:rsidRPr="00A05338" w:rsidRDefault="00A05338" w:rsidP="00A05338">
      <w:pPr>
        <w:pStyle w:val="Prrafodelista"/>
        <w:rPr>
          <w:rFonts w:asciiTheme="minorHAnsi" w:hAnsiTheme="minorHAnsi" w:cstheme="minorHAnsi"/>
          <w:sz w:val="24"/>
          <w:szCs w:val="24"/>
          <w:lang w:val="es-ES"/>
        </w:rPr>
      </w:pPr>
    </w:p>
    <w:p w14:paraId="65377646" w14:textId="77777777"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lastRenderedPageBreak/>
        <w:t>Desarrollar guía de buenas prácticas sostenibles respecto a la temperatura de las infraestructuras deportivas para la correcta práctica de la AF.</w:t>
      </w:r>
    </w:p>
    <w:p w14:paraId="1FE3626E" w14:textId="77777777" w:rsidR="00A05338" w:rsidRPr="00A05338" w:rsidRDefault="00A05338" w:rsidP="00A05338">
      <w:pPr>
        <w:pStyle w:val="Prrafodelista"/>
        <w:rPr>
          <w:rFonts w:asciiTheme="minorHAnsi" w:hAnsiTheme="minorHAnsi" w:cstheme="minorHAnsi"/>
          <w:sz w:val="24"/>
          <w:szCs w:val="24"/>
          <w:lang w:val="es-ES"/>
        </w:rPr>
      </w:pPr>
    </w:p>
    <w:p w14:paraId="1BC155A4" w14:textId="2C21EE82" w:rsidR="00E84D14"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Se fomentará como parte de la estrategia la incorporación de los espacios naturales a los espacios deportivos urbanos.</w:t>
      </w:r>
    </w:p>
    <w:p w14:paraId="0EF5DC0C" w14:textId="77777777" w:rsidR="00A05338" w:rsidRPr="00A05338" w:rsidRDefault="00A05338" w:rsidP="00A05338">
      <w:pPr>
        <w:pStyle w:val="Prrafodelista"/>
        <w:rPr>
          <w:rFonts w:asciiTheme="minorHAnsi" w:hAnsiTheme="minorHAnsi" w:cstheme="minorHAnsi"/>
          <w:sz w:val="24"/>
          <w:szCs w:val="24"/>
          <w:lang w:val="es-ES"/>
        </w:rPr>
      </w:pPr>
    </w:p>
    <w:p w14:paraId="62FF31DE" w14:textId="77777777" w:rsidR="00E84D14" w:rsidRPr="00F11637" w:rsidRDefault="00E84D14" w:rsidP="00A05338">
      <w:pPr>
        <w:pStyle w:val="Prrafodelista"/>
        <w:numPr>
          <w:ilvl w:val="0"/>
          <w:numId w:val="165"/>
        </w:numPr>
        <w:jc w:val="both"/>
        <w:rPr>
          <w:rFonts w:asciiTheme="minorHAnsi" w:hAnsiTheme="minorHAnsi" w:cstheme="minorHAnsi"/>
          <w:sz w:val="24"/>
          <w:szCs w:val="24"/>
          <w:lang w:val="es-ES"/>
        </w:rPr>
      </w:pPr>
      <w:r w:rsidRPr="00F11637">
        <w:rPr>
          <w:rFonts w:asciiTheme="minorHAnsi" w:hAnsiTheme="minorHAnsi" w:cstheme="minorHAnsi"/>
          <w:sz w:val="24"/>
          <w:szCs w:val="24"/>
          <w:lang w:val="es-ES"/>
        </w:rPr>
        <w:t xml:space="preserve">Fomentar como parte de la planificación deportiva escolar y de deporte base, las actividades en espacios naturales de manera responsable. </w:t>
      </w:r>
    </w:p>
    <w:p w14:paraId="732901D0" w14:textId="77777777" w:rsidR="00E84D14" w:rsidRPr="00F11637" w:rsidRDefault="00E84D14" w:rsidP="00E84D14">
      <w:pPr>
        <w:ind w:firstLine="760"/>
        <w:jc w:val="both"/>
        <w:rPr>
          <w:rFonts w:cstheme="minorHAnsi"/>
        </w:rPr>
      </w:pPr>
    </w:p>
    <w:p w14:paraId="0737858C" w14:textId="2855C029" w:rsidR="00E84D14" w:rsidRPr="00A05338" w:rsidRDefault="00E84D14" w:rsidP="00AA5E9D">
      <w:pPr>
        <w:pStyle w:val="Ttulo2"/>
        <w:numPr>
          <w:ilvl w:val="0"/>
          <w:numId w:val="0"/>
        </w:numPr>
        <w:jc w:val="both"/>
        <w:rPr>
          <w:rFonts w:cstheme="minorHAnsi"/>
          <w:i/>
          <w:iCs/>
          <w:caps/>
          <w:color w:val="auto"/>
          <w:lang w:val="es-ES"/>
        </w:rPr>
      </w:pPr>
      <w:r w:rsidRPr="00A05338">
        <w:rPr>
          <w:rFonts w:asciiTheme="minorHAnsi" w:hAnsiTheme="minorHAnsi" w:cstheme="minorHAnsi"/>
          <w:i/>
          <w:iCs/>
          <w:caps/>
          <w:color w:val="auto"/>
          <w:sz w:val="24"/>
          <w:szCs w:val="24"/>
          <w:lang w:val="es-ES"/>
        </w:rPr>
        <w:t xml:space="preserve">OTROS RETOS </w:t>
      </w:r>
      <w:r w:rsidR="00AA5E9D" w:rsidRPr="00A05338">
        <w:rPr>
          <w:rFonts w:asciiTheme="minorHAnsi" w:hAnsiTheme="minorHAnsi" w:cstheme="minorHAnsi"/>
          <w:i/>
          <w:iCs/>
          <w:caps/>
          <w:color w:val="auto"/>
          <w:sz w:val="24"/>
          <w:szCs w:val="24"/>
          <w:lang w:val="es-ES"/>
        </w:rPr>
        <w:t xml:space="preserve">IMPORTANTES </w:t>
      </w:r>
      <w:r w:rsidRPr="00A05338">
        <w:rPr>
          <w:rFonts w:asciiTheme="minorHAnsi" w:hAnsiTheme="minorHAnsi" w:cstheme="minorHAnsi"/>
          <w:i/>
          <w:iCs/>
          <w:caps/>
          <w:color w:val="auto"/>
          <w:sz w:val="24"/>
          <w:szCs w:val="24"/>
          <w:lang w:val="es-ES"/>
        </w:rPr>
        <w:t>QUE INFLUYEN EN LA PLANIFICACIÓN DE LAS ACTIVIDADES EN LA SALUD Y EN EL MEDIOAMBIENTE</w:t>
      </w:r>
    </w:p>
    <w:p w14:paraId="780AFE6F" w14:textId="77777777" w:rsidR="00E84D14" w:rsidRPr="0051709F" w:rsidRDefault="00E84D14" w:rsidP="00AA5E9D">
      <w:pPr>
        <w:jc w:val="both"/>
        <w:rPr>
          <w:rFonts w:cstheme="minorHAnsi"/>
        </w:rPr>
      </w:pPr>
    </w:p>
    <w:p w14:paraId="58CFD977" w14:textId="77777777" w:rsidR="00E84D14" w:rsidRPr="00F11637" w:rsidRDefault="00E84D14" w:rsidP="00E84D14">
      <w:pPr>
        <w:pStyle w:val="Prrafodelista"/>
        <w:numPr>
          <w:ilvl w:val="0"/>
          <w:numId w:val="163"/>
        </w:numPr>
        <w:jc w:val="both"/>
        <w:rPr>
          <w:rFonts w:asciiTheme="minorHAnsi" w:hAnsiTheme="minorHAnsi" w:cstheme="minorHAnsi"/>
          <w:lang w:val="es-ES"/>
        </w:rPr>
      </w:pPr>
      <w:r w:rsidRPr="00F11637">
        <w:rPr>
          <w:rFonts w:asciiTheme="minorHAnsi" w:hAnsiTheme="minorHAnsi" w:cstheme="minorHAnsi"/>
          <w:lang w:val="es-ES"/>
        </w:rPr>
        <w:t>Promover campañas de sensibilización sobre la relación del medioambiente y la salud para los profesionales del deporte y los ciudadanos,</w:t>
      </w:r>
    </w:p>
    <w:p w14:paraId="38D68EDC" w14:textId="77777777" w:rsidR="00E84D14" w:rsidRPr="00AA5E9D" w:rsidRDefault="00E84D14" w:rsidP="00E84D14">
      <w:pPr>
        <w:pStyle w:val="Prrafodelista"/>
        <w:numPr>
          <w:ilvl w:val="0"/>
          <w:numId w:val="163"/>
        </w:numPr>
        <w:jc w:val="both"/>
        <w:rPr>
          <w:rFonts w:asciiTheme="minorHAnsi" w:hAnsiTheme="minorHAnsi" w:cstheme="minorHAnsi"/>
          <w:lang w:val="es-ES"/>
        </w:rPr>
      </w:pPr>
      <w:r w:rsidRPr="00AA5E9D">
        <w:rPr>
          <w:rFonts w:asciiTheme="minorHAnsi" w:hAnsiTheme="minorHAnsi" w:cstheme="minorHAnsi"/>
          <w:lang w:val="es-ES"/>
        </w:rPr>
        <w:t>Incorporar la sostenibilidad en los programas formativos para profesionales de todos los niveles,</w:t>
      </w:r>
    </w:p>
    <w:p w14:paraId="1A336597" w14:textId="77777777" w:rsidR="00E84D14" w:rsidRPr="00F11637" w:rsidRDefault="00E84D14" w:rsidP="00E84D14">
      <w:pPr>
        <w:pStyle w:val="Prrafodelista"/>
        <w:numPr>
          <w:ilvl w:val="0"/>
          <w:numId w:val="163"/>
        </w:numPr>
        <w:jc w:val="both"/>
        <w:rPr>
          <w:rFonts w:asciiTheme="minorHAnsi" w:hAnsiTheme="minorHAnsi" w:cstheme="minorHAnsi"/>
          <w:lang w:val="es-ES"/>
        </w:rPr>
      </w:pPr>
      <w:r w:rsidRPr="00F11637">
        <w:rPr>
          <w:rFonts w:asciiTheme="minorHAnsi" w:hAnsiTheme="minorHAnsi" w:cstheme="minorHAnsi"/>
          <w:lang w:val="es-ES"/>
        </w:rPr>
        <w:t>Elaborar un plan de gestión, reciclaje y de reducción de residuos en todas las infraestructuras deportivas,</w:t>
      </w:r>
    </w:p>
    <w:p w14:paraId="40CD1943" w14:textId="77777777" w:rsidR="00E84D14" w:rsidRPr="00F11637" w:rsidRDefault="00E84D14" w:rsidP="00E84D14">
      <w:pPr>
        <w:pStyle w:val="Prrafodelista"/>
        <w:numPr>
          <w:ilvl w:val="0"/>
          <w:numId w:val="163"/>
        </w:numPr>
        <w:jc w:val="both"/>
        <w:rPr>
          <w:rFonts w:asciiTheme="minorHAnsi" w:hAnsiTheme="minorHAnsi" w:cstheme="minorHAnsi"/>
          <w:lang w:val="es-ES"/>
        </w:rPr>
      </w:pPr>
      <w:r w:rsidRPr="00F11637">
        <w:rPr>
          <w:rFonts w:asciiTheme="minorHAnsi" w:hAnsiTheme="minorHAnsi" w:cstheme="minorHAnsi"/>
          <w:lang w:val="es-ES"/>
        </w:rPr>
        <w:t>Promover un estudio sobre la incorporación de la sostenibilidad medioambiental en el sector deportivo.</w:t>
      </w:r>
    </w:p>
    <w:p w14:paraId="174EFD27" w14:textId="77777777" w:rsidR="00E84D14" w:rsidRDefault="00E84D14" w:rsidP="00E84D14">
      <w:pPr>
        <w:jc w:val="both"/>
        <w:rPr>
          <w:rFonts w:eastAsia="Calibri" w:cstheme="minorHAnsi"/>
        </w:rPr>
      </w:pPr>
    </w:p>
    <w:p w14:paraId="14B31433" w14:textId="6EE77FD9" w:rsidR="00E84D14" w:rsidRPr="007B667D" w:rsidRDefault="00E84D14" w:rsidP="00E84D14">
      <w:pPr>
        <w:pStyle w:val="Ttulo2"/>
        <w:numPr>
          <w:ilvl w:val="0"/>
          <w:numId w:val="0"/>
        </w:numPr>
        <w:rPr>
          <w:rFonts w:asciiTheme="minorHAnsi" w:hAnsiTheme="minorHAnsi" w:cstheme="minorHAnsi"/>
          <w:b/>
          <w:bCs/>
          <w:caps/>
          <w:sz w:val="24"/>
          <w:szCs w:val="24"/>
          <w:lang w:val="es-ES"/>
        </w:rPr>
      </w:pPr>
      <w:r w:rsidRPr="007B667D">
        <w:rPr>
          <w:rFonts w:asciiTheme="minorHAnsi" w:hAnsiTheme="minorHAnsi" w:cstheme="minorHAnsi"/>
          <w:b/>
          <w:bCs/>
          <w:caps/>
          <w:sz w:val="24"/>
          <w:szCs w:val="24"/>
          <w:lang w:val="es-ES"/>
        </w:rPr>
        <w:t>Acciones clave a poner en marcha en el entorno laboral</w:t>
      </w:r>
    </w:p>
    <w:p w14:paraId="78E646A1" w14:textId="77777777" w:rsidR="00E84D14" w:rsidRPr="0051709F" w:rsidRDefault="00E84D14" w:rsidP="00E84D14">
      <w:pPr>
        <w:jc w:val="both"/>
        <w:rPr>
          <w:rFonts w:cstheme="minorHAnsi"/>
        </w:rPr>
      </w:pPr>
    </w:p>
    <w:p w14:paraId="353085ED" w14:textId="649BDF90" w:rsidR="00E84D14" w:rsidRDefault="00E84D14" w:rsidP="00E84D14">
      <w:pPr>
        <w:pStyle w:val="Prrafodelista"/>
        <w:numPr>
          <w:ilvl w:val="0"/>
          <w:numId w:val="105"/>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Elabora</w:t>
      </w:r>
      <w:r w:rsidR="00AA5E9D">
        <w:rPr>
          <w:rFonts w:asciiTheme="minorHAnsi" w:hAnsiTheme="minorHAnsi" w:cstheme="minorHAnsi"/>
          <w:sz w:val="24"/>
          <w:szCs w:val="24"/>
          <w:lang w:val="es-ES"/>
        </w:rPr>
        <w:t>r</w:t>
      </w:r>
      <w:r w:rsidRPr="0051709F">
        <w:rPr>
          <w:rFonts w:asciiTheme="minorHAnsi" w:hAnsiTheme="minorHAnsi" w:cstheme="minorHAnsi"/>
          <w:sz w:val="24"/>
          <w:szCs w:val="24"/>
          <w:lang w:val="es-ES"/>
        </w:rPr>
        <w:t xml:space="preserve"> y difu</w:t>
      </w:r>
      <w:r w:rsidR="00AA5E9D">
        <w:rPr>
          <w:rFonts w:asciiTheme="minorHAnsi" w:hAnsiTheme="minorHAnsi" w:cstheme="minorHAnsi"/>
          <w:sz w:val="24"/>
          <w:szCs w:val="24"/>
          <w:lang w:val="es-ES"/>
        </w:rPr>
        <w:t>ndir</w:t>
      </w:r>
      <w:r w:rsidRPr="0051709F">
        <w:rPr>
          <w:rFonts w:asciiTheme="minorHAnsi" w:hAnsiTheme="minorHAnsi" w:cstheme="minorHAnsi"/>
          <w:sz w:val="24"/>
          <w:szCs w:val="24"/>
          <w:lang w:val="es-ES"/>
        </w:rPr>
        <w:t xml:space="preserve"> una campaña a nivel nacional sobre la promoción y el fomento de la práctica de AF y la lucha contra el sedentarismo en el ámbito laboral. </w:t>
      </w:r>
    </w:p>
    <w:p w14:paraId="5E131EEA" w14:textId="77777777" w:rsidR="00A05338" w:rsidRPr="0051709F" w:rsidRDefault="00A05338" w:rsidP="00A05338">
      <w:pPr>
        <w:pStyle w:val="Prrafodelista"/>
        <w:autoSpaceDE w:val="0"/>
        <w:autoSpaceDN w:val="0"/>
        <w:adjustRightInd w:val="0"/>
        <w:jc w:val="both"/>
        <w:rPr>
          <w:rFonts w:asciiTheme="minorHAnsi" w:hAnsiTheme="minorHAnsi" w:cstheme="minorHAnsi"/>
          <w:sz w:val="24"/>
          <w:szCs w:val="24"/>
          <w:lang w:val="es-ES"/>
        </w:rPr>
      </w:pPr>
    </w:p>
    <w:p w14:paraId="218E9D41" w14:textId="77777777" w:rsidR="00E84D14" w:rsidRDefault="00E84D14" w:rsidP="00E84D14">
      <w:pPr>
        <w:pStyle w:val="Prrafodelista"/>
        <w:numPr>
          <w:ilvl w:val="0"/>
          <w:numId w:val="105"/>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Desarrollar una Guía oficial dirigida a empresas que se planteen poner en marcha este tipo de programas y que recoja las orientaciones específicas sobre los mejores indicadores de salud, bienestar, productividad/absentismo y el entorno que deben incluir estos programas. Dicha Guía debería contar con una ficha técnica sencilla con los requisitos mínimos de los programas de promoción de AF y lucha contra el sedentarismo en el ámbito laboral, que sirva de referente a aquellas empresas que deseen consultarla. </w:t>
      </w:r>
    </w:p>
    <w:p w14:paraId="2C38203D" w14:textId="77777777" w:rsidR="00A05338" w:rsidRPr="00A05338" w:rsidRDefault="00A05338" w:rsidP="00A05338">
      <w:pPr>
        <w:pStyle w:val="Prrafodelista"/>
        <w:rPr>
          <w:rFonts w:asciiTheme="minorHAnsi" w:hAnsiTheme="minorHAnsi" w:cstheme="minorHAnsi"/>
          <w:sz w:val="24"/>
          <w:szCs w:val="24"/>
          <w:lang w:val="es-ES"/>
        </w:rPr>
      </w:pPr>
    </w:p>
    <w:p w14:paraId="77339D61" w14:textId="77777777" w:rsidR="00E84D14"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Estudiar </w:t>
      </w:r>
      <w:r>
        <w:rPr>
          <w:rFonts w:asciiTheme="minorHAnsi" w:hAnsiTheme="minorHAnsi" w:cstheme="minorHAnsi"/>
          <w:sz w:val="24"/>
          <w:szCs w:val="24"/>
          <w:lang w:val="es-ES"/>
        </w:rPr>
        <w:t>promover la puesta</w:t>
      </w:r>
      <w:r w:rsidRPr="0051709F">
        <w:rPr>
          <w:rFonts w:asciiTheme="minorHAnsi" w:hAnsiTheme="minorHAnsi" w:cstheme="minorHAnsi"/>
          <w:sz w:val="24"/>
          <w:szCs w:val="24"/>
          <w:lang w:val="es-ES"/>
        </w:rPr>
        <w:t xml:space="preserve"> en marcha incentivos económicos o fiscales como </w:t>
      </w:r>
      <w:r>
        <w:rPr>
          <w:rFonts w:asciiTheme="minorHAnsi" w:hAnsiTheme="minorHAnsi" w:cstheme="minorHAnsi"/>
          <w:sz w:val="24"/>
          <w:szCs w:val="24"/>
          <w:lang w:val="es-ES"/>
        </w:rPr>
        <w:t xml:space="preserve">la </w:t>
      </w:r>
      <w:r w:rsidRPr="0051709F">
        <w:rPr>
          <w:rFonts w:asciiTheme="minorHAnsi" w:hAnsiTheme="minorHAnsi" w:cstheme="minorHAnsi"/>
          <w:sz w:val="24"/>
          <w:szCs w:val="24"/>
          <w:lang w:val="es-ES"/>
        </w:rPr>
        <w:t>Inclusión de los programas de promoción de la AF y lucha contra el Sedentarismo como una parte de la responsabilidad social corporativa (RSC) de las empresas.</w:t>
      </w:r>
    </w:p>
    <w:p w14:paraId="4A269AFE" w14:textId="77777777" w:rsidR="00A05338" w:rsidRPr="00A05338" w:rsidRDefault="00A05338" w:rsidP="00A05338">
      <w:pPr>
        <w:pStyle w:val="Prrafodelista"/>
        <w:rPr>
          <w:rFonts w:asciiTheme="minorHAnsi" w:hAnsiTheme="minorHAnsi" w:cstheme="minorHAnsi"/>
          <w:sz w:val="24"/>
          <w:szCs w:val="24"/>
          <w:lang w:val="es-ES"/>
        </w:rPr>
      </w:pPr>
    </w:p>
    <w:p w14:paraId="1229791E" w14:textId="77777777" w:rsidR="00E84D14" w:rsidRPr="0051709F"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Consolidar el catálogo de programas de fomento de la AF y la lucha contra el sedentarismo, incluyendo no solo los programas más habituales</w:t>
      </w:r>
      <w:r>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sino también otros programas que incluyan la sustitución de tiempo sedentario por tiempo activo</w:t>
      </w:r>
      <w:r>
        <w:rPr>
          <w:rFonts w:asciiTheme="minorHAnsi" w:hAnsiTheme="minorHAnsi" w:cstheme="minorHAnsi"/>
          <w:sz w:val="24"/>
          <w:szCs w:val="24"/>
          <w:lang w:val="es-ES"/>
        </w:rPr>
        <w:t>,</w:t>
      </w:r>
      <w:r w:rsidRPr="0051709F">
        <w:rPr>
          <w:rFonts w:asciiTheme="minorHAnsi" w:hAnsiTheme="minorHAnsi" w:cstheme="minorHAnsi"/>
          <w:sz w:val="24"/>
          <w:szCs w:val="24"/>
          <w:lang w:val="es-ES"/>
        </w:rPr>
        <w:t xml:space="preserve"> </w:t>
      </w:r>
      <w:r>
        <w:rPr>
          <w:rFonts w:asciiTheme="minorHAnsi" w:hAnsiTheme="minorHAnsi" w:cstheme="minorHAnsi"/>
          <w:sz w:val="24"/>
          <w:szCs w:val="24"/>
          <w:lang w:val="es-ES"/>
        </w:rPr>
        <w:t>como</w:t>
      </w:r>
      <w:r w:rsidRPr="0051709F">
        <w:rPr>
          <w:rFonts w:asciiTheme="minorHAnsi" w:hAnsiTheme="minorHAnsi" w:cstheme="minorHAnsi"/>
          <w:sz w:val="24"/>
          <w:szCs w:val="24"/>
          <w:lang w:val="es-ES"/>
        </w:rPr>
        <w:t xml:space="preserve"> la oficina dinámica, las rutas saludables dentro de la empresa, </w:t>
      </w:r>
      <w:r>
        <w:rPr>
          <w:rFonts w:asciiTheme="minorHAnsi" w:hAnsiTheme="minorHAnsi" w:cstheme="minorHAnsi"/>
          <w:sz w:val="24"/>
          <w:szCs w:val="24"/>
          <w:lang w:val="es-ES"/>
        </w:rPr>
        <w:t xml:space="preserve">o </w:t>
      </w:r>
      <w:r w:rsidRPr="0051709F">
        <w:rPr>
          <w:rFonts w:asciiTheme="minorHAnsi" w:hAnsiTheme="minorHAnsi" w:cstheme="minorHAnsi"/>
          <w:sz w:val="24"/>
          <w:szCs w:val="24"/>
          <w:lang w:val="es-ES"/>
        </w:rPr>
        <w:t>el transporte activo</w:t>
      </w:r>
      <w:r>
        <w:rPr>
          <w:rFonts w:asciiTheme="minorHAnsi" w:hAnsiTheme="minorHAnsi" w:cstheme="minorHAnsi"/>
          <w:sz w:val="24"/>
          <w:szCs w:val="24"/>
          <w:lang w:val="es-ES"/>
        </w:rPr>
        <w:t>, entre otros.,</w:t>
      </w:r>
      <w:r w:rsidRPr="0051709F">
        <w:rPr>
          <w:rFonts w:asciiTheme="minorHAnsi" w:hAnsiTheme="minorHAnsi" w:cstheme="minorHAnsi"/>
          <w:sz w:val="24"/>
          <w:szCs w:val="24"/>
          <w:lang w:val="es-ES"/>
        </w:rPr>
        <w:t xml:space="preserve"> e incorporando en la medida de lo posible la utilización de nuevas tecnologías que cuantifiquen de forma objetiva los niveles de AF y sedentarismo de los trabajadores y favorezcan su motivación por un estilo de vida saludable. </w:t>
      </w:r>
    </w:p>
    <w:p w14:paraId="5C183682" w14:textId="77777777" w:rsidR="00E84D14"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lastRenderedPageBreak/>
        <w:t>Promover iniciativas para el “transporte activo” (</w:t>
      </w:r>
      <w:r>
        <w:rPr>
          <w:rFonts w:asciiTheme="minorHAnsi" w:hAnsiTheme="minorHAnsi" w:cstheme="minorHAnsi"/>
          <w:sz w:val="24"/>
          <w:szCs w:val="24"/>
          <w:lang w:val="es-ES"/>
        </w:rPr>
        <w:t>por ejemplo,</w:t>
      </w:r>
      <w:r w:rsidRPr="0051709F">
        <w:rPr>
          <w:rFonts w:asciiTheme="minorHAnsi" w:hAnsiTheme="minorHAnsi" w:cstheme="minorHAnsi"/>
          <w:sz w:val="24"/>
          <w:szCs w:val="24"/>
          <w:lang w:val="es-ES"/>
        </w:rPr>
        <w:t xml:space="preserve"> uso de la bicicleta como medio de transporte al trabajo) en la línea de otras propuestas que se realizan desde otros países de la Unión Europea. </w:t>
      </w:r>
    </w:p>
    <w:p w14:paraId="723F6B7C" w14:textId="77777777" w:rsidR="00A05338" w:rsidRDefault="00A05338" w:rsidP="00A05338">
      <w:pPr>
        <w:pStyle w:val="Prrafodelista"/>
        <w:jc w:val="both"/>
        <w:rPr>
          <w:rFonts w:asciiTheme="minorHAnsi" w:hAnsiTheme="minorHAnsi" w:cstheme="minorHAnsi"/>
          <w:sz w:val="24"/>
          <w:szCs w:val="24"/>
          <w:lang w:val="es-ES"/>
        </w:rPr>
      </w:pPr>
    </w:p>
    <w:p w14:paraId="27F0056D" w14:textId="431AB285" w:rsidR="00E84D14"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Favorecer la flexibilidad horaria de la jornada laboral (al entrar, durante las pausas de descanso/comidas y al salir). Este aspecto es imprescindible para lograr que los empleados puedan conciliar la práctica de AF y la lucha contra el sedentarismo en el ámbito laboral.</w:t>
      </w:r>
    </w:p>
    <w:p w14:paraId="740CB434" w14:textId="77777777" w:rsidR="00A05338" w:rsidRPr="00A05338" w:rsidRDefault="00A05338" w:rsidP="00A05338">
      <w:pPr>
        <w:pStyle w:val="Prrafodelista"/>
        <w:rPr>
          <w:rFonts w:asciiTheme="minorHAnsi" w:hAnsiTheme="minorHAnsi" w:cstheme="minorHAnsi"/>
          <w:sz w:val="24"/>
          <w:szCs w:val="24"/>
          <w:lang w:val="es-ES"/>
        </w:rPr>
      </w:pPr>
    </w:p>
    <w:p w14:paraId="3E0CE52A" w14:textId="77777777" w:rsidR="00E84D14"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Promover la colaboración entre grupos empresariales en este tipo de programas, especialmente entre aquellas empresas que comparten la misma zona o tienen espacios comunes. </w:t>
      </w:r>
    </w:p>
    <w:p w14:paraId="66B5D2AC" w14:textId="77777777" w:rsidR="00A05338" w:rsidRPr="00A05338" w:rsidRDefault="00A05338" w:rsidP="00A05338">
      <w:pPr>
        <w:pStyle w:val="Prrafodelista"/>
        <w:rPr>
          <w:rFonts w:asciiTheme="minorHAnsi" w:hAnsiTheme="minorHAnsi" w:cstheme="minorHAnsi"/>
          <w:sz w:val="24"/>
          <w:szCs w:val="24"/>
          <w:lang w:val="es-ES"/>
        </w:rPr>
      </w:pPr>
    </w:p>
    <w:p w14:paraId="0FC04970" w14:textId="77777777" w:rsidR="00E84D14" w:rsidRDefault="00E84D14" w:rsidP="00E84D14">
      <w:pPr>
        <w:pStyle w:val="Prrafodelista"/>
        <w:numPr>
          <w:ilvl w:val="0"/>
          <w:numId w:val="105"/>
        </w:numPr>
        <w:jc w:val="both"/>
        <w:rPr>
          <w:rFonts w:asciiTheme="minorHAnsi" w:hAnsiTheme="minorHAnsi" w:cstheme="minorHAnsi"/>
          <w:sz w:val="24"/>
          <w:szCs w:val="24"/>
          <w:lang w:val="es-ES"/>
        </w:rPr>
      </w:pPr>
      <w:r>
        <w:rPr>
          <w:rFonts w:asciiTheme="minorHAnsi" w:hAnsiTheme="minorHAnsi" w:cstheme="minorHAnsi"/>
          <w:sz w:val="24"/>
          <w:szCs w:val="24"/>
          <w:lang w:val="es-ES"/>
        </w:rPr>
        <w:t>Fomentar la inclusión</w:t>
      </w:r>
      <w:r w:rsidRPr="0051709F">
        <w:rPr>
          <w:rFonts w:asciiTheme="minorHAnsi" w:hAnsiTheme="minorHAnsi" w:cstheme="minorHAnsi"/>
          <w:sz w:val="24"/>
          <w:szCs w:val="24"/>
          <w:lang w:val="es-ES"/>
        </w:rPr>
        <w:t xml:space="preserve"> en la historia clínica de los trabajadores información relativa a la AF, el sedentarismo y el transporte activo mediante instrumentos sencillos y validados. </w:t>
      </w:r>
    </w:p>
    <w:p w14:paraId="17D5E505" w14:textId="77777777" w:rsidR="00A05338" w:rsidRPr="00A05338" w:rsidRDefault="00A05338" w:rsidP="00A05338">
      <w:pPr>
        <w:pStyle w:val="Prrafodelista"/>
        <w:rPr>
          <w:rFonts w:asciiTheme="minorHAnsi" w:hAnsiTheme="minorHAnsi" w:cstheme="minorHAnsi"/>
          <w:sz w:val="24"/>
          <w:szCs w:val="24"/>
          <w:lang w:val="es-ES"/>
        </w:rPr>
      </w:pPr>
    </w:p>
    <w:p w14:paraId="5ECE049C" w14:textId="77777777" w:rsidR="00E84D14" w:rsidRDefault="00E84D14" w:rsidP="00E84D14">
      <w:pPr>
        <w:pStyle w:val="Prrafodelista"/>
        <w:numPr>
          <w:ilvl w:val="0"/>
          <w:numId w:val="105"/>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Aumentar las medidas de apoyo a la generación de conocimiento en este ámbito específico, promoviendo proyectos de investigación y convenios de colaboración con los centros de investigación y universidades públicas/privadas del entorno que permitan la transferencia entre las empresas y dichas instituciones.</w:t>
      </w:r>
    </w:p>
    <w:p w14:paraId="2093B3FC" w14:textId="77777777" w:rsidR="00E84D14" w:rsidRDefault="00E84D14" w:rsidP="00E84D14">
      <w:pPr>
        <w:jc w:val="both"/>
        <w:rPr>
          <w:rFonts w:cstheme="minorHAnsi"/>
        </w:rPr>
      </w:pPr>
    </w:p>
    <w:p w14:paraId="5D6C7FD2" w14:textId="77777777" w:rsidR="00E84D14" w:rsidRDefault="00E84D14" w:rsidP="00E84D14">
      <w:pPr>
        <w:jc w:val="both"/>
        <w:rPr>
          <w:rFonts w:cstheme="minorHAnsi"/>
        </w:rPr>
      </w:pPr>
    </w:p>
    <w:p w14:paraId="26707AC0" w14:textId="45AC31FD" w:rsidR="00E84D14" w:rsidRPr="007B667D" w:rsidRDefault="00E84D14" w:rsidP="00AA5E9D">
      <w:pPr>
        <w:pStyle w:val="Ttulo2"/>
        <w:numPr>
          <w:ilvl w:val="0"/>
          <w:numId w:val="0"/>
        </w:numPr>
        <w:jc w:val="both"/>
        <w:rPr>
          <w:rFonts w:asciiTheme="minorHAnsi" w:hAnsiTheme="minorHAnsi" w:cstheme="minorHAnsi"/>
          <w:b/>
          <w:bCs/>
          <w:caps/>
          <w:sz w:val="24"/>
          <w:szCs w:val="24"/>
          <w:lang w:val="es-ES"/>
        </w:rPr>
      </w:pPr>
      <w:r w:rsidRPr="007B667D">
        <w:rPr>
          <w:rFonts w:asciiTheme="minorHAnsi" w:hAnsiTheme="minorHAnsi" w:cstheme="minorHAnsi"/>
          <w:b/>
          <w:bCs/>
          <w:caps/>
          <w:sz w:val="24"/>
          <w:szCs w:val="24"/>
          <w:lang w:val="es-ES"/>
        </w:rPr>
        <w:t xml:space="preserve">Acciones para aumentar la actividad física </w:t>
      </w:r>
      <w:r w:rsidR="00AA5E9D" w:rsidRPr="007B667D">
        <w:rPr>
          <w:rFonts w:asciiTheme="minorHAnsi" w:hAnsiTheme="minorHAnsi" w:cstheme="minorHAnsi"/>
          <w:b/>
          <w:bCs/>
          <w:caps/>
          <w:sz w:val="24"/>
          <w:szCs w:val="24"/>
          <w:lang w:val="es-ES"/>
        </w:rPr>
        <w:t>EN RELACIÓN CON</w:t>
      </w:r>
      <w:r w:rsidRPr="007B667D">
        <w:rPr>
          <w:rFonts w:asciiTheme="minorHAnsi" w:hAnsiTheme="minorHAnsi" w:cstheme="minorHAnsi"/>
          <w:b/>
          <w:bCs/>
          <w:caps/>
          <w:sz w:val="24"/>
          <w:szCs w:val="24"/>
          <w:lang w:val="es-ES"/>
        </w:rPr>
        <w:t xml:space="preserve"> la inclusión social y la reducción de las desigualdades sociales</w:t>
      </w:r>
    </w:p>
    <w:p w14:paraId="4421DAF6" w14:textId="77777777" w:rsidR="00E84D14" w:rsidRPr="0051709F" w:rsidRDefault="00E84D14" w:rsidP="00E84D14">
      <w:pPr>
        <w:jc w:val="both"/>
        <w:rPr>
          <w:rFonts w:eastAsia="Open Sans" w:cstheme="minorHAnsi"/>
          <w:color w:val="1D1D1B"/>
        </w:rPr>
      </w:pPr>
    </w:p>
    <w:p w14:paraId="61D9E695" w14:textId="77777777" w:rsidR="00E84D14" w:rsidRPr="00A05338"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Promover</w:t>
      </w:r>
      <w:r w:rsidRPr="0051709F">
        <w:rPr>
          <w:rFonts w:eastAsia="Open Sans" w:cstheme="minorHAnsi"/>
          <w:color w:val="000000"/>
        </w:rPr>
        <w:t xml:space="preserve"> programas de ayudas económicas como becas deportivas destinadas a familias en mayor situación de vulnerabilidad para potenciar su conocimiento y accesibilidad</w:t>
      </w:r>
      <w:r w:rsidRPr="0051709F">
        <w:rPr>
          <w:rFonts w:eastAsia="Open Sans" w:cstheme="minorHAnsi"/>
        </w:rPr>
        <w:t xml:space="preserve"> (ED3).</w:t>
      </w:r>
    </w:p>
    <w:p w14:paraId="7D872EFD" w14:textId="77777777" w:rsidR="00A05338" w:rsidRPr="0051709F" w:rsidRDefault="00A05338" w:rsidP="00A05338">
      <w:pPr>
        <w:pBdr>
          <w:top w:val="nil"/>
          <w:left w:val="nil"/>
          <w:bottom w:val="nil"/>
          <w:right w:val="nil"/>
          <w:between w:val="nil"/>
        </w:pBdr>
        <w:ind w:left="760" w:right="-185"/>
        <w:jc w:val="both"/>
        <w:rPr>
          <w:rFonts w:eastAsia="Open Sans" w:cstheme="minorHAnsi"/>
          <w:color w:val="000000"/>
        </w:rPr>
      </w:pPr>
    </w:p>
    <w:p w14:paraId="7F6FCC73" w14:textId="77777777" w:rsidR="00E84D14" w:rsidRPr="00A05338"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 xml:space="preserve">Facilitar, mediante la elaboración de una guía nacional, </w:t>
      </w:r>
      <w:r w:rsidRPr="0051709F">
        <w:rPr>
          <w:rFonts w:eastAsia="Open Sans" w:cstheme="minorHAnsi"/>
          <w:color w:val="000000"/>
        </w:rPr>
        <w:t>que los espacios dedicados a actividad física y deporte para la población española son espacios estimulantes, con zonas deportivas, de juego y zonas verdes inclusivas, seguras y accesibles para los niños, niñas y adolescentes especialmente en género femenino y en barrios y zonas rurales en situación de vulnerabilidad</w:t>
      </w:r>
      <w:r w:rsidRPr="0051709F">
        <w:rPr>
          <w:rFonts w:eastAsia="Open Sans" w:cstheme="minorHAnsi"/>
        </w:rPr>
        <w:t xml:space="preserve"> (ED2 y ED3).</w:t>
      </w:r>
    </w:p>
    <w:p w14:paraId="03D272EC" w14:textId="77777777" w:rsidR="00A05338" w:rsidRDefault="00A05338" w:rsidP="00A05338">
      <w:pPr>
        <w:pStyle w:val="Prrafodelista"/>
        <w:rPr>
          <w:rFonts w:eastAsia="Open Sans" w:cstheme="minorHAnsi"/>
          <w:color w:val="000000"/>
        </w:rPr>
      </w:pPr>
    </w:p>
    <w:p w14:paraId="7F034E4F"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Promover en el ámbito municipal</w:t>
      </w:r>
      <w:r w:rsidRPr="0051709F">
        <w:rPr>
          <w:rFonts w:eastAsia="Open Sans" w:cstheme="minorHAnsi"/>
          <w:color w:val="000000"/>
        </w:rPr>
        <w:t xml:space="preserve"> la gratuidad de instalaciones deportivas en barrios desfavorecidos y para familias en situación de vulnerabilidad para garantizar el acceso a toda la población (ED3).</w:t>
      </w:r>
    </w:p>
    <w:p w14:paraId="378C9348" w14:textId="77777777" w:rsidR="00A05338" w:rsidRDefault="00A05338" w:rsidP="00A05338">
      <w:pPr>
        <w:pStyle w:val="Prrafodelista"/>
        <w:rPr>
          <w:rFonts w:eastAsia="Open Sans" w:cstheme="minorHAnsi"/>
          <w:color w:val="000000"/>
        </w:rPr>
      </w:pPr>
    </w:p>
    <w:p w14:paraId="3CE03AB0"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 xml:space="preserve">Promover </w:t>
      </w:r>
      <w:r w:rsidRPr="0051709F">
        <w:rPr>
          <w:rFonts w:eastAsia="Open Sans" w:cstheme="minorHAnsi"/>
          <w:color w:val="000000"/>
        </w:rPr>
        <w:t>programas y recursos dedicados a la dinamización de espacios para la realización de actividad física y deporte en períodos estivales y vacacionales y también fuera del horario y periodo lectivo/</w:t>
      </w:r>
      <w:r w:rsidRPr="0051709F">
        <w:rPr>
          <w:rFonts w:eastAsia="Open Sans" w:cstheme="minorHAnsi"/>
        </w:rPr>
        <w:t>laboral</w:t>
      </w:r>
      <w:r w:rsidRPr="0051709F">
        <w:rPr>
          <w:rFonts w:eastAsia="Open Sans" w:cstheme="minorHAnsi"/>
          <w:color w:val="000000"/>
        </w:rPr>
        <w:t xml:space="preserve">, en coordinación con las entidades locales asegurando la participación de población en situación de vulnerabilidad (ED1). </w:t>
      </w:r>
    </w:p>
    <w:p w14:paraId="2112DC09" w14:textId="77777777" w:rsidR="00A05338" w:rsidRDefault="00A05338" w:rsidP="00A05338">
      <w:pPr>
        <w:pStyle w:val="Prrafodelista"/>
        <w:rPr>
          <w:rFonts w:eastAsia="Open Sans" w:cstheme="minorHAnsi"/>
          <w:color w:val="000000"/>
        </w:rPr>
      </w:pPr>
    </w:p>
    <w:p w14:paraId="107CA413" w14:textId="77777777" w:rsidR="00A05338"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lastRenderedPageBreak/>
        <w:t>Promover un incremento</w:t>
      </w:r>
      <w:r w:rsidRPr="0051709F">
        <w:rPr>
          <w:rFonts w:eastAsia="Open Sans" w:cstheme="minorHAnsi"/>
          <w:color w:val="000000"/>
        </w:rPr>
        <w:t xml:space="preserve"> la oferta de actividades de ocio relacionadas con la actividad física o el deporte adaptándola a las personas con diversidad funcional, enfermedades</w:t>
      </w:r>
      <w:r w:rsidRPr="0051709F">
        <w:rPr>
          <w:rFonts w:eastAsia="Open Sans" w:cstheme="minorHAnsi"/>
        </w:rPr>
        <w:t xml:space="preserve">, </w:t>
      </w:r>
      <w:r w:rsidRPr="0051709F">
        <w:rPr>
          <w:rFonts w:eastAsia="Open Sans" w:cstheme="minorHAnsi"/>
          <w:color w:val="000000"/>
        </w:rPr>
        <w:t xml:space="preserve">necesidades especiales </w:t>
      </w:r>
      <w:r w:rsidRPr="0051709F">
        <w:rPr>
          <w:rFonts w:eastAsia="Open Sans" w:cstheme="minorHAnsi"/>
        </w:rPr>
        <w:t>y colectivo LGTBI</w:t>
      </w:r>
      <w:r w:rsidRPr="0051709F">
        <w:rPr>
          <w:rFonts w:eastAsia="Open Sans" w:cstheme="minorHAnsi"/>
          <w:color w:val="000000"/>
        </w:rPr>
        <w:t xml:space="preserve"> (ED5, ED6 y ED7).</w:t>
      </w:r>
    </w:p>
    <w:p w14:paraId="18AF2A92" w14:textId="77777777" w:rsidR="00A05338" w:rsidRDefault="00A05338" w:rsidP="00A05338">
      <w:pPr>
        <w:pStyle w:val="Prrafodelista"/>
        <w:rPr>
          <w:rFonts w:eastAsia="Open Sans" w:cstheme="minorHAnsi"/>
        </w:rPr>
      </w:pPr>
    </w:p>
    <w:p w14:paraId="68F654FF" w14:textId="77777777" w:rsidR="00E84D14" w:rsidRPr="00A05338"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sidRPr="002E37CF">
        <w:rPr>
          <w:rFonts w:eastAsia="Open Sans" w:cstheme="minorHAnsi"/>
          <w:color w:val="000000"/>
        </w:rPr>
        <w:t xml:space="preserve">Estimular en el ámbito de la Conferencia Sectorial del Deporte la adecuación de espacios e instalaciones para la actividad física y el deporte a las distintas necesidades de </w:t>
      </w:r>
      <w:r w:rsidRPr="002E37CF">
        <w:rPr>
          <w:rFonts w:eastAsia="Open Sans" w:cstheme="minorHAnsi"/>
        </w:rPr>
        <w:t>las personas según e</w:t>
      </w:r>
      <w:r w:rsidRPr="002E37CF">
        <w:rPr>
          <w:rFonts w:eastAsia="Open Sans" w:cstheme="minorHAnsi"/>
          <w:color w:val="000000"/>
        </w:rPr>
        <w:t>dad, género y discapacidad</w:t>
      </w:r>
      <w:r w:rsidRPr="002E37CF">
        <w:rPr>
          <w:rFonts w:eastAsia="Open Sans" w:cstheme="minorHAnsi"/>
        </w:rPr>
        <w:t xml:space="preserve"> (ED1, ED2 y ED6).</w:t>
      </w:r>
    </w:p>
    <w:p w14:paraId="17672F13" w14:textId="77777777" w:rsidR="00A05338" w:rsidRDefault="00A05338" w:rsidP="00A05338">
      <w:pPr>
        <w:pStyle w:val="Prrafodelista"/>
        <w:rPr>
          <w:rFonts w:eastAsia="Open Sans" w:cstheme="minorHAnsi"/>
          <w:color w:val="000000"/>
        </w:rPr>
      </w:pPr>
    </w:p>
    <w:p w14:paraId="4D27A350"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Impulsar planes para incrementar el número y</w:t>
      </w:r>
      <w:r w:rsidRPr="0051709F">
        <w:rPr>
          <w:rFonts w:eastAsia="Open Sans" w:cstheme="minorHAnsi"/>
          <w:color w:val="000000"/>
        </w:rPr>
        <w:t xml:space="preserve"> mejorar las instalaciones deportivas, zonas de juego y lugares aptos para la actividad física en barrios desfavorecidos (ED3).</w:t>
      </w:r>
    </w:p>
    <w:p w14:paraId="051FA1FC" w14:textId="77777777" w:rsidR="00A05338" w:rsidRDefault="00A05338" w:rsidP="00A05338">
      <w:pPr>
        <w:pStyle w:val="Prrafodelista"/>
        <w:rPr>
          <w:rFonts w:eastAsia="Open Sans" w:cstheme="minorHAnsi"/>
          <w:color w:val="000000"/>
        </w:rPr>
      </w:pPr>
    </w:p>
    <w:p w14:paraId="04B10FDB"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Promover una comunicación y sensibilización efectiva</w:t>
      </w:r>
      <w:r w:rsidRPr="0051709F">
        <w:rPr>
          <w:rFonts w:eastAsia="Open Sans" w:cstheme="minorHAnsi"/>
          <w:color w:val="000000"/>
        </w:rPr>
        <w:t xml:space="preserve"> </w:t>
      </w:r>
      <w:r>
        <w:rPr>
          <w:rFonts w:eastAsia="Open Sans" w:cstheme="minorHAnsi"/>
          <w:color w:val="000000"/>
        </w:rPr>
        <w:t xml:space="preserve">sobre </w:t>
      </w:r>
      <w:r w:rsidRPr="0051709F">
        <w:rPr>
          <w:rFonts w:eastAsia="Open Sans" w:cstheme="minorHAnsi"/>
          <w:color w:val="000000"/>
        </w:rPr>
        <w:t xml:space="preserve">conciliación de la práctica de actividad física o deportes disponibles en horarios y periodos adaptados a diferentes colectivos según edad, género, procedencia o condición fomentando actividades deportivas simultaneas que permitan realizar deporte en familia (ED1, ED2, ED4, ED5, ED6 </w:t>
      </w:r>
      <w:r w:rsidRPr="0051709F">
        <w:rPr>
          <w:rFonts w:eastAsia="Open Sans" w:cstheme="minorHAnsi"/>
        </w:rPr>
        <w:t>y ED7)</w:t>
      </w:r>
      <w:r w:rsidRPr="0051709F">
        <w:rPr>
          <w:rFonts w:eastAsia="Open Sans" w:cstheme="minorHAnsi"/>
          <w:color w:val="000000"/>
        </w:rPr>
        <w:t>. </w:t>
      </w:r>
    </w:p>
    <w:p w14:paraId="1F5F3EA9" w14:textId="77777777" w:rsidR="00A05338" w:rsidRDefault="00A05338" w:rsidP="00A05338">
      <w:pPr>
        <w:pStyle w:val="Prrafodelista"/>
        <w:rPr>
          <w:rFonts w:eastAsia="Open Sans" w:cstheme="minorHAnsi"/>
          <w:color w:val="000000"/>
        </w:rPr>
      </w:pPr>
    </w:p>
    <w:p w14:paraId="17B9E53B"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sidRPr="0051709F">
        <w:rPr>
          <w:rFonts w:eastAsia="Open Sans" w:cstheme="minorHAnsi"/>
          <w:color w:val="000000"/>
        </w:rPr>
        <w:t>Fomentar la diversidad en la oferta de actividades físicas y deportivas, atendiendo a los intereses, necesidades y preferencias de las niñas, adolescentes y mujeres, fomentando la visibilidad de referentes femeninos en el deporte y la actividad física (ED2).</w:t>
      </w:r>
    </w:p>
    <w:p w14:paraId="41DC691B" w14:textId="77777777" w:rsidR="00A05338" w:rsidRDefault="00A05338" w:rsidP="00A05338">
      <w:pPr>
        <w:pStyle w:val="Prrafodelista"/>
        <w:rPr>
          <w:rFonts w:eastAsia="Open Sans" w:cstheme="minorHAnsi"/>
          <w:color w:val="000000"/>
        </w:rPr>
      </w:pPr>
    </w:p>
    <w:p w14:paraId="519BC367" w14:textId="77777777" w:rsidR="00E84D14" w:rsidRDefault="00E84D14" w:rsidP="00E84D14">
      <w:pPr>
        <w:numPr>
          <w:ilvl w:val="0"/>
          <w:numId w:val="74"/>
        </w:numPr>
        <w:pBdr>
          <w:top w:val="nil"/>
          <w:left w:val="nil"/>
          <w:bottom w:val="nil"/>
          <w:right w:val="nil"/>
          <w:between w:val="nil"/>
        </w:pBdr>
        <w:ind w:right="-185"/>
        <w:jc w:val="both"/>
        <w:rPr>
          <w:rFonts w:eastAsia="Open Sans" w:cstheme="minorHAnsi"/>
          <w:color w:val="000000"/>
        </w:rPr>
      </w:pPr>
      <w:r>
        <w:rPr>
          <w:rFonts w:eastAsia="Open Sans" w:cstheme="minorHAnsi"/>
          <w:color w:val="000000"/>
        </w:rPr>
        <w:t>Promover</w:t>
      </w:r>
      <w:r w:rsidRPr="0051709F">
        <w:rPr>
          <w:rFonts w:eastAsia="Open Sans" w:cstheme="minorHAnsi"/>
          <w:color w:val="000000"/>
        </w:rPr>
        <w:t xml:space="preserve"> programas </w:t>
      </w:r>
      <w:r>
        <w:rPr>
          <w:rFonts w:eastAsia="Open Sans" w:cstheme="minorHAnsi"/>
          <w:color w:val="000000"/>
        </w:rPr>
        <w:t xml:space="preserve">de formación </w:t>
      </w:r>
      <w:r w:rsidRPr="0051709F">
        <w:rPr>
          <w:rFonts w:eastAsia="Open Sans" w:cstheme="minorHAnsi"/>
          <w:color w:val="000000"/>
        </w:rPr>
        <w:t>para empoderar a los profesionales</w:t>
      </w:r>
      <w:r>
        <w:rPr>
          <w:rFonts w:eastAsia="Open Sans" w:cstheme="minorHAnsi"/>
          <w:color w:val="000000"/>
        </w:rPr>
        <w:t>,</w:t>
      </w:r>
      <w:r w:rsidRPr="0051709F">
        <w:rPr>
          <w:rFonts w:eastAsia="Open Sans" w:cstheme="minorHAnsi"/>
          <w:color w:val="000000"/>
        </w:rPr>
        <w:t xml:space="preserve"> a los diferentes grupos de población desde una perspectiva inclusiva, según género, edad, procedencia y condición, para que tengan herramientas y conocimientos sobre cómo realizar un abordaje holístico en promoción de hábitos de vida saludable (ED1 </w:t>
      </w:r>
      <w:r w:rsidRPr="0051709F">
        <w:rPr>
          <w:rFonts w:eastAsia="Open Sans" w:cstheme="minorHAnsi"/>
        </w:rPr>
        <w:t>a ED7)</w:t>
      </w:r>
      <w:r w:rsidRPr="0051709F">
        <w:rPr>
          <w:rFonts w:eastAsia="Open Sans" w:cstheme="minorHAnsi"/>
          <w:color w:val="000000"/>
        </w:rPr>
        <w:t xml:space="preserve">. </w:t>
      </w:r>
    </w:p>
    <w:p w14:paraId="5FA41E62" w14:textId="77777777" w:rsidR="00E84D14" w:rsidRDefault="00E84D14" w:rsidP="00E84D14">
      <w:pPr>
        <w:pBdr>
          <w:top w:val="nil"/>
          <w:left w:val="nil"/>
          <w:bottom w:val="nil"/>
          <w:right w:val="nil"/>
          <w:between w:val="nil"/>
        </w:pBdr>
        <w:ind w:right="-185"/>
        <w:jc w:val="both"/>
        <w:rPr>
          <w:rFonts w:eastAsia="Open Sans" w:cstheme="minorHAnsi"/>
          <w:color w:val="000000"/>
        </w:rPr>
      </w:pPr>
    </w:p>
    <w:p w14:paraId="2FE0436E" w14:textId="77777777" w:rsidR="00E84D14" w:rsidRDefault="00E84D14" w:rsidP="00E84D14">
      <w:pPr>
        <w:pBdr>
          <w:top w:val="nil"/>
          <w:left w:val="nil"/>
          <w:bottom w:val="nil"/>
          <w:right w:val="nil"/>
          <w:between w:val="nil"/>
        </w:pBdr>
        <w:ind w:right="-185"/>
        <w:jc w:val="both"/>
        <w:rPr>
          <w:rFonts w:eastAsia="Open Sans" w:cstheme="minorHAnsi"/>
          <w:color w:val="000000"/>
        </w:rPr>
      </w:pPr>
    </w:p>
    <w:p w14:paraId="498797D2" w14:textId="52FEA955" w:rsidR="00E84D14" w:rsidRPr="007B667D" w:rsidRDefault="00E84D14" w:rsidP="00E84D14">
      <w:pPr>
        <w:pStyle w:val="Ttulo2"/>
        <w:numPr>
          <w:ilvl w:val="0"/>
          <w:numId w:val="0"/>
        </w:numPr>
        <w:jc w:val="both"/>
        <w:rPr>
          <w:rFonts w:asciiTheme="minorHAnsi" w:hAnsiTheme="minorHAnsi" w:cstheme="minorHAnsi"/>
          <w:b/>
          <w:bCs/>
          <w:caps/>
          <w:sz w:val="24"/>
          <w:szCs w:val="24"/>
          <w:lang w:val="es-ES"/>
        </w:rPr>
      </w:pPr>
      <w:r w:rsidRPr="007B667D">
        <w:rPr>
          <w:rFonts w:asciiTheme="minorHAnsi" w:hAnsiTheme="minorHAnsi" w:cstheme="minorHAnsi"/>
          <w:b/>
          <w:bCs/>
          <w:caps/>
          <w:sz w:val="24"/>
          <w:szCs w:val="24"/>
          <w:lang w:val="es-ES"/>
        </w:rPr>
        <w:t xml:space="preserve">Acciones para aumentar la actividad física </w:t>
      </w:r>
      <w:r w:rsidR="00AA5E9D" w:rsidRPr="007B667D">
        <w:rPr>
          <w:rFonts w:asciiTheme="minorHAnsi" w:hAnsiTheme="minorHAnsi" w:cstheme="minorHAnsi"/>
          <w:b/>
          <w:bCs/>
          <w:caps/>
          <w:sz w:val="24"/>
          <w:szCs w:val="24"/>
          <w:lang w:val="es-ES"/>
        </w:rPr>
        <w:t>EN RELACIÓN CON EL</w:t>
      </w:r>
      <w:r w:rsidRPr="007B667D">
        <w:rPr>
          <w:rFonts w:asciiTheme="minorHAnsi" w:hAnsiTheme="minorHAnsi" w:cstheme="minorHAnsi"/>
          <w:b/>
          <w:bCs/>
          <w:caps/>
          <w:sz w:val="24"/>
          <w:szCs w:val="24"/>
          <w:lang w:val="es-ES"/>
        </w:rPr>
        <w:t xml:space="preserve"> entorno físico </w:t>
      </w:r>
    </w:p>
    <w:p w14:paraId="71D82A5A" w14:textId="77777777" w:rsidR="00E84D14" w:rsidRPr="0051709F" w:rsidRDefault="00E84D14" w:rsidP="00E84D14">
      <w:pPr>
        <w:pBdr>
          <w:top w:val="nil"/>
          <w:left w:val="nil"/>
          <w:bottom w:val="nil"/>
          <w:right w:val="nil"/>
          <w:between w:val="nil"/>
        </w:pBdr>
        <w:ind w:right="-185"/>
        <w:jc w:val="both"/>
        <w:rPr>
          <w:rFonts w:eastAsia="Open Sans" w:cstheme="minorHAnsi"/>
          <w:color w:val="000000"/>
        </w:rPr>
      </w:pPr>
    </w:p>
    <w:p w14:paraId="0CDDC173" w14:textId="77777777" w:rsidR="00E84D14" w:rsidRDefault="00E84D14" w:rsidP="00E84D14">
      <w:pPr>
        <w:pStyle w:val="Prrafodelista"/>
        <w:numPr>
          <w:ilvl w:val="0"/>
          <w:numId w:val="132"/>
        </w:numPr>
        <w:jc w:val="both"/>
        <w:rPr>
          <w:rFonts w:asciiTheme="minorHAnsi" w:hAnsiTheme="minorHAnsi" w:cstheme="minorHAnsi"/>
          <w:sz w:val="24"/>
          <w:szCs w:val="24"/>
          <w:lang w:val="es-ES"/>
        </w:rPr>
      </w:pPr>
      <w:r w:rsidRPr="00BB7A2A">
        <w:rPr>
          <w:rFonts w:asciiTheme="minorHAnsi" w:hAnsiTheme="minorHAnsi" w:cstheme="minorHAnsi"/>
          <w:sz w:val="24"/>
          <w:szCs w:val="24"/>
          <w:lang w:val="es-ES"/>
        </w:rPr>
        <w:t>Difundir e impulsar el modelo urbano de las Ciudades Activas: ciudades que, conscientes de la importancia de la actividad física, se comprometen a fomentar una cultura dinámica y saludable en los lugares donde sus habitantes viven, trabajan, aprenden, se mueven y se divierten.</w:t>
      </w:r>
    </w:p>
    <w:p w14:paraId="39B7AA05" w14:textId="77777777" w:rsidR="00A05338" w:rsidRPr="00BB7A2A" w:rsidRDefault="00A05338" w:rsidP="00A05338">
      <w:pPr>
        <w:pStyle w:val="Prrafodelista"/>
        <w:ind w:left="760"/>
        <w:jc w:val="both"/>
        <w:rPr>
          <w:rFonts w:asciiTheme="minorHAnsi" w:hAnsiTheme="minorHAnsi" w:cstheme="minorHAnsi"/>
          <w:sz w:val="24"/>
          <w:szCs w:val="24"/>
          <w:lang w:val="es-ES"/>
        </w:rPr>
      </w:pPr>
    </w:p>
    <w:p w14:paraId="32530AE8" w14:textId="77777777" w:rsidR="00E84D14" w:rsidRDefault="00E84D14" w:rsidP="00E84D14">
      <w:pPr>
        <w:pStyle w:val="Prrafodelista"/>
        <w:numPr>
          <w:ilvl w:val="0"/>
          <w:numId w:val="132"/>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Desarrollar un Libro Blanco y promoverla creación de un Observatorio de las Ciudades Activas a escala nacional.</w:t>
      </w:r>
    </w:p>
    <w:p w14:paraId="4FCF91A2" w14:textId="77777777" w:rsidR="00A05338" w:rsidRPr="00A05338" w:rsidRDefault="00A05338" w:rsidP="00A05338">
      <w:pPr>
        <w:pStyle w:val="Prrafodelista"/>
        <w:rPr>
          <w:rFonts w:asciiTheme="minorHAnsi" w:hAnsiTheme="minorHAnsi" w:cstheme="minorHAnsi"/>
          <w:sz w:val="24"/>
          <w:szCs w:val="24"/>
          <w:lang w:val="es-ES"/>
        </w:rPr>
      </w:pPr>
    </w:p>
    <w:p w14:paraId="36D62D9D" w14:textId="77777777" w:rsidR="00E84D14" w:rsidRDefault="00E84D14" w:rsidP="00E84D14">
      <w:pPr>
        <w:pStyle w:val="Prrafodelista"/>
        <w:numPr>
          <w:ilvl w:val="0"/>
          <w:numId w:val="132"/>
        </w:numPr>
        <w:jc w:val="both"/>
        <w:rPr>
          <w:rFonts w:asciiTheme="minorHAnsi" w:hAnsiTheme="minorHAnsi" w:cstheme="minorHAnsi"/>
          <w:sz w:val="24"/>
          <w:szCs w:val="24"/>
          <w:lang w:val="es-ES"/>
        </w:rPr>
      </w:pPr>
      <w:r w:rsidRPr="00DA6852">
        <w:rPr>
          <w:rFonts w:asciiTheme="minorHAnsi" w:hAnsiTheme="minorHAnsi" w:cstheme="minorHAnsi"/>
          <w:sz w:val="24"/>
          <w:szCs w:val="24"/>
          <w:lang w:val="es-ES"/>
        </w:rPr>
        <w:t>Promover la realización de auditorías urbanas para conocer las condiciones existentes de ciudades y territorios en relación con el fomento de la cultura activa y saludable.</w:t>
      </w:r>
    </w:p>
    <w:p w14:paraId="3045F0EE" w14:textId="77777777" w:rsidR="00A05338" w:rsidRPr="00A05338" w:rsidRDefault="00A05338" w:rsidP="00A05338">
      <w:pPr>
        <w:pStyle w:val="Prrafodelista"/>
        <w:rPr>
          <w:rFonts w:asciiTheme="minorHAnsi" w:hAnsiTheme="minorHAnsi" w:cstheme="minorHAnsi"/>
          <w:sz w:val="24"/>
          <w:szCs w:val="24"/>
          <w:lang w:val="es-ES"/>
        </w:rPr>
      </w:pPr>
    </w:p>
    <w:p w14:paraId="51A0B6E0" w14:textId="77777777" w:rsidR="00E84D14" w:rsidRDefault="00E84D14" w:rsidP="00E84D14">
      <w:pPr>
        <w:pStyle w:val="Prrafodelista"/>
        <w:numPr>
          <w:ilvl w:val="0"/>
          <w:numId w:val="132"/>
        </w:numPr>
        <w:jc w:val="both"/>
        <w:rPr>
          <w:rFonts w:asciiTheme="minorHAnsi" w:hAnsiTheme="minorHAnsi" w:cstheme="minorHAnsi"/>
          <w:sz w:val="24"/>
          <w:szCs w:val="24"/>
          <w:lang w:val="es-ES"/>
        </w:rPr>
      </w:pPr>
      <w:r w:rsidRPr="00CA549A">
        <w:rPr>
          <w:rFonts w:asciiTheme="minorHAnsi" w:hAnsiTheme="minorHAnsi" w:cstheme="minorHAnsi"/>
          <w:sz w:val="24"/>
          <w:szCs w:val="24"/>
          <w:lang w:val="es-ES"/>
        </w:rPr>
        <w:t>Fomentar la Elaboración y adopción de Planes Directores de Ciudad Activa.</w:t>
      </w:r>
    </w:p>
    <w:p w14:paraId="4A76252D" w14:textId="77777777" w:rsidR="00A05338" w:rsidRPr="00A05338" w:rsidRDefault="00A05338" w:rsidP="00A05338">
      <w:pPr>
        <w:pStyle w:val="Prrafodelista"/>
        <w:rPr>
          <w:rFonts w:asciiTheme="minorHAnsi" w:hAnsiTheme="minorHAnsi" w:cstheme="minorHAnsi"/>
          <w:sz w:val="24"/>
          <w:szCs w:val="24"/>
          <w:lang w:val="es-ES"/>
        </w:rPr>
      </w:pPr>
    </w:p>
    <w:p w14:paraId="1D949D39" w14:textId="77777777" w:rsidR="00E84D14" w:rsidRDefault="00E84D14" w:rsidP="00E84D14">
      <w:pPr>
        <w:pStyle w:val="Prrafodelista"/>
        <w:numPr>
          <w:ilvl w:val="0"/>
          <w:numId w:val="132"/>
        </w:numPr>
        <w:jc w:val="both"/>
        <w:rPr>
          <w:rFonts w:asciiTheme="minorHAnsi" w:hAnsiTheme="minorHAnsi" w:cstheme="minorHAnsi"/>
          <w:sz w:val="24"/>
          <w:szCs w:val="24"/>
          <w:lang w:val="es-ES"/>
        </w:rPr>
      </w:pPr>
      <w:r w:rsidRPr="00CA549A">
        <w:rPr>
          <w:rFonts w:asciiTheme="minorHAnsi" w:hAnsiTheme="minorHAnsi" w:cstheme="minorHAnsi"/>
          <w:sz w:val="24"/>
          <w:szCs w:val="24"/>
          <w:lang w:val="es-ES"/>
        </w:rPr>
        <w:lastRenderedPageBreak/>
        <w:t>Habilitar un programa de ayudas específico para la transformación activa de las Ciudades.</w:t>
      </w:r>
    </w:p>
    <w:p w14:paraId="6960521F" w14:textId="77777777" w:rsidR="00E84D14" w:rsidRDefault="00E84D14" w:rsidP="00E84D14"/>
    <w:p w14:paraId="49FD0237" w14:textId="77777777" w:rsidR="00F43666" w:rsidRDefault="00F43666" w:rsidP="00560971"/>
    <w:p w14:paraId="0825468D" w14:textId="77777777" w:rsidR="00560971" w:rsidRDefault="00560971" w:rsidP="00560971"/>
    <w:p w14:paraId="22D83C4D" w14:textId="77777777" w:rsidR="00560971" w:rsidRDefault="00560971" w:rsidP="00560971"/>
    <w:p w14:paraId="459383BF" w14:textId="77777777" w:rsidR="00F43666" w:rsidRDefault="00F43666" w:rsidP="00560971"/>
    <w:p w14:paraId="64B9C8DB" w14:textId="77777777" w:rsidR="00F43666" w:rsidRDefault="00F43666" w:rsidP="00560971"/>
    <w:p w14:paraId="3AA94A0F" w14:textId="77777777" w:rsidR="00F43666" w:rsidRDefault="00F43666" w:rsidP="00560971"/>
    <w:p w14:paraId="6FBCE1B2" w14:textId="77777777" w:rsidR="00F43666" w:rsidRDefault="00F43666" w:rsidP="00560971"/>
    <w:p w14:paraId="6794E676" w14:textId="77777777" w:rsidR="00F43666" w:rsidRDefault="00F43666" w:rsidP="00560971"/>
    <w:p w14:paraId="5BEBEF7B" w14:textId="77777777" w:rsidR="00F43666" w:rsidRDefault="00F43666" w:rsidP="00560971"/>
    <w:p w14:paraId="497D7738" w14:textId="77777777" w:rsidR="00F43666" w:rsidRDefault="00F43666" w:rsidP="00560971"/>
    <w:p w14:paraId="36207476" w14:textId="77777777" w:rsidR="00F43666" w:rsidRDefault="00F43666" w:rsidP="00560971"/>
    <w:p w14:paraId="7FF89D21" w14:textId="77777777" w:rsidR="00F43666" w:rsidRDefault="00F43666" w:rsidP="00560971"/>
    <w:p w14:paraId="407C7CC2" w14:textId="77777777" w:rsidR="00F43666" w:rsidRDefault="00F43666" w:rsidP="00560971"/>
    <w:p w14:paraId="4114FC8B" w14:textId="77777777" w:rsidR="00F43666" w:rsidRDefault="00F43666" w:rsidP="00560971"/>
    <w:p w14:paraId="130E8E24" w14:textId="77777777" w:rsidR="00F43666" w:rsidRDefault="00F43666" w:rsidP="00560971"/>
    <w:p w14:paraId="4B3FC473" w14:textId="77777777" w:rsidR="00F43666" w:rsidRDefault="00F43666" w:rsidP="00560971"/>
    <w:p w14:paraId="5370477D" w14:textId="77777777" w:rsidR="00F43666" w:rsidRDefault="00F43666" w:rsidP="00560971"/>
    <w:p w14:paraId="07AD5880" w14:textId="77777777" w:rsidR="00F43666" w:rsidRDefault="00F43666" w:rsidP="00560971"/>
    <w:p w14:paraId="5C3BE69A" w14:textId="77777777" w:rsidR="00F43666" w:rsidRDefault="00F43666" w:rsidP="00560971"/>
    <w:p w14:paraId="0A164160" w14:textId="77777777" w:rsidR="00F43666" w:rsidRDefault="00F43666" w:rsidP="00560971"/>
    <w:p w14:paraId="53E1A764" w14:textId="77777777" w:rsidR="00F43666" w:rsidRDefault="00F43666" w:rsidP="00560971"/>
    <w:p w14:paraId="249D427C" w14:textId="77777777" w:rsidR="00F43666" w:rsidRDefault="00F43666" w:rsidP="00560971"/>
    <w:p w14:paraId="34018217" w14:textId="77777777" w:rsidR="00F43666" w:rsidRDefault="00F43666" w:rsidP="00560971"/>
    <w:p w14:paraId="4A9687AA" w14:textId="77777777" w:rsidR="00F43666" w:rsidRDefault="00F43666" w:rsidP="00560971"/>
    <w:p w14:paraId="141D1B2B" w14:textId="77777777" w:rsidR="00F43666" w:rsidRDefault="00F43666" w:rsidP="00560971"/>
    <w:p w14:paraId="38CD0C68" w14:textId="77777777" w:rsidR="00F43666" w:rsidRDefault="00F43666" w:rsidP="00560971"/>
    <w:p w14:paraId="18C5475B" w14:textId="77777777" w:rsidR="00F43666" w:rsidRDefault="00F43666" w:rsidP="00560971"/>
    <w:p w14:paraId="6DBAD6F5" w14:textId="77777777" w:rsidR="00F43666" w:rsidRDefault="00F43666" w:rsidP="00560971"/>
    <w:p w14:paraId="1BA5AA8B" w14:textId="77777777" w:rsidR="00F43666" w:rsidRDefault="00F43666" w:rsidP="00560971"/>
    <w:p w14:paraId="4B09FB1A" w14:textId="77777777" w:rsidR="00F43666" w:rsidRDefault="00F43666" w:rsidP="00560971"/>
    <w:p w14:paraId="7AA95851" w14:textId="77777777" w:rsidR="00F43666" w:rsidRDefault="00F43666" w:rsidP="00560971"/>
    <w:p w14:paraId="0375EE16" w14:textId="77777777" w:rsidR="00F43666" w:rsidRDefault="00F43666" w:rsidP="00560971"/>
    <w:p w14:paraId="3DE5DF0E" w14:textId="77777777" w:rsidR="00F43666" w:rsidRDefault="00F43666" w:rsidP="00560971"/>
    <w:p w14:paraId="02923D7A" w14:textId="77777777" w:rsidR="00AA5E9D" w:rsidRDefault="00AA5E9D" w:rsidP="00560971"/>
    <w:p w14:paraId="0F07C696" w14:textId="77777777" w:rsidR="00AA5E9D" w:rsidRDefault="00AA5E9D" w:rsidP="00560971"/>
    <w:p w14:paraId="75AA76D9" w14:textId="77777777" w:rsidR="00AA5E9D" w:rsidRDefault="00AA5E9D" w:rsidP="00560971"/>
    <w:p w14:paraId="555091CC" w14:textId="77777777" w:rsidR="00F43666" w:rsidRDefault="00F43666" w:rsidP="00560971"/>
    <w:p w14:paraId="14AEB6DB" w14:textId="77777777" w:rsidR="00F43666" w:rsidRDefault="00F43666" w:rsidP="00560971"/>
    <w:p w14:paraId="3ED50DF8" w14:textId="77777777" w:rsidR="00F43666" w:rsidRDefault="00F43666" w:rsidP="00560971"/>
    <w:p w14:paraId="3B8E4FEB" w14:textId="77777777" w:rsidR="00F43666" w:rsidRDefault="00F43666" w:rsidP="00560971"/>
    <w:p w14:paraId="631A3209" w14:textId="77777777" w:rsidR="00F43666" w:rsidRDefault="00F43666" w:rsidP="00560971"/>
    <w:p w14:paraId="02F8824D" w14:textId="77777777" w:rsidR="00F43666" w:rsidRDefault="00F43666" w:rsidP="00560971"/>
    <w:p w14:paraId="550CDFBB" w14:textId="77777777" w:rsidR="00F43666" w:rsidRDefault="00F43666" w:rsidP="00560971"/>
    <w:p w14:paraId="326B7CA5" w14:textId="77777777" w:rsidR="00F43666" w:rsidRDefault="00F43666" w:rsidP="00560971"/>
    <w:p w14:paraId="01992190" w14:textId="77777777" w:rsidR="00F43666" w:rsidRDefault="00F43666" w:rsidP="00560971"/>
    <w:p w14:paraId="7BFA1CF5" w14:textId="77777777" w:rsidR="00F43666" w:rsidRDefault="00F43666" w:rsidP="00560971"/>
    <w:p w14:paraId="3CED55F0" w14:textId="77777777" w:rsidR="00F43666" w:rsidRDefault="00F43666" w:rsidP="00560971"/>
    <w:p w14:paraId="304DD1BB" w14:textId="77777777" w:rsidR="00F43666" w:rsidRDefault="00F43666" w:rsidP="00560971"/>
    <w:p w14:paraId="567B7C85" w14:textId="77777777" w:rsidR="00F43666" w:rsidRDefault="00F43666" w:rsidP="00560971"/>
    <w:p w14:paraId="692054B8" w14:textId="77777777" w:rsidR="00F43666" w:rsidRDefault="00F43666" w:rsidP="00560971"/>
    <w:p w14:paraId="0FAB5F93" w14:textId="77777777" w:rsidR="00F43666" w:rsidRDefault="00F43666" w:rsidP="00560971"/>
    <w:p w14:paraId="5218B269" w14:textId="77777777" w:rsidR="00F43666" w:rsidRDefault="00F43666" w:rsidP="00560971"/>
    <w:p w14:paraId="56EB238A" w14:textId="77777777" w:rsidR="00F43666" w:rsidRDefault="00F43666" w:rsidP="00560971"/>
    <w:p w14:paraId="635BD14E" w14:textId="7508C7E9" w:rsidR="00560971" w:rsidRDefault="00560971" w:rsidP="00560971">
      <w:pPr>
        <w:pStyle w:val="Ttulo1"/>
        <w:jc w:val="right"/>
        <w:rPr>
          <w:rFonts w:asciiTheme="minorHAnsi" w:hAnsiTheme="minorHAnsi" w:cstheme="minorHAnsi"/>
        </w:rPr>
      </w:pPr>
      <w:r w:rsidRPr="00560971">
        <w:rPr>
          <w:rFonts w:asciiTheme="minorHAnsi" w:hAnsiTheme="minorHAnsi" w:cstheme="minorHAnsi"/>
        </w:rPr>
        <w:t xml:space="preserve">Anexo </w:t>
      </w:r>
      <w:r w:rsidR="00D12DE8">
        <w:rPr>
          <w:rFonts w:asciiTheme="minorHAnsi" w:hAnsiTheme="minorHAnsi" w:cstheme="minorHAnsi"/>
        </w:rPr>
        <w:t>2</w:t>
      </w:r>
      <w:r>
        <w:rPr>
          <w:rFonts w:asciiTheme="minorHAnsi" w:hAnsiTheme="minorHAnsi" w:cstheme="minorHAnsi"/>
        </w:rPr>
        <w:t>:</w:t>
      </w:r>
      <w:r w:rsidRPr="00560971">
        <w:rPr>
          <w:rFonts w:asciiTheme="minorHAnsi" w:hAnsiTheme="minorHAnsi" w:cstheme="minorHAnsi"/>
        </w:rPr>
        <w:t xml:space="preserve"> </w:t>
      </w:r>
    </w:p>
    <w:p w14:paraId="57C312A2" w14:textId="77777777" w:rsidR="00560971" w:rsidRDefault="00560971" w:rsidP="00560971">
      <w:pPr>
        <w:pStyle w:val="Ttulo1"/>
        <w:jc w:val="right"/>
        <w:rPr>
          <w:rFonts w:asciiTheme="minorHAnsi" w:hAnsiTheme="minorHAnsi" w:cstheme="minorHAnsi"/>
        </w:rPr>
      </w:pPr>
    </w:p>
    <w:p w14:paraId="7C708FFC" w14:textId="547997D8" w:rsidR="00560971" w:rsidRPr="00560971" w:rsidRDefault="00560971" w:rsidP="00560971">
      <w:pPr>
        <w:pStyle w:val="Ttulo1"/>
        <w:jc w:val="right"/>
        <w:rPr>
          <w:rFonts w:asciiTheme="minorHAnsi" w:hAnsiTheme="minorHAnsi" w:cstheme="minorHAnsi"/>
        </w:rPr>
      </w:pPr>
      <w:r w:rsidRPr="00560971">
        <w:rPr>
          <w:rFonts w:asciiTheme="minorHAnsi" w:hAnsiTheme="minorHAnsi" w:cstheme="minorHAnsi"/>
        </w:rPr>
        <w:t xml:space="preserve">Referencias </w:t>
      </w:r>
    </w:p>
    <w:p w14:paraId="526EB708" w14:textId="77777777" w:rsidR="00560971" w:rsidRPr="00560971" w:rsidRDefault="00560971" w:rsidP="00560971"/>
    <w:p w14:paraId="42AD4715" w14:textId="2093843D" w:rsidR="0085322A" w:rsidRDefault="0085322A">
      <w:pPr>
        <w:rPr>
          <w:rFonts w:eastAsiaTheme="majorEastAsia" w:cstheme="minorHAnsi"/>
          <w:b/>
          <w:color w:val="2F5496" w:themeColor="accent1" w:themeShade="BF"/>
        </w:rPr>
      </w:pPr>
      <w:r>
        <w:rPr>
          <w:rFonts w:cstheme="minorHAnsi"/>
        </w:rPr>
        <w:br w:type="page"/>
      </w:r>
    </w:p>
    <w:p w14:paraId="4585C7BB" w14:textId="1633234C" w:rsidR="00EE5290" w:rsidRPr="00560971" w:rsidRDefault="00EE5290" w:rsidP="0032285C">
      <w:pPr>
        <w:pStyle w:val="Ttulo1"/>
        <w:rPr>
          <w:rFonts w:asciiTheme="minorHAnsi" w:hAnsiTheme="minorHAnsi" w:cstheme="minorHAnsi"/>
          <w:sz w:val="28"/>
          <w:szCs w:val="28"/>
        </w:rPr>
      </w:pPr>
      <w:r w:rsidRPr="00560971">
        <w:rPr>
          <w:rFonts w:asciiTheme="minorHAnsi" w:hAnsiTheme="minorHAnsi" w:cstheme="minorHAnsi"/>
          <w:sz w:val="28"/>
          <w:szCs w:val="28"/>
        </w:rPr>
        <w:lastRenderedPageBreak/>
        <w:t>A</w:t>
      </w:r>
      <w:r w:rsidR="00F63AB7" w:rsidRPr="00560971">
        <w:rPr>
          <w:rFonts w:asciiTheme="minorHAnsi" w:hAnsiTheme="minorHAnsi" w:cstheme="minorHAnsi"/>
          <w:sz w:val="28"/>
          <w:szCs w:val="28"/>
        </w:rPr>
        <w:t>nexo</w:t>
      </w:r>
      <w:r w:rsidRPr="00560971">
        <w:rPr>
          <w:rFonts w:asciiTheme="minorHAnsi" w:hAnsiTheme="minorHAnsi" w:cstheme="minorHAnsi"/>
          <w:sz w:val="28"/>
          <w:szCs w:val="28"/>
        </w:rPr>
        <w:t xml:space="preserve"> </w:t>
      </w:r>
      <w:r w:rsidR="00F43666">
        <w:rPr>
          <w:rFonts w:asciiTheme="minorHAnsi" w:hAnsiTheme="minorHAnsi" w:cstheme="minorHAnsi"/>
          <w:sz w:val="28"/>
          <w:szCs w:val="28"/>
        </w:rPr>
        <w:t>2:</w:t>
      </w:r>
      <w:r w:rsidRPr="00560971">
        <w:rPr>
          <w:rFonts w:asciiTheme="minorHAnsi" w:hAnsiTheme="minorHAnsi" w:cstheme="minorHAnsi"/>
          <w:sz w:val="28"/>
          <w:szCs w:val="28"/>
        </w:rPr>
        <w:t xml:space="preserve"> Referencias </w:t>
      </w:r>
    </w:p>
    <w:p w14:paraId="199ACB0B" w14:textId="77777777" w:rsidR="007564B6" w:rsidRPr="0051709F" w:rsidRDefault="007564B6" w:rsidP="007564B6">
      <w:pPr>
        <w:rPr>
          <w:rFonts w:cstheme="minorHAnsi"/>
          <w:lang w:val="es-ES_tradnl"/>
        </w:rPr>
      </w:pPr>
    </w:p>
    <w:p w14:paraId="2817966E" w14:textId="77777777" w:rsidR="0096003C" w:rsidRPr="0051709F" w:rsidRDefault="0096003C"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 xml:space="preserve">Abdin S, Welch RK, Byron-Daniel J, Meyrick J. The effectiveness of physical activity interventions in improving well-being across office-based workplace settings: a systematic review. Public Health. </w:t>
      </w:r>
      <w:proofErr w:type="gramStart"/>
      <w:r w:rsidRPr="0051709F">
        <w:rPr>
          <w:rFonts w:asciiTheme="minorHAnsi" w:hAnsiTheme="minorHAnsi" w:cstheme="minorHAnsi"/>
          <w:color w:val="000000"/>
          <w:sz w:val="24"/>
          <w:szCs w:val="24"/>
        </w:rPr>
        <w:t>2018;160:70</w:t>
      </w:r>
      <w:proofErr w:type="gramEnd"/>
      <w:r w:rsidRPr="0051709F">
        <w:rPr>
          <w:rFonts w:asciiTheme="minorHAnsi" w:hAnsiTheme="minorHAnsi" w:cstheme="minorHAnsi"/>
          <w:color w:val="000000"/>
          <w:sz w:val="24"/>
          <w:szCs w:val="24"/>
        </w:rPr>
        <w:t xml:space="preserve">–6. Available from: </w:t>
      </w:r>
      <w:r w:rsidRPr="0051709F">
        <w:rPr>
          <w:rFonts w:asciiTheme="minorHAnsi" w:hAnsiTheme="minorHAnsi" w:cstheme="minorHAnsi"/>
          <w:color w:val="0000FF"/>
          <w:sz w:val="24"/>
          <w:szCs w:val="24"/>
        </w:rPr>
        <w:t xml:space="preserve">https:// </w:t>
      </w:r>
      <w:proofErr w:type="spellStart"/>
      <w:r w:rsidRPr="0051709F">
        <w:rPr>
          <w:rFonts w:asciiTheme="minorHAnsi" w:hAnsiTheme="minorHAnsi" w:cstheme="minorHAnsi"/>
          <w:color w:val="0000FF"/>
          <w:sz w:val="24"/>
          <w:szCs w:val="24"/>
        </w:rPr>
        <w:t>doi</w:t>
      </w:r>
      <w:proofErr w:type="spellEnd"/>
      <w:r w:rsidRPr="0051709F">
        <w:rPr>
          <w:rFonts w:asciiTheme="minorHAnsi" w:hAnsiTheme="minorHAnsi" w:cstheme="minorHAnsi"/>
          <w:color w:val="0000FF"/>
          <w:sz w:val="24"/>
          <w:szCs w:val="24"/>
        </w:rPr>
        <w:t xml:space="preserve">. org/ 10. 1016/j. </w:t>
      </w:r>
      <w:proofErr w:type="spellStart"/>
      <w:r w:rsidRPr="0051709F">
        <w:rPr>
          <w:rFonts w:asciiTheme="minorHAnsi" w:hAnsiTheme="minorHAnsi" w:cstheme="minorHAnsi"/>
          <w:color w:val="0000FF"/>
          <w:sz w:val="24"/>
          <w:szCs w:val="24"/>
        </w:rPr>
        <w:t>puhe</w:t>
      </w:r>
      <w:proofErr w:type="spellEnd"/>
      <w:r w:rsidRPr="0051709F">
        <w:rPr>
          <w:rFonts w:asciiTheme="minorHAnsi" w:hAnsiTheme="minorHAnsi" w:cstheme="minorHAnsi"/>
          <w:color w:val="0000FF"/>
          <w:sz w:val="24"/>
          <w:szCs w:val="24"/>
        </w:rPr>
        <w:t>. 2018. 03. 029</w:t>
      </w:r>
      <w:r w:rsidRPr="0051709F">
        <w:rPr>
          <w:rFonts w:asciiTheme="minorHAnsi" w:hAnsiTheme="minorHAnsi" w:cstheme="minorHAnsi"/>
          <w:color w:val="000000"/>
          <w:sz w:val="24"/>
          <w:szCs w:val="24"/>
        </w:rPr>
        <w:t>.</w:t>
      </w:r>
    </w:p>
    <w:p w14:paraId="340CE89A" w14:textId="77777777" w:rsidR="00DC2106" w:rsidRPr="0051709F" w:rsidRDefault="00DC2106"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Abraham JM. Employer wellness programs — a work in progress. JAMA - J Am Med Assoc. 2019;321(15):1462–3.</w:t>
      </w:r>
    </w:p>
    <w:p w14:paraId="6C2EA125"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Active Well-being Initiative. (2017). </w:t>
      </w:r>
      <w:r w:rsidRPr="0051709F">
        <w:rPr>
          <w:rFonts w:asciiTheme="minorHAnsi" w:hAnsiTheme="minorHAnsi" w:cstheme="minorHAnsi"/>
          <w:i/>
          <w:iCs/>
          <w:sz w:val="24"/>
          <w:szCs w:val="24"/>
          <w:lang w:val="en-US"/>
        </w:rPr>
        <w:t xml:space="preserve">The 2017 Active Well-being Initiative White Paper on </w:t>
      </w:r>
      <w:proofErr w:type="spellStart"/>
      <w:r w:rsidRPr="0051709F">
        <w:rPr>
          <w:rFonts w:asciiTheme="minorHAnsi" w:hAnsiTheme="minorHAnsi" w:cstheme="minorHAnsi"/>
          <w:i/>
          <w:iCs/>
          <w:sz w:val="24"/>
          <w:szCs w:val="24"/>
          <w:lang w:val="en-US"/>
        </w:rPr>
        <w:t>urbanisation</w:t>
      </w:r>
      <w:proofErr w:type="spellEnd"/>
      <w:r w:rsidRPr="0051709F">
        <w:rPr>
          <w:rFonts w:asciiTheme="minorHAnsi" w:hAnsiTheme="minorHAnsi" w:cstheme="minorHAnsi"/>
          <w:i/>
          <w:iCs/>
          <w:sz w:val="24"/>
          <w:szCs w:val="24"/>
          <w:lang w:val="en-US"/>
        </w:rPr>
        <w:t>, non-communicable diseases and the potential for cities to enhance the individual and collective well-being of their population.</w:t>
      </w:r>
      <w:r w:rsidRPr="0051709F">
        <w:rPr>
          <w:rFonts w:asciiTheme="minorHAnsi" w:hAnsiTheme="minorHAnsi" w:cstheme="minorHAnsi"/>
          <w:sz w:val="24"/>
          <w:szCs w:val="24"/>
          <w:lang w:val="en-US"/>
        </w:rPr>
        <w:t xml:space="preserve"> Active Well-being Initiative. Retrieved from Active Well-being Initiative website: </w:t>
      </w:r>
      <w:proofErr w:type="gramStart"/>
      <w:r w:rsidRPr="0051709F">
        <w:rPr>
          <w:rFonts w:asciiTheme="minorHAnsi" w:hAnsiTheme="minorHAnsi" w:cstheme="minorHAnsi"/>
          <w:sz w:val="24"/>
          <w:szCs w:val="24"/>
          <w:lang w:val="en-US"/>
        </w:rPr>
        <w:t>http://activewellbeing.org/wp-content/uploads/2017/09/AWI-White-Paper-2017.pdf</w:t>
      </w:r>
      <w:proofErr w:type="gramEnd"/>
    </w:p>
    <w:p w14:paraId="0FA28450"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lang w:val="es-ES"/>
        </w:rPr>
      </w:pPr>
      <w:r w:rsidRPr="0051709F">
        <w:rPr>
          <w:rFonts w:asciiTheme="minorHAnsi" w:eastAsia="Times New Roman" w:hAnsiTheme="minorHAnsi" w:cstheme="minorHAnsi"/>
          <w:sz w:val="24"/>
          <w:szCs w:val="24"/>
          <w:lang w:val="es-ES"/>
        </w:rPr>
        <w:t xml:space="preserve">AECOSAN. (2016). </w:t>
      </w:r>
      <w:r w:rsidRPr="0051709F">
        <w:rPr>
          <w:rFonts w:asciiTheme="minorHAnsi" w:eastAsia="Times New Roman" w:hAnsiTheme="minorHAnsi" w:cstheme="minorHAnsi"/>
          <w:i/>
          <w:iCs/>
          <w:sz w:val="24"/>
          <w:szCs w:val="24"/>
          <w:lang w:val="es-ES"/>
        </w:rPr>
        <w:t>Estudio ALADINO 2015: Estudio de Vigilancia del Crecimiento, Alimentación, Actividad Física, Desarrollo Infantil y Obesidad en España 2015.</w:t>
      </w:r>
    </w:p>
    <w:p w14:paraId="1823D314" w14:textId="77777777" w:rsidR="007564B6" w:rsidRPr="0051709F" w:rsidRDefault="007564B6"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lang w:val="en-GB"/>
        </w:rPr>
        <w:t xml:space="preserve">Alfrey, L., Welch, R. (2022). Australian health and physical education Teachers’ philosophies and pedagogies of health. En J. Stirrup y O Hooper (Eds), </w:t>
      </w:r>
      <w:r w:rsidRPr="0051709F">
        <w:rPr>
          <w:rStyle w:val="html-italic"/>
          <w:rFonts w:asciiTheme="minorHAnsi" w:eastAsiaTheme="majorEastAsia" w:hAnsiTheme="minorHAnsi" w:cstheme="minorHAnsi"/>
          <w:lang w:val="en-GB"/>
        </w:rPr>
        <w:t xml:space="preserve">Critical Pedagogies in Physical Education, Physical Activity and Health </w:t>
      </w:r>
      <w:r w:rsidRPr="0051709F">
        <w:rPr>
          <w:rFonts w:asciiTheme="minorHAnsi" w:hAnsiTheme="minorHAnsi" w:cstheme="minorHAnsi"/>
          <w:lang w:val="en-GB"/>
        </w:rPr>
        <w:t xml:space="preserve">(pp. 103-115). </w:t>
      </w:r>
      <w:r w:rsidRPr="0051709F">
        <w:rPr>
          <w:rFonts w:asciiTheme="minorHAnsi" w:hAnsiTheme="minorHAnsi" w:cstheme="minorHAnsi"/>
        </w:rPr>
        <w:t xml:space="preserve">Routledge. </w:t>
      </w:r>
    </w:p>
    <w:p w14:paraId="3634A28B"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Allam, Z., Moreno, C., Chabaud, D., &amp; </w:t>
      </w:r>
      <w:proofErr w:type="spellStart"/>
      <w:r w:rsidRPr="0051709F">
        <w:rPr>
          <w:rFonts w:asciiTheme="minorHAnsi" w:hAnsiTheme="minorHAnsi" w:cstheme="minorHAnsi"/>
          <w:sz w:val="24"/>
          <w:szCs w:val="24"/>
          <w:lang w:val="en-US"/>
        </w:rPr>
        <w:t>Pratlong</w:t>
      </w:r>
      <w:proofErr w:type="spellEnd"/>
      <w:r w:rsidRPr="0051709F">
        <w:rPr>
          <w:rFonts w:asciiTheme="minorHAnsi" w:hAnsiTheme="minorHAnsi" w:cstheme="minorHAnsi"/>
          <w:sz w:val="24"/>
          <w:szCs w:val="24"/>
          <w:lang w:val="en-US"/>
        </w:rPr>
        <w:t xml:space="preserve">, F. (2022). Proximity-Based Planning and the “15-Minute City”: A Sustainable Model for the City of the Future. In </w:t>
      </w:r>
      <w:r w:rsidRPr="0051709F">
        <w:rPr>
          <w:rFonts w:asciiTheme="minorHAnsi" w:hAnsiTheme="minorHAnsi" w:cstheme="minorHAnsi"/>
          <w:i/>
          <w:iCs/>
          <w:sz w:val="24"/>
          <w:szCs w:val="24"/>
          <w:lang w:val="en-US"/>
        </w:rPr>
        <w:t>The Palgrave Handbook of Global Sustainability</w:t>
      </w:r>
      <w:r w:rsidRPr="0051709F">
        <w:rPr>
          <w:rFonts w:asciiTheme="minorHAnsi" w:hAnsiTheme="minorHAnsi" w:cstheme="minorHAnsi"/>
          <w:sz w:val="24"/>
          <w:szCs w:val="24"/>
          <w:lang w:val="en-US"/>
        </w:rPr>
        <w:t xml:space="preserve"> (pp. 1–20). Cham: Springer International Publishing. https://doi.org/10.1007/978-3-030-38948-2_178-1</w:t>
      </w:r>
    </w:p>
    <w:p w14:paraId="1E86072E" w14:textId="77777777" w:rsidR="00AE1A75" w:rsidRPr="0051709F" w:rsidRDefault="00AE1A75" w:rsidP="00E6399B">
      <w:pPr>
        <w:pStyle w:val="Prrafodelista"/>
        <w:numPr>
          <w:ilvl w:val="0"/>
          <w:numId w:val="78"/>
        </w:numPr>
        <w:spacing w:line="257" w:lineRule="auto"/>
        <w:jc w:val="both"/>
        <w:rPr>
          <w:rFonts w:asciiTheme="minorHAnsi" w:eastAsia="Calibri" w:hAnsiTheme="minorHAnsi" w:cstheme="minorHAnsi"/>
          <w:sz w:val="24"/>
          <w:szCs w:val="24"/>
          <w:lang w:val="es-ES"/>
        </w:rPr>
      </w:pPr>
      <w:r w:rsidRPr="0051709F">
        <w:rPr>
          <w:rFonts w:asciiTheme="minorHAnsi" w:eastAsia="Calibri" w:hAnsiTheme="minorHAnsi" w:cstheme="minorHAnsi"/>
          <w:sz w:val="24"/>
          <w:szCs w:val="24"/>
          <w:lang w:val="es-ES"/>
        </w:rPr>
        <w:t xml:space="preserve">Alonso-López RF. El Profesor de Educación Física: especialista del ejercicio físico. Lecturas: Educación Física y Deportes. Revista digital Buenos Aires. 2000;19. </w:t>
      </w:r>
      <w:proofErr w:type="spellStart"/>
      <w:proofErr w:type="gramStart"/>
      <w:r w:rsidRPr="0051709F">
        <w:rPr>
          <w:rFonts w:asciiTheme="minorHAnsi" w:eastAsia="Calibri" w:hAnsiTheme="minorHAnsi" w:cstheme="minorHAnsi"/>
          <w:sz w:val="24"/>
          <w:szCs w:val="24"/>
          <w:lang w:val="es-ES"/>
        </w:rPr>
        <w:t>Dispo</w:t>
      </w:r>
      <w:proofErr w:type="spellEnd"/>
      <w:r w:rsidRPr="0051709F">
        <w:rPr>
          <w:rFonts w:asciiTheme="minorHAnsi" w:eastAsia="Calibri" w:hAnsiTheme="minorHAnsi" w:cstheme="minorHAnsi"/>
          <w:sz w:val="24"/>
          <w:szCs w:val="24"/>
          <w:lang w:val="es-ES"/>
        </w:rPr>
        <w:t>[</w:t>
      </w:r>
      <w:proofErr w:type="gramEnd"/>
      <w:r w:rsidRPr="0051709F">
        <w:rPr>
          <w:rFonts w:asciiTheme="minorHAnsi" w:eastAsia="Calibri" w:hAnsiTheme="minorHAnsi" w:cstheme="minorHAnsi"/>
          <w:sz w:val="24"/>
          <w:szCs w:val="24"/>
          <w:lang w:val="es-ES"/>
        </w:rPr>
        <w:t>1]</w:t>
      </w:r>
      <w:proofErr w:type="spellStart"/>
      <w:r w:rsidRPr="0051709F">
        <w:rPr>
          <w:rFonts w:asciiTheme="minorHAnsi" w:eastAsia="Calibri" w:hAnsiTheme="minorHAnsi" w:cstheme="minorHAnsi"/>
          <w:sz w:val="24"/>
          <w:szCs w:val="24"/>
          <w:lang w:val="es-ES"/>
        </w:rPr>
        <w:t>nible</w:t>
      </w:r>
      <w:proofErr w:type="spellEnd"/>
      <w:r w:rsidRPr="0051709F">
        <w:rPr>
          <w:rFonts w:asciiTheme="minorHAnsi" w:eastAsia="Calibri" w:hAnsiTheme="minorHAnsi" w:cstheme="minorHAnsi"/>
          <w:sz w:val="24"/>
          <w:szCs w:val="24"/>
          <w:lang w:val="es-ES"/>
        </w:rPr>
        <w:t xml:space="preserve"> en: </w:t>
      </w:r>
      <w:hyperlink r:id="rId105" w:history="1">
        <w:r w:rsidRPr="0051709F">
          <w:rPr>
            <w:rStyle w:val="Hipervnculo"/>
            <w:rFonts w:asciiTheme="minorHAnsi" w:eastAsia="Calibri" w:hAnsiTheme="minorHAnsi" w:cstheme="minorHAnsi"/>
            <w:sz w:val="24"/>
            <w:szCs w:val="24"/>
            <w:lang w:val="es-ES"/>
          </w:rPr>
          <w:t>http://www.efdeportes.com/efd19/profef.htm</w:t>
        </w:r>
      </w:hyperlink>
      <w:r w:rsidRPr="0051709F">
        <w:rPr>
          <w:rFonts w:asciiTheme="minorHAnsi" w:eastAsia="Calibri" w:hAnsiTheme="minorHAnsi" w:cstheme="minorHAnsi"/>
          <w:sz w:val="24"/>
          <w:szCs w:val="24"/>
          <w:lang w:val="es-ES"/>
        </w:rPr>
        <w:t xml:space="preserve"> </w:t>
      </w:r>
    </w:p>
    <w:p w14:paraId="7A8AC604" w14:textId="3D6C9ECE" w:rsidR="005F46AB" w:rsidRPr="0051709F" w:rsidRDefault="005F46AB" w:rsidP="00E6399B">
      <w:pPr>
        <w:pStyle w:val="Bibliograf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Álvarez de Celis, F., Álvarez Insúa, J., Eguía, S., </w:t>
      </w:r>
      <w:proofErr w:type="spellStart"/>
      <w:r w:rsidRPr="0051709F">
        <w:rPr>
          <w:rFonts w:asciiTheme="minorHAnsi" w:hAnsiTheme="minorHAnsi" w:cstheme="minorHAnsi"/>
          <w:sz w:val="24"/>
          <w:szCs w:val="24"/>
        </w:rPr>
        <w:t>Persico</w:t>
      </w:r>
      <w:proofErr w:type="spellEnd"/>
      <w:r w:rsidRPr="0051709F">
        <w:rPr>
          <w:rFonts w:asciiTheme="minorHAnsi" w:hAnsiTheme="minorHAnsi" w:cstheme="minorHAnsi"/>
          <w:sz w:val="24"/>
          <w:szCs w:val="24"/>
        </w:rPr>
        <w:t xml:space="preserve">, M. E., </w:t>
      </w:r>
      <w:proofErr w:type="spellStart"/>
      <w:r w:rsidRPr="0051709F">
        <w:rPr>
          <w:rFonts w:asciiTheme="minorHAnsi" w:hAnsiTheme="minorHAnsi" w:cstheme="minorHAnsi"/>
          <w:sz w:val="24"/>
          <w:szCs w:val="24"/>
        </w:rPr>
        <w:t>Belacín</w:t>
      </w:r>
      <w:proofErr w:type="spellEnd"/>
      <w:r w:rsidRPr="0051709F">
        <w:rPr>
          <w:rFonts w:asciiTheme="minorHAnsi" w:hAnsiTheme="minorHAnsi" w:cstheme="minorHAnsi"/>
          <w:sz w:val="24"/>
          <w:szCs w:val="24"/>
        </w:rPr>
        <w:t xml:space="preserve">, S., &amp; Trípoli. (2014). </w:t>
      </w:r>
      <w:r w:rsidRPr="0051709F">
        <w:rPr>
          <w:rFonts w:asciiTheme="minorHAnsi" w:hAnsiTheme="minorHAnsi" w:cstheme="minorHAnsi"/>
          <w:i/>
          <w:iCs/>
          <w:sz w:val="24"/>
          <w:szCs w:val="24"/>
        </w:rPr>
        <w:t xml:space="preserve">Índice de </w:t>
      </w:r>
      <w:proofErr w:type="spellStart"/>
      <w:r w:rsidRPr="0051709F">
        <w:rPr>
          <w:rFonts w:asciiTheme="minorHAnsi" w:hAnsiTheme="minorHAnsi" w:cstheme="minorHAnsi"/>
          <w:i/>
          <w:iCs/>
          <w:sz w:val="24"/>
          <w:szCs w:val="24"/>
        </w:rPr>
        <w:t>Caminabilidad</w:t>
      </w:r>
      <w:proofErr w:type="spellEnd"/>
      <w:r w:rsidRPr="0051709F">
        <w:rPr>
          <w:rFonts w:asciiTheme="minorHAnsi" w:hAnsiTheme="minorHAnsi" w:cstheme="minorHAnsi"/>
          <w:i/>
          <w:iCs/>
          <w:sz w:val="24"/>
          <w:szCs w:val="24"/>
        </w:rPr>
        <w:t>. Metodología.</w:t>
      </w:r>
      <w:r w:rsidRPr="0051709F">
        <w:rPr>
          <w:rFonts w:asciiTheme="minorHAnsi" w:hAnsiTheme="minorHAnsi" w:cstheme="minorHAnsi"/>
          <w:sz w:val="24"/>
          <w:szCs w:val="24"/>
        </w:rPr>
        <w:t xml:space="preserve"> Secretaría de Planeamiento. Ministerio de Desarrollo Urbano. Gobierno de la Ciudad Autónoma de Buenos Aires. </w:t>
      </w:r>
      <w:proofErr w:type="spellStart"/>
      <w:r w:rsidRPr="0051709F">
        <w:rPr>
          <w:rFonts w:asciiTheme="minorHAnsi" w:hAnsiTheme="minorHAnsi" w:cstheme="minorHAnsi"/>
          <w:sz w:val="24"/>
          <w:szCs w:val="24"/>
        </w:rPr>
        <w:t>Retrieved</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from</w:t>
      </w:r>
      <w:proofErr w:type="spellEnd"/>
      <w:r w:rsidRPr="0051709F">
        <w:rPr>
          <w:rFonts w:asciiTheme="minorHAnsi" w:hAnsiTheme="minorHAnsi" w:cstheme="minorHAnsi"/>
          <w:sz w:val="24"/>
          <w:szCs w:val="24"/>
        </w:rPr>
        <w:t xml:space="preserve"> </w:t>
      </w:r>
      <w:hyperlink r:id="rId106" w:history="1">
        <w:r w:rsidR="00DA7EE5" w:rsidRPr="0051709F">
          <w:rPr>
            <w:rStyle w:val="Hipervnculo"/>
            <w:rFonts w:asciiTheme="minorHAnsi" w:hAnsiTheme="minorHAnsi" w:cstheme="minorHAnsi"/>
            <w:sz w:val="24"/>
            <w:szCs w:val="24"/>
          </w:rPr>
          <w:t>https://www.buenosaires.gob.ar/planeamiento/publicaciones/indicadores</w:t>
        </w:r>
      </w:hyperlink>
      <w:r w:rsidR="00DA7EE5" w:rsidRPr="0051709F">
        <w:rPr>
          <w:rFonts w:asciiTheme="minorHAnsi" w:hAnsiTheme="minorHAnsi" w:cstheme="minorHAnsi"/>
          <w:sz w:val="24"/>
          <w:szCs w:val="24"/>
        </w:rPr>
        <w:t xml:space="preserve"> </w:t>
      </w:r>
    </w:p>
    <w:p w14:paraId="2564CEF6" w14:textId="77777777" w:rsidR="00AE1A75" w:rsidRPr="0051709F" w:rsidRDefault="00AE1A75" w:rsidP="00E6399B">
      <w:pPr>
        <w:pStyle w:val="Prrafodelista"/>
        <w:numPr>
          <w:ilvl w:val="0"/>
          <w:numId w:val="78"/>
        </w:numPr>
        <w:spacing w:line="257" w:lineRule="auto"/>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rPr>
        <w:t xml:space="preserve">American College of Sports Medicine. Opinion Statement on Physical Fitness in </w:t>
      </w:r>
      <w:proofErr w:type="gramStart"/>
      <w:r w:rsidRPr="0051709F">
        <w:rPr>
          <w:rFonts w:asciiTheme="minorHAnsi" w:eastAsia="Calibri" w:hAnsiTheme="minorHAnsi" w:cstheme="minorHAnsi"/>
          <w:sz w:val="24"/>
          <w:szCs w:val="24"/>
        </w:rPr>
        <w:t>Chil[</w:t>
      </w:r>
      <w:proofErr w:type="gramEnd"/>
      <w:r w:rsidRPr="0051709F">
        <w:rPr>
          <w:rFonts w:asciiTheme="minorHAnsi" w:eastAsia="Calibri" w:hAnsiTheme="minorHAnsi" w:cstheme="minorHAnsi"/>
          <w:sz w:val="24"/>
          <w:szCs w:val="24"/>
        </w:rPr>
        <w:t>1]</w:t>
      </w:r>
      <w:proofErr w:type="spellStart"/>
      <w:r w:rsidRPr="0051709F">
        <w:rPr>
          <w:rFonts w:asciiTheme="minorHAnsi" w:eastAsia="Calibri" w:hAnsiTheme="minorHAnsi" w:cstheme="minorHAnsi"/>
          <w:sz w:val="24"/>
          <w:szCs w:val="24"/>
        </w:rPr>
        <w:t>dren</w:t>
      </w:r>
      <w:proofErr w:type="spellEnd"/>
      <w:r w:rsidRPr="0051709F">
        <w:rPr>
          <w:rFonts w:asciiTheme="minorHAnsi" w:eastAsia="Calibri" w:hAnsiTheme="minorHAnsi" w:cstheme="minorHAnsi"/>
          <w:sz w:val="24"/>
          <w:szCs w:val="24"/>
        </w:rPr>
        <w:t xml:space="preserve"> and Youth. </w:t>
      </w:r>
      <w:r w:rsidRPr="0051709F">
        <w:rPr>
          <w:rFonts w:asciiTheme="minorHAnsi" w:eastAsia="Calibri" w:hAnsiTheme="minorHAnsi" w:cstheme="minorHAnsi"/>
          <w:sz w:val="24"/>
          <w:szCs w:val="24"/>
          <w:lang w:val="en-GB"/>
        </w:rPr>
        <w:t xml:space="preserve">Medicine &amp; Science in Sports &amp; Exercise. </w:t>
      </w:r>
      <w:proofErr w:type="gramStart"/>
      <w:r w:rsidRPr="0051709F">
        <w:rPr>
          <w:rFonts w:asciiTheme="minorHAnsi" w:eastAsia="Calibri" w:hAnsiTheme="minorHAnsi" w:cstheme="minorHAnsi"/>
          <w:sz w:val="24"/>
          <w:szCs w:val="24"/>
          <w:lang w:val="en-GB"/>
        </w:rPr>
        <w:t>1988;4:422</w:t>
      </w:r>
      <w:proofErr w:type="gramEnd"/>
      <w:r w:rsidRPr="0051709F">
        <w:rPr>
          <w:rFonts w:asciiTheme="minorHAnsi" w:eastAsia="Calibri" w:hAnsiTheme="minorHAnsi" w:cstheme="minorHAnsi"/>
          <w:sz w:val="24"/>
          <w:szCs w:val="24"/>
          <w:lang w:val="en-GB"/>
        </w:rPr>
        <w:t>-423</w:t>
      </w:r>
    </w:p>
    <w:p w14:paraId="31655B2B" w14:textId="77777777" w:rsidR="007564B6" w:rsidRPr="0051709F" w:rsidRDefault="007564B6"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lang w:val="en-US"/>
        </w:rPr>
        <w:t xml:space="preserve">Anderman, L. H., y Anderman, E. M. (1999). Social predictors of changes in students’ achievement goal orientations. </w:t>
      </w:r>
      <w:r w:rsidRPr="0051709F">
        <w:rPr>
          <w:rFonts w:asciiTheme="minorHAnsi" w:hAnsiTheme="minorHAnsi" w:cstheme="minorHAnsi"/>
          <w:i/>
          <w:iCs/>
          <w:lang w:val="en-US"/>
        </w:rPr>
        <w:t>Contemporary Educational Psychology, 25</w:t>
      </w:r>
      <w:r w:rsidRPr="0051709F">
        <w:rPr>
          <w:rFonts w:asciiTheme="minorHAnsi" w:hAnsiTheme="minorHAnsi" w:cstheme="minorHAnsi"/>
          <w:lang w:val="en-US"/>
        </w:rPr>
        <w:t>, 21-37.</w:t>
      </w:r>
    </w:p>
    <w:p w14:paraId="18673D3E"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Anderson, J., Parker, W., Steyn, N. P., Grimsrud, A., Kolbe-Alexander, T., Lambert, E. V., y </w:t>
      </w:r>
      <w:proofErr w:type="spellStart"/>
      <w:r w:rsidRPr="0051709F">
        <w:rPr>
          <w:rFonts w:asciiTheme="minorHAnsi" w:hAnsiTheme="minorHAnsi" w:cstheme="minorHAnsi"/>
          <w:sz w:val="24"/>
          <w:szCs w:val="24"/>
        </w:rPr>
        <w:t>Mciza</w:t>
      </w:r>
      <w:proofErr w:type="spellEnd"/>
      <w:r w:rsidRPr="0051709F">
        <w:rPr>
          <w:rFonts w:asciiTheme="minorHAnsi" w:hAnsiTheme="minorHAnsi" w:cstheme="minorHAnsi"/>
          <w:sz w:val="24"/>
          <w:szCs w:val="24"/>
        </w:rPr>
        <w:t xml:space="preserve">, Z. (2009). </w:t>
      </w:r>
      <w:r w:rsidRPr="0051709F">
        <w:rPr>
          <w:rFonts w:asciiTheme="minorHAnsi" w:hAnsiTheme="minorHAnsi" w:cstheme="minorHAnsi"/>
          <w:i/>
          <w:iCs/>
          <w:sz w:val="24"/>
          <w:szCs w:val="24"/>
        </w:rPr>
        <w:t>Interventions on Diet and Physical Activity: What Works. Implementation of the Global Strategy on Diet, Physical Activity and Health</w:t>
      </w:r>
      <w:r w:rsidRPr="0051709F">
        <w:rPr>
          <w:rFonts w:asciiTheme="minorHAnsi" w:hAnsiTheme="minorHAnsi" w:cstheme="minorHAnsi"/>
          <w:sz w:val="24"/>
          <w:szCs w:val="24"/>
        </w:rPr>
        <w:t>. Summary report.</w:t>
      </w:r>
    </w:p>
    <w:p w14:paraId="4BA524FA"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Anderssen, N., y </w:t>
      </w:r>
      <w:proofErr w:type="spellStart"/>
      <w:r w:rsidRPr="0051709F">
        <w:rPr>
          <w:rFonts w:asciiTheme="minorHAnsi" w:hAnsiTheme="minorHAnsi" w:cstheme="minorHAnsi"/>
          <w:sz w:val="24"/>
          <w:szCs w:val="24"/>
        </w:rPr>
        <w:t>Wold</w:t>
      </w:r>
      <w:proofErr w:type="spellEnd"/>
      <w:r w:rsidRPr="0051709F">
        <w:rPr>
          <w:rFonts w:asciiTheme="minorHAnsi" w:hAnsiTheme="minorHAnsi" w:cstheme="minorHAnsi"/>
          <w:sz w:val="24"/>
          <w:szCs w:val="24"/>
        </w:rPr>
        <w:t xml:space="preserve">, B. (1992). Parental and peer influences on leisure-time physical activity in young adolescents. </w:t>
      </w:r>
      <w:r w:rsidRPr="0051709F">
        <w:rPr>
          <w:rFonts w:asciiTheme="minorHAnsi" w:hAnsiTheme="minorHAnsi" w:cstheme="minorHAnsi"/>
          <w:i/>
          <w:iCs/>
          <w:sz w:val="24"/>
          <w:szCs w:val="24"/>
        </w:rPr>
        <w:t>Research Quarterly for Exercise &amp; Sport, 63</w:t>
      </w:r>
      <w:r w:rsidRPr="0051709F">
        <w:rPr>
          <w:rFonts w:asciiTheme="minorHAnsi" w:hAnsiTheme="minorHAnsi" w:cstheme="minorHAnsi"/>
          <w:sz w:val="24"/>
          <w:szCs w:val="24"/>
        </w:rPr>
        <w:t xml:space="preserve">, 341-8. </w:t>
      </w:r>
    </w:p>
    <w:p w14:paraId="0F13FB5F" w14:textId="3B56D090"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lastRenderedPageBreak/>
        <w:t xml:space="preserve">Anne Hidalgo [@Anne_Hidalgo]. (2020, January 21). La #VilleDuQuartDHeure, </w:t>
      </w:r>
      <w:proofErr w:type="spellStart"/>
      <w:r w:rsidRPr="0051709F">
        <w:rPr>
          <w:rFonts w:asciiTheme="minorHAnsi" w:hAnsiTheme="minorHAnsi" w:cstheme="minorHAnsi"/>
          <w:sz w:val="24"/>
          <w:szCs w:val="24"/>
          <w:lang w:val="en-US"/>
        </w:rPr>
        <w:t>c’est</w:t>
      </w:r>
      <w:proofErr w:type="spellEnd"/>
      <w:r w:rsidRPr="0051709F">
        <w:rPr>
          <w:rFonts w:asciiTheme="minorHAnsi" w:hAnsiTheme="minorHAnsi" w:cstheme="minorHAnsi"/>
          <w:sz w:val="24"/>
          <w:szCs w:val="24"/>
          <w:lang w:val="en-US"/>
        </w:rPr>
        <w:t xml:space="preserve"> quoi? </w:t>
      </w:r>
      <w:proofErr w:type="spellStart"/>
      <w:r w:rsidRPr="0051709F">
        <w:rPr>
          <w:rFonts w:asciiTheme="minorHAnsi" w:hAnsiTheme="minorHAnsi" w:cstheme="minorHAnsi"/>
          <w:sz w:val="24"/>
          <w:szCs w:val="24"/>
          <w:lang w:val="en-US"/>
        </w:rPr>
        <w:t>C’est</w:t>
      </w:r>
      <w:proofErr w:type="spellEnd"/>
      <w:r w:rsidRPr="0051709F">
        <w:rPr>
          <w:rFonts w:asciiTheme="minorHAnsi" w:hAnsiTheme="minorHAnsi" w:cstheme="minorHAnsi"/>
          <w:sz w:val="24"/>
          <w:szCs w:val="24"/>
          <w:lang w:val="en-US"/>
        </w:rPr>
        <w:t xml:space="preserve"> la </w:t>
      </w:r>
      <w:proofErr w:type="spellStart"/>
      <w:r w:rsidRPr="0051709F">
        <w:rPr>
          <w:rFonts w:asciiTheme="minorHAnsi" w:hAnsiTheme="minorHAnsi" w:cstheme="minorHAnsi"/>
          <w:sz w:val="24"/>
          <w:szCs w:val="24"/>
          <w:lang w:val="en-US"/>
        </w:rPr>
        <w:t>ville</w:t>
      </w:r>
      <w:proofErr w:type="spellEnd"/>
      <w:r w:rsidRPr="0051709F">
        <w:rPr>
          <w:rFonts w:asciiTheme="minorHAnsi" w:hAnsiTheme="minorHAnsi" w:cstheme="minorHAnsi"/>
          <w:sz w:val="24"/>
          <w:szCs w:val="24"/>
          <w:lang w:val="en-US"/>
        </w:rPr>
        <w:t xml:space="preserve"> des </w:t>
      </w:r>
      <w:proofErr w:type="spellStart"/>
      <w:r w:rsidRPr="0051709F">
        <w:rPr>
          <w:rFonts w:asciiTheme="minorHAnsi" w:hAnsiTheme="minorHAnsi" w:cstheme="minorHAnsi"/>
          <w:sz w:val="24"/>
          <w:szCs w:val="24"/>
          <w:lang w:val="en-US"/>
        </w:rPr>
        <w:t>proximités</w:t>
      </w:r>
      <w:proofErr w:type="spellEnd"/>
      <w:r w:rsidRPr="0051709F">
        <w:rPr>
          <w:rFonts w:asciiTheme="minorHAnsi" w:hAnsiTheme="minorHAnsi" w:cstheme="minorHAnsi"/>
          <w:sz w:val="24"/>
          <w:szCs w:val="24"/>
          <w:lang w:val="en-US"/>
        </w:rPr>
        <w:t xml:space="preserve"> </w:t>
      </w:r>
      <w:proofErr w:type="spellStart"/>
      <w:r w:rsidRPr="0051709F">
        <w:rPr>
          <w:rFonts w:asciiTheme="minorHAnsi" w:hAnsiTheme="minorHAnsi" w:cstheme="minorHAnsi"/>
          <w:sz w:val="24"/>
          <w:szCs w:val="24"/>
          <w:lang w:val="en-US"/>
        </w:rPr>
        <w:t>où</w:t>
      </w:r>
      <w:proofErr w:type="spellEnd"/>
      <w:r w:rsidRPr="0051709F">
        <w:rPr>
          <w:rFonts w:asciiTheme="minorHAnsi" w:hAnsiTheme="minorHAnsi" w:cstheme="minorHAnsi"/>
          <w:sz w:val="24"/>
          <w:szCs w:val="24"/>
          <w:lang w:val="en-US"/>
        </w:rPr>
        <w:t xml:space="preserve"> </w:t>
      </w:r>
      <w:proofErr w:type="spellStart"/>
      <w:r w:rsidRPr="0051709F">
        <w:rPr>
          <w:rFonts w:asciiTheme="minorHAnsi" w:hAnsiTheme="minorHAnsi" w:cstheme="minorHAnsi"/>
          <w:sz w:val="24"/>
          <w:szCs w:val="24"/>
          <w:lang w:val="en-US"/>
        </w:rPr>
        <w:t>l’on</w:t>
      </w:r>
      <w:proofErr w:type="spellEnd"/>
      <w:r w:rsidRPr="0051709F">
        <w:rPr>
          <w:rFonts w:asciiTheme="minorHAnsi" w:hAnsiTheme="minorHAnsi" w:cstheme="minorHAnsi"/>
          <w:sz w:val="24"/>
          <w:szCs w:val="24"/>
          <w:lang w:val="en-US"/>
        </w:rPr>
        <w:t xml:space="preserve"> </w:t>
      </w:r>
      <w:proofErr w:type="spellStart"/>
      <w:r w:rsidRPr="0051709F">
        <w:rPr>
          <w:rFonts w:asciiTheme="minorHAnsi" w:hAnsiTheme="minorHAnsi" w:cstheme="minorHAnsi"/>
          <w:sz w:val="24"/>
          <w:szCs w:val="24"/>
          <w:lang w:val="en-US"/>
        </w:rPr>
        <w:t>trouve</w:t>
      </w:r>
      <w:proofErr w:type="spellEnd"/>
      <w:r w:rsidRPr="0051709F">
        <w:rPr>
          <w:rFonts w:asciiTheme="minorHAnsi" w:hAnsiTheme="minorHAnsi" w:cstheme="minorHAnsi"/>
          <w:sz w:val="24"/>
          <w:szCs w:val="24"/>
          <w:lang w:val="en-US"/>
        </w:rPr>
        <w:t xml:space="preserve"> tout </w:t>
      </w:r>
      <w:proofErr w:type="spellStart"/>
      <w:r w:rsidRPr="0051709F">
        <w:rPr>
          <w:rFonts w:asciiTheme="minorHAnsi" w:hAnsiTheme="minorHAnsi" w:cstheme="minorHAnsi"/>
          <w:sz w:val="24"/>
          <w:szCs w:val="24"/>
          <w:lang w:val="en-US"/>
        </w:rPr>
        <w:t>ce</w:t>
      </w:r>
      <w:proofErr w:type="spellEnd"/>
      <w:r w:rsidRPr="0051709F">
        <w:rPr>
          <w:rFonts w:asciiTheme="minorHAnsi" w:hAnsiTheme="minorHAnsi" w:cstheme="minorHAnsi"/>
          <w:sz w:val="24"/>
          <w:szCs w:val="24"/>
          <w:lang w:val="en-US"/>
        </w:rPr>
        <w:t xml:space="preserve"> </w:t>
      </w:r>
      <w:proofErr w:type="spellStart"/>
      <w:r w:rsidRPr="0051709F">
        <w:rPr>
          <w:rFonts w:asciiTheme="minorHAnsi" w:hAnsiTheme="minorHAnsi" w:cstheme="minorHAnsi"/>
          <w:sz w:val="24"/>
          <w:szCs w:val="24"/>
          <w:lang w:val="en-US"/>
        </w:rPr>
        <w:t>dont</w:t>
      </w:r>
      <w:proofErr w:type="spellEnd"/>
      <w:r w:rsidRPr="0051709F">
        <w:rPr>
          <w:rFonts w:asciiTheme="minorHAnsi" w:hAnsiTheme="minorHAnsi" w:cstheme="minorHAnsi"/>
          <w:sz w:val="24"/>
          <w:szCs w:val="24"/>
          <w:lang w:val="en-US"/>
        </w:rPr>
        <w:t xml:space="preserve"> on a </w:t>
      </w:r>
      <w:proofErr w:type="spellStart"/>
      <w:r w:rsidRPr="0051709F">
        <w:rPr>
          <w:rFonts w:asciiTheme="minorHAnsi" w:hAnsiTheme="minorHAnsi" w:cstheme="minorHAnsi"/>
          <w:sz w:val="24"/>
          <w:szCs w:val="24"/>
          <w:lang w:val="en-US"/>
        </w:rPr>
        <w:t>besoin</w:t>
      </w:r>
      <w:proofErr w:type="spellEnd"/>
      <w:r w:rsidRPr="0051709F">
        <w:rPr>
          <w:rFonts w:asciiTheme="minorHAnsi" w:hAnsiTheme="minorHAnsi" w:cstheme="minorHAnsi"/>
          <w:sz w:val="24"/>
          <w:szCs w:val="24"/>
          <w:lang w:val="en-US"/>
        </w:rPr>
        <w:t xml:space="preserve"> à </w:t>
      </w:r>
      <w:proofErr w:type="spellStart"/>
      <w:r w:rsidRPr="0051709F">
        <w:rPr>
          <w:rFonts w:asciiTheme="minorHAnsi" w:hAnsiTheme="minorHAnsi" w:cstheme="minorHAnsi"/>
          <w:sz w:val="24"/>
          <w:szCs w:val="24"/>
          <w:lang w:val="en-US"/>
        </w:rPr>
        <w:t>moins</w:t>
      </w:r>
      <w:proofErr w:type="spellEnd"/>
      <w:r w:rsidRPr="0051709F">
        <w:rPr>
          <w:rFonts w:asciiTheme="minorHAnsi" w:hAnsiTheme="minorHAnsi" w:cstheme="minorHAnsi"/>
          <w:sz w:val="24"/>
          <w:szCs w:val="24"/>
          <w:lang w:val="en-US"/>
        </w:rPr>
        <w:t xml:space="preserve"> de 15 minutes de chez soi. </w:t>
      </w:r>
      <w:proofErr w:type="spellStart"/>
      <w:r w:rsidRPr="0051709F">
        <w:rPr>
          <w:rFonts w:asciiTheme="minorHAnsi" w:hAnsiTheme="minorHAnsi" w:cstheme="minorHAnsi"/>
          <w:sz w:val="24"/>
          <w:szCs w:val="24"/>
        </w:rPr>
        <w:t>C’est</w:t>
      </w:r>
      <w:proofErr w:type="spellEnd"/>
      <w:r w:rsidRPr="0051709F">
        <w:rPr>
          <w:rFonts w:asciiTheme="minorHAnsi" w:hAnsiTheme="minorHAnsi" w:cstheme="minorHAnsi"/>
          <w:sz w:val="24"/>
          <w:szCs w:val="24"/>
        </w:rPr>
        <w:t xml:space="preserve"> la </w:t>
      </w:r>
      <w:proofErr w:type="spellStart"/>
      <w:r w:rsidRPr="0051709F">
        <w:rPr>
          <w:rFonts w:asciiTheme="minorHAnsi" w:hAnsiTheme="minorHAnsi" w:cstheme="minorHAnsi"/>
          <w:sz w:val="24"/>
          <w:szCs w:val="24"/>
        </w:rPr>
        <w:t>condition</w:t>
      </w:r>
      <w:proofErr w:type="spellEnd"/>
      <w:r w:rsidRPr="0051709F">
        <w:rPr>
          <w:rFonts w:asciiTheme="minorHAnsi" w:hAnsiTheme="minorHAnsi" w:cstheme="minorHAnsi"/>
          <w:sz w:val="24"/>
          <w:szCs w:val="24"/>
        </w:rPr>
        <w:t xml:space="preserve"> de la </w:t>
      </w:r>
      <w:proofErr w:type="spellStart"/>
      <w:r w:rsidRPr="0051709F">
        <w:rPr>
          <w:rFonts w:asciiTheme="minorHAnsi" w:hAnsiTheme="minorHAnsi" w:cstheme="minorHAnsi"/>
          <w:sz w:val="24"/>
          <w:szCs w:val="24"/>
        </w:rPr>
        <w:t>transformation</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écologique</w:t>
      </w:r>
      <w:proofErr w:type="spellEnd"/>
      <w:r w:rsidRPr="0051709F">
        <w:rPr>
          <w:rFonts w:asciiTheme="minorHAnsi" w:hAnsiTheme="minorHAnsi" w:cstheme="minorHAnsi"/>
          <w:sz w:val="24"/>
          <w:szCs w:val="24"/>
        </w:rPr>
        <w:t xml:space="preserve"> de la </w:t>
      </w:r>
      <w:proofErr w:type="spellStart"/>
      <w:r w:rsidRPr="0051709F">
        <w:rPr>
          <w:rFonts w:asciiTheme="minorHAnsi" w:hAnsiTheme="minorHAnsi" w:cstheme="minorHAnsi"/>
          <w:sz w:val="24"/>
          <w:szCs w:val="24"/>
        </w:rPr>
        <w:t>ville</w:t>
      </w:r>
      <w:proofErr w:type="spell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tout</w:t>
      </w:r>
      <w:proofErr w:type="spellEnd"/>
      <w:r w:rsidRPr="0051709F">
        <w:rPr>
          <w:rFonts w:asciiTheme="minorHAnsi" w:hAnsiTheme="minorHAnsi" w:cstheme="minorHAnsi"/>
          <w:sz w:val="24"/>
          <w:szCs w:val="24"/>
        </w:rPr>
        <w:t xml:space="preserve"> en </w:t>
      </w:r>
      <w:proofErr w:type="spellStart"/>
      <w:r w:rsidRPr="0051709F">
        <w:rPr>
          <w:rFonts w:asciiTheme="minorHAnsi" w:hAnsiTheme="minorHAnsi" w:cstheme="minorHAnsi"/>
          <w:sz w:val="24"/>
          <w:szCs w:val="24"/>
        </w:rPr>
        <w:t>améliorant</w:t>
      </w:r>
      <w:proofErr w:type="spellEnd"/>
      <w:r w:rsidRPr="0051709F">
        <w:rPr>
          <w:rFonts w:asciiTheme="minorHAnsi" w:hAnsiTheme="minorHAnsi" w:cstheme="minorHAnsi"/>
          <w:sz w:val="24"/>
          <w:szCs w:val="24"/>
        </w:rPr>
        <w:t xml:space="preserve"> </w:t>
      </w:r>
      <w:proofErr w:type="gramStart"/>
      <w:r w:rsidRPr="0051709F">
        <w:rPr>
          <w:rFonts w:asciiTheme="minorHAnsi" w:hAnsiTheme="minorHAnsi" w:cstheme="minorHAnsi"/>
          <w:sz w:val="24"/>
          <w:szCs w:val="24"/>
        </w:rPr>
        <w:t>la vie</w:t>
      </w:r>
      <w:proofErr w:type="gramEnd"/>
      <w:r w:rsidRPr="0051709F">
        <w:rPr>
          <w:rFonts w:asciiTheme="minorHAnsi" w:hAnsiTheme="minorHAnsi" w:cstheme="minorHAnsi"/>
          <w:sz w:val="24"/>
          <w:szCs w:val="24"/>
        </w:rPr>
        <w:t xml:space="preserve"> </w:t>
      </w:r>
      <w:proofErr w:type="spellStart"/>
      <w:r w:rsidRPr="0051709F">
        <w:rPr>
          <w:rFonts w:asciiTheme="minorHAnsi" w:hAnsiTheme="minorHAnsi" w:cstheme="minorHAnsi"/>
          <w:sz w:val="24"/>
          <w:szCs w:val="24"/>
        </w:rPr>
        <w:t>quotidienne</w:t>
      </w:r>
      <w:proofErr w:type="spellEnd"/>
      <w:r w:rsidRPr="0051709F">
        <w:rPr>
          <w:rFonts w:asciiTheme="minorHAnsi" w:hAnsiTheme="minorHAnsi" w:cstheme="minorHAnsi"/>
          <w:sz w:val="24"/>
          <w:szCs w:val="24"/>
        </w:rPr>
        <w:t xml:space="preserve"> des </w:t>
      </w:r>
      <w:proofErr w:type="spellStart"/>
      <w:r w:rsidRPr="0051709F">
        <w:rPr>
          <w:rFonts w:asciiTheme="minorHAnsi" w:hAnsiTheme="minorHAnsi" w:cstheme="minorHAnsi"/>
          <w:sz w:val="24"/>
          <w:szCs w:val="24"/>
        </w:rPr>
        <w:t>Parisiens</w:t>
      </w:r>
      <w:proofErr w:type="spellEnd"/>
      <w:r w:rsidRPr="0051709F">
        <w:rPr>
          <w:rFonts w:asciiTheme="minorHAnsi" w:hAnsiTheme="minorHAnsi" w:cstheme="minorHAnsi"/>
          <w:sz w:val="24"/>
          <w:szCs w:val="24"/>
        </w:rPr>
        <w:t xml:space="preserve">. </w:t>
      </w:r>
      <w:r w:rsidRPr="0051709F">
        <w:rPr>
          <w:rFonts w:ascii="Cambria Math" w:hAnsi="Cambria Math" w:cs="Cambria Math"/>
          <w:sz w:val="24"/>
          <w:szCs w:val="24"/>
        </w:rPr>
        <w:t>⤵</w:t>
      </w:r>
      <w:r w:rsidRPr="0051709F">
        <w:rPr>
          <w:rFonts w:ascii="Calibri" w:hAnsi="Calibri" w:cs="Calibri"/>
          <w:sz w:val="24"/>
          <w:szCs w:val="24"/>
        </w:rPr>
        <w:t>️</w:t>
      </w:r>
      <w:r w:rsidRPr="0051709F">
        <w:rPr>
          <w:rFonts w:asciiTheme="minorHAnsi" w:hAnsiTheme="minorHAnsi" w:cstheme="minorHAnsi"/>
          <w:sz w:val="24"/>
          <w:szCs w:val="24"/>
          <w:lang w:val="en-US"/>
        </w:rPr>
        <w:t xml:space="preserve"> #Hidalgo2020 https://t.co/lcQbPAjdxj [Tweet]. Retrieved July 10, 2023, from Twitter website: </w:t>
      </w:r>
      <w:hyperlink r:id="rId107" w:history="1">
        <w:r w:rsidR="00DA7EE5" w:rsidRPr="0051709F">
          <w:rPr>
            <w:rStyle w:val="Hipervnculo"/>
            <w:rFonts w:asciiTheme="minorHAnsi" w:hAnsiTheme="minorHAnsi" w:cstheme="minorHAnsi"/>
            <w:sz w:val="24"/>
            <w:szCs w:val="24"/>
            <w:lang w:val="en-US"/>
          </w:rPr>
          <w:t>https://twitter.com/Anne_Hidalgo/status/1219580627172888577</w:t>
        </w:r>
      </w:hyperlink>
      <w:r w:rsidR="00DA7EE5" w:rsidRPr="0051709F">
        <w:rPr>
          <w:rFonts w:asciiTheme="minorHAnsi" w:hAnsiTheme="minorHAnsi" w:cstheme="minorHAnsi"/>
          <w:sz w:val="24"/>
          <w:szCs w:val="24"/>
          <w:lang w:val="en-US"/>
        </w:rPr>
        <w:t xml:space="preserve"> </w:t>
      </w:r>
    </w:p>
    <w:p w14:paraId="5F2E18B9" w14:textId="451A7DD3" w:rsidR="000A69F6" w:rsidRPr="0051709F" w:rsidRDefault="000A69F6" w:rsidP="00E6399B">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Ara, I., Pérez, M. (Coordinadores). </w:t>
      </w:r>
      <w:r w:rsidRPr="0051709F">
        <w:rPr>
          <w:rFonts w:asciiTheme="minorHAnsi" w:hAnsiTheme="minorHAnsi" w:cstheme="minorHAnsi"/>
          <w:i/>
          <w:iCs/>
          <w:sz w:val="24"/>
          <w:szCs w:val="24"/>
          <w:lang w:val="es-ES"/>
        </w:rPr>
        <w:t>Beneficios del fomento de la actividad física y la práctica deportiva, en términos de mejora de la salud, el bienestar y la productividad empresarial</w:t>
      </w:r>
      <w:r w:rsidRPr="0051709F">
        <w:rPr>
          <w:rFonts w:asciiTheme="minorHAnsi" w:hAnsiTheme="minorHAnsi" w:cstheme="minorHAnsi"/>
          <w:sz w:val="24"/>
          <w:szCs w:val="24"/>
          <w:lang w:val="es-ES"/>
        </w:rPr>
        <w:t>. Instituto Nacional de Seguridad, Salud y Bienestar en el Trabajo (INSSBT), Madrid, 2017.</w:t>
      </w:r>
    </w:p>
    <w:p w14:paraId="06774D26" w14:textId="77777777" w:rsidR="000A69F6" w:rsidRPr="0051709F" w:rsidRDefault="000A69F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Ara, I., Mañas, A., Leal, J., Gómez, P (GRUPO GENUD TOLEDO, Universidad Castilla-La Mancha). </w:t>
      </w:r>
      <w:r w:rsidRPr="0051709F">
        <w:rPr>
          <w:rFonts w:asciiTheme="minorHAnsi" w:hAnsiTheme="minorHAnsi" w:cstheme="minorHAnsi"/>
          <w:i/>
          <w:iCs/>
          <w:sz w:val="24"/>
          <w:szCs w:val="24"/>
          <w:lang w:val="es-ES"/>
        </w:rPr>
        <w:t xml:space="preserve">“Informe sobre estrategias de promoción de actividad física en el entorno laboral”, </w:t>
      </w:r>
      <w:r w:rsidRPr="0051709F">
        <w:rPr>
          <w:rFonts w:asciiTheme="minorHAnsi" w:hAnsiTheme="minorHAnsi" w:cstheme="minorHAnsi"/>
          <w:sz w:val="24"/>
          <w:szCs w:val="24"/>
          <w:lang w:val="es-ES"/>
        </w:rPr>
        <w:t xml:space="preserve">España Se Mueve, 2021. </w:t>
      </w:r>
      <w:hyperlink r:id="rId108" w:history="1">
        <w:r w:rsidRPr="0051709F">
          <w:rPr>
            <w:rStyle w:val="Hipervnculo"/>
            <w:rFonts w:asciiTheme="minorHAnsi" w:hAnsiTheme="minorHAnsi" w:cstheme="minorHAnsi"/>
            <w:sz w:val="24"/>
            <w:szCs w:val="24"/>
          </w:rPr>
          <w:t>https://www.munideporte.com/imagenes/documentacion/ficheros/015AB43E.pdf</w:t>
        </w:r>
      </w:hyperlink>
      <w:r w:rsidRPr="0051709F">
        <w:rPr>
          <w:rFonts w:asciiTheme="minorHAnsi" w:hAnsiTheme="minorHAnsi" w:cstheme="minorHAnsi"/>
          <w:sz w:val="24"/>
          <w:szCs w:val="24"/>
        </w:rPr>
        <w:t xml:space="preserve"> </w:t>
      </w:r>
    </w:p>
    <w:p w14:paraId="1988602B"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n-GB"/>
        </w:rPr>
        <w:t>Armour, K. M., y Harris, J. (2013). Making the case for developing new PE-for-health pedagogies. </w:t>
      </w:r>
      <w:r w:rsidRPr="0051709F">
        <w:rPr>
          <w:rStyle w:val="html-italic"/>
          <w:rFonts w:asciiTheme="minorHAnsi" w:eastAsiaTheme="majorEastAsia" w:hAnsiTheme="minorHAnsi" w:cstheme="minorHAnsi"/>
          <w:sz w:val="24"/>
          <w:szCs w:val="24"/>
        </w:rPr>
        <w:t>Quest</w:t>
      </w:r>
      <w:r w:rsidRPr="0051709F">
        <w:rPr>
          <w:rFonts w:asciiTheme="minorHAnsi" w:hAnsiTheme="minorHAnsi" w:cstheme="minorHAnsi"/>
          <w:sz w:val="24"/>
          <w:szCs w:val="24"/>
        </w:rPr>
        <w:t>, </w:t>
      </w:r>
      <w:r w:rsidRPr="0051709F">
        <w:rPr>
          <w:rStyle w:val="html-italic"/>
          <w:rFonts w:asciiTheme="minorHAnsi" w:eastAsiaTheme="majorEastAsia" w:hAnsiTheme="minorHAnsi" w:cstheme="minorHAnsi"/>
          <w:sz w:val="24"/>
          <w:szCs w:val="24"/>
        </w:rPr>
        <w:t>65</w:t>
      </w:r>
      <w:r w:rsidRPr="0051709F">
        <w:rPr>
          <w:rFonts w:asciiTheme="minorHAnsi" w:hAnsiTheme="minorHAnsi" w:cstheme="minorHAnsi"/>
          <w:sz w:val="24"/>
          <w:szCs w:val="24"/>
        </w:rPr>
        <w:t xml:space="preserve">, 201-219. </w:t>
      </w:r>
    </w:p>
    <w:p w14:paraId="1FDE00D4" w14:textId="77777777" w:rsidR="007564B6" w:rsidRPr="0051709F" w:rsidRDefault="007564B6" w:rsidP="00E6399B">
      <w:pPr>
        <w:pStyle w:val="html-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shd w:val="clear" w:color="auto" w:fill="FFFFFF"/>
          <w:lang w:val="en-GB"/>
        </w:rPr>
        <w:t xml:space="preserve">Australian Curriculum, Assessment and Reporting Authority (ACARA) (2012). </w:t>
      </w:r>
      <w:proofErr w:type="spellStart"/>
      <w:r w:rsidRPr="0051709F">
        <w:rPr>
          <w:rFonts w:asciiTheme="minorHAnsi" w:hAnsiTheme="minorHAnsi" w:cstheme="minorHAnsi"/>
          <w:i/>
          <w:iCs/>
          <w:shd w:val="clear" w:color="auto" w:fill="FFFFFF"/>
        </w:rPr>
        <w:t>The</w:t>
      </w:r>
      <w:proofErr w:type="spellEnd"/>
      <w:r w:rsidRPr="0051709F">
        <w:rPr>
          <w:rFonts w:asciiTheme="minorHAnsi" w:hAnsiTheme="minorHAnsi" w:cstheme="minorHAnsi"/>
          <w:i/>
          <w:iCs/>
          <w:shd w:val="clear" w:color="auto" w:fill="FFFFFF"/>
        </w:rPr>
        <w:t xml:space="preserve"> </w:t>
      </w:r>
      <w:proofErr w:type="spellStart"/>
      <w:r w:rsidRPr="0051709F">
        <w:rPr>
          <w:rFonts w:asciiTheme="minorHAnsi" w:hAnsiTheme="minorHAnsi" w:cstheme="minorHAnsi"/>
          <w:i/>
          <w:iCs/>
          <w:shd w:val="clear" w:color="auto" w:fill="FFFFFF"/>
        </w:rPr>
        <w:t>Health</w:t>
      </w:r>
      <w:proofErr w:type="spellEnd"/>
      <w:r w:rsidRPr="0051709F">
        <w:rPr>
          <w:rFonts w:asciiTheme="minorHAnsi" w:hAnsiTheme="minorHAnsi" w:cstheme="minorHAnsi"/>
          <w:i/>
          <w:iCs/>
          <w:shd w:val="clear" w:color="auto" w:fill="FFFFFF"/>
        </w:rPr>
        <w:t xml:space="preserve"> and </w:t>
      </w:r>
      <w:proofErr w:type="spellStart"/>
      <w:r w:rsidRPr="0051709F">
        <w:rPr>
          <w:rFonts w:asciiTheme="minorHAnsi" w:hAnsiTheme="minorHAnsi" w:cstheme="minorHAnsi"/>
          <w:i/>
          <w:iCs/>
          <w:shd w:val="clear" w:color="auto" w:fill="FFFFFF"/>
        </w:rPr>
        <w:t>Physical</w:t>
      </w:r>
      <w:proofErr w:type="spellEnd"/>
      <w:r w:rsidRPr="0051709F">
        <w:rPr>
          <w:rFonts w:asciiTheme="minorHAnsi" w:hAnsiTheme="minorHAnsi" w:cstheme="minorHAnsi"/>
          <w:i/>
          <w:iCs/>
          <w:shd w:val="clear" w:color="auto" w:fill="FFFFFF"/>
        </w:rPr>
        <w:t xml:space="preserve"> </w:t>
      </w:r>
      <w:proofErr w:type="spellStart"/>
      <w:r w:rsidRPr="0051709F">
        <w:rPr>
          <w:rFonts w:asciiTheme="minorHAnsi" w:hAnsiTheme="minorHAnsi" w:cstheme="minorHAnsi"/>
          <w:i/>
          <w:iCs/>
          <w:shd w:val="clear" w:color="auto" w:fill="FFFFFF"/>
        </w:rPr>
        <w:t>Education</w:t>
      </w:r>
      <w:proofErr w:type="spellEnd"/>
      <w:r w:rsidRPr="0051709F">
        <w:rPr>
          <w:rFonts w:asciiTheme="minorHAnsi" w:hAnsiTheme="minorHAnsi" w:cstheme="minorHAnsi"/>
          <w:i/>
          <w:iCs/>
          <w:shd w:val="clear" w:color="auto" w:fill="FFFFFF"/>
        </w:rPr>
        <w:t xml:space="preserve"> </w:t>
      </w:r>
      <w:proofErr w:type="spellStart"/>
      <w:r w:rsidRPr="0051709F">
        <w:rPr>
          <w:rFonts w:asciiTheme="minorHAnsi" w:hAnsiTheme="minorHAnsi" w:cstheme="minorHAnsi"/>
          <w:i/>
          <w:iCs/>
          <w:shd w:val="clear" w:color="auto" w:fill="FFFFFF"/>
        </w:rPr>
        <w:t>Curriculum</w:t>
      </w:r>
      <w:proofErr w:type="spellEnd"/>
      <w:r w:rsidRPr="0051709F">
        <w:rPr>
          <w:rFonts w:asciiTheme="minorHAnsi" w:hAnsiTheme="minorHAnsi" w:cstheme="minorHAnsi"/>
          <w:i/>
          <w:iCs/>
          <w:shd w:val="clear" w:color="auto" w:fill="FFFFFF"/>
        </w:rPr>
        <w:t xml:space="preserve"> F-10.</w:t>
      </w:r>
      <w:r w:rsidRPr="0051709F">
        <w:rPr>
          <w:rFonts w:asciiTheme="minorHAnsi" w:hAnsiTheme="minorHAnsi" w:cstheme="minorHAnsi"/>
          <w:shd w:val="clear" w:color="auto" w:fill="FFFFFF"/>
        </w:rPr>
        <w:t xml:space="preserve"> ACARA.</w:t>
      </w:r>
    </w:p>
    <w:p w14:paraId="22D28921" w14:textId="77777777" w:rsidR="007564B6" w:rsidRPr="0051709F" w:rsidRDefault="007564B6" w:rsidP="00E6399B">
      <w:pPr>
        <w:pStyle w:val="html-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lang w:val="en-US"/>
        </w:rPr>
        <w:t xml:space="preserve">Bailey, B. W., y McInnis, K. (2011). Energy cost of exergaming: a comparison of the energy cost of 6 forms of exergaming. </w:t>
      </w:r>
      <w:r w:rsidRPr="0051709F">
        <w:rPr>
          <w:rFonts w:asciiTheme="minorHAnsi" w:hAnsiTheme="minorHAnsi" w:cstheme="minorHAnsi"/>
          <w:i/>
          <w:iCs/>
          <w:lang w:val="en-US"/>
        </w:rPr>
        <w:t>Archives of Pediatrics &amp; Adolescent Medicine, 165</w:t>
      </w:r>
      <w:r w:rsidRPr="0051709F">
        <w:rPr>
          <w:rFonts w:asciiTheme="minorHAnsi" w:hAnsiTheme="minorHAnsi" w:cstheme="minorHAnsi"/>
          <w:lang w:val="en-US"/>
        </w:rPr>
        <w:t>, 597-602.</w:t>
      </w:r>
    </w:p>
    <w:p w14:paraId="37CB91E9" w14:textId="77777777" w:rsidR="002F2A2B" w:rsidRPr="0051709F" w:rsidRDefault="002F2A2B"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Ayuntamiento de Vitoria-Gasteiz, Plan de Movilidad Sostenible y Espacio Público de Vitoria-Gasteiz (2021-2025)</w:t>
      </w:r>
    </w:p>
    <w:p w14:paraId="17A97469" w14:textId="77777777" w:rsidR="002F2A2B" w:rsidRPr="0051709F" w:rsidRDefault="002F2A2B"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Ayuntamiento de Vitoria-Gasteiz, Pacto Ciudadano por la Movilidad Sostenible</w:t>
      </w:r>
    </w:p>
    <w:p w14:paraId="01E36EBD"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Bandura, A. (1997). </w:t>
      </w:r>
      <w:r w:rsidRPr="0051709F">
        <w:rPr>
          <w:rFonts w:asciiTheme="minorHAnsi" w:hAnsiTheme="minorHAnsi" w:cstheme="minorHAnsi"/>
          <w:i/>
          <w:iCs/>
          <w:sz w:val="24"/>
          <w:szCs w:val="24"/>
        </w:rPr>
        <w:t>Self-efficacy: The Exercise of Control</w:t>
      </w:r>
      <w:r w:rsidRPr="0051709F">
        <w:rPr>
          <w:rFonts w:asciiTheme="minorHAnsi" w:hAnsiTheme="minorHAnsi" w:cstheme="minorHAnsi"/>
          <w:sz w:val="24"/>
          <w:szCs w:val="24"/>
        </w:rPr>
        <w:t>. New York: Freeman.</w:t>
      </w:r>
    </w:p>
    <w:p w14:paraId="0D1C0189"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Baranowski, T., Bar-Or, O., Blair, S., Corbin, C., Dowda, M., </w:t>
      </w:r>
      <w:proofErr w:type="spellStart"/>
      <w:r w:rsidRPr="0051709F">
        <w:rPr>
          <w:rFonts w:asciiTheme="minorHAnsi" w:hAnsiTheme="minorHAnsi" w:cstheme="minorHAnsi"/>
          <w:sz w:val="24"/>
          <w:szCs w:val="24"/>
        </w:rPr>
        <w:t>Freedson</w:t>
      </w:r>
      <w:proofErr w:type="spellEnd"/>
      <w:r w:rsidRPr="0051709F">
        <w:rPr>
          <w:rFonts w:asciiTheme="minorHAnsi" w:hAnsiTheme="minorHAnsi" w:cstheme="minorHAnsi"/>
          <w:sz w:val="24"/>
          <w:szCs w:val="24"/>
        </w:rPr>
        <w:t xml:space="preserve">, P., Pate, R., Plowman, S., Sallis, J., Saunders, R., Seefeldt, V., Siedentop, D., Simons-Morton, B., Spain, C., Tappe, M., y Ward, D. (1997). Guidelines for school and community programs to promote lifelong activity among young. </w:t>
      </w:r>
      <w:r w:rsidRPr="0051709F">
        <w:rPr>
          <w:rFonts w:asciiTheme="minorHAnsi" w:hAnsiTheme="minorHAnsi" w:cstheme="minorHAnsi"/>
          <w:i/>
          <w:iCs/>
          <w:sz w:val="24"/>
          <w:szCs w:val="24"/>
        </w:rPr>
        <w:t>Morbidity and Mortality Weekly Report, 46 (RR-6)</w:t>
      </w:r>
      <w:r w:rsidRPr="0051709F">
        <w:rPr>
          <w:rFonts w:asciiTheme="minorHAnsi" w:hAnsiTheme="minorHAnsi" w:cstheme="minorHAnsi"/>
          <w:sz w:val="24"/>
          <w:szCs w:val="24"/>
        </w:rPr>
        <w:t>, 1-36.</w:t>
      </w:r>
    </w:p>
    <w:p w14:paraId="700F2E70" w14:textId="77777777" w:rsidR="00D40FEF" w:rsidRPr="0051709F" w:rsidRDefault="00D40FEF" w:rsidP="00E6399B">
      <w:pPr>
        <w:pStyle w:val="Prrafodelista"/>
        <w:numPr>
          <w:ilvl w:val="0"/>
          <w:numId w:val="78"/>
        </w:numPr>
        <w:jc w:val="both"/>
        <w:rPr>
          <w:rFonts w:asciiTheme="minorHAnsi" w:eastAsiaTheme="minorEastAsia" w:hAnsiTheme="minorHAnsi" w:cstheme="minorHAnsi"/>
          <w:sz w:val="24"/>
          <w:szCs w:val="24"/>
        </w:rPr>
      </w:pPr>
      <w:r w:rsidRPr="0051709F">
        <w:rPr>
          <w:rFonts w:asciiTheme="minorHAnsi" w:eastAsiaTheme="minorEastAsia" w:hAnsiTheme="minorHAnsi" w:cstheme="minorHAnsi"/>
          <w:color w:val="212121"/>
          <w:sz w:val="24"/>
          <w:szCs w:val="24"/>
          <w:lang w:val="en-GB"/>
        </w:rPr>
        <w:t xml:space="preserve">Barbosa A, Brito J, Figueiredo P, Seabra A, Ding D, Mendes R. How much does it cost to implement a community-based walking football programme for patients with type 2 diabetes? </w:t>
      </w:r>
      <w:r w:rsidRPr="0051709F">
        <w:rPr>
          <w:rFonts w:asciiTheme="minorHAnsi" w:eastAsiaTheme="minorEastAsia" w:hAnsiTheme="minorHAnsi" w:cstheme="minorHAnsi"/>
          <w:color w:val="212121"/>
          <w:sz w:val="24"/>
          <w:szCs w:val="24"/>
        </w:rPr>
        <w:t xml:space="preserve">BMJ Open Sport </w:t>
      </w:r>
      <w:proofErr w:type="spellStart"/>
      <w:r w:rsidRPr="0051709F">
        <w:rPr>
          <w:rFonts w:asciiTheme="minorHAnsi" w:eastAsiaTheme="minorEastAsia" w:hAnsiTheme="minorHAnsi" w:cstheme="minorHAnsi"/>
          <w:color w:val="212121"/>
          <w:sz w:val="24"/>
          <w:szCs w:val="24"/>
        </w:rPr>
        <w:t>Exerc</w:t>
      </w:r>
      <w:proofErr w:type="spellEnd"/>
      <w:r w:rsidRPr="0051709F">
        <w:rPr>
          <w:rFonts w:asciiTheme="minorHAnsi" w:eastAsiaTheme="minorEastAsia" w:hAnsiTheme="minorHAnsi" w:cstheme="minorHAnsi"/>
          <w:color w:val="212121"/>
          <w:sz w:val="24"/>
          <w:szCs w:val="24"/>
        </w:rPr>
        <w:t xml:space="preserve"> Med. 2023 Jun 7;9(2</w:t>
      </w:r>
      <w:proofErr w:type="gramStart"/>
      <w:r w:rsidRPr="0051709F">
        <w:rPr>
          <w:rFonts w:asciiTheme="minorHAnsi" w:eastAsiaTheme="minorEastAsia" w:hAnsiTheme="minorHAnsi" w:cstheme="minorHAnsi"/>
          <w:color w:val="212121"/>
          <w:sz w:val="24"/>
          <w:szCs w:val="24"/>
        </w:rPr>
        <w:t>):e</w:t>
      </w:r>
      <w:proofErr w:type="gramEnd"/>
      <w:r w:rsidRPr="0051709F">
        <w:rPr>
          <w:rFonts w:asciiTheme="minorHAnsi" w:eastAsiaTheme="minorEastAsia" w:hAnsiTheme="minorHAnsi" w:cstheme="minorHAnsi"/>
          <w:color w:val="212121"/>
          <w:sz w:val="24"/>
          <w:szCs w:val="24"/>
        </w:rPr>
        <w:t xml:space="preserve">001549. </w:t>
      </w:r>
      <w:proofErr w:type="spellStart"/>
      <w:r w:rsidRPr="0051709F">
        <w:rPr>
          <w:rFonts w:asciiTheme="minorHAnsi" w:eastAsiaTheme="minorEastAsia" w:hAnsiTheme="minorHAnsi" w:cstheme="minorHAnsi"/>
          <w:color w:val="212121"/>
          <w:sz w:val="24"/>
          <w:szCs w:val="24"/>
        </w:rPr>
        <w:t>doi</w:t>
      </w:r>
      <w:proofErr w:type="spellEnd"/>
      <w:r w:rsidRPr="0051709F">
        <w:rPr>
          <w:rFonts w:asciiTheme="minorHAnsi" w:eastAsiaTheme="minorEastAsia" w:hAnsiTheme="minorHAnsi" w:cstheme="minorHAnsi"/>
          <w:color w:val="212121"/>
          <w:sz w:val="24"/>
          <w:szCs w:val="24"/>
        </w:rPr>
        <w:t>: 10.1136/bmjsem-2023-001549. PMID: 37304893; PMCID: PMC10254688.</w:t>
      </w:r>
    </w:p>
    <w:p w14:paraId="46554C87" w14:textId="77777777" w:rsidR="00993CD3" w:rsidRPr="0051709F" w:rsidRDefault="00993CD3" w:rsidP="00E6399B">
      <w:pPr>
        <w:pStyle w:val="Prrafodelista"/>
        <w:numPr>
          <w:ilvl w:val="0"/>
          <w:numId w:val="78"/>
        </w:numPr>
        <w:jc w:val="both"/>
        <w:rPr>
          <w:rStyle w:val="Hipervnculo"/>
          <w:rFonts w:asciiTheme="minorHAnsi" w:hAnsiTheme="minorHAnsi" w:cstheme="minorHAnsi"/>
          <w:color w:val="0068B6"/>
          <w:sz w:val="24"/>
          <w:szCs w:val="24"/>
        </w:rPr>
      </w:pPr>
      <w:r w:rsidRPr="0051709F">
        <w:rPr>
          <w:rFonts w:asciiTheme="minorHAnsi" w:hAnsiTheme="minorHAnsi" w:cstheme="minorHAnsi"/>
          <w:color w:val="333333"/>
          <w:sz w:val="24"/>
          <w:szCs w:val="24"/>
          <w:shd w:val="clear" w:color="auto" w:fill="ECEBEB"/>
        </w:rPr>
        <w:t>Bauman, A. et al. (2012), “Correlates of physical activity: why are some people physically active and others not?”, </w:t>
      </w:r>
      <w:r w:rsidRPr="0051709F">
        <w:rPr>
          <w:rStyle w:val="nfasis"/>
          <w:rFonts w:asciiTheme="minorHAnsi" w:hAnsiTheme="minorHAnsi" w:cstheme="minorHAnsi"/>
          <w:color w:val="333333"/>
          <w:sz w:val="24"/>
          <w:szCs w:val="24"/>
          <w:shd w:val="clear" w:color="auto" w:fill="ECEBEB"/>
        </w:rPr>
        <w:t>The Lancet</w:t>
      </w:r>
      <w:r w:rsidRPr="0051709F">
        <w:rPr>
          <w:rFonts w:asciiTheme="minorHAnsi" w:hAnsiTheme="minorHAnsi" w:cstheme="minorHAnsi"/>
          <w:color w:val="333333"/>
          <w:sz w:val="24"/>
          <w:szCs w:val="24"/>
          <w:shd w:val="clear" w:color="auto" w:fill="ECEBEB"/>
        </w:rPr>
        <w:t>, Vol. 380/9838, pp. 258-271, </w:t>
      </w:r>
      <w:hyperlink r:id="rId109" w:tgtFrame="_blank" w:history="1">
        <w:r w:rsidRPr="0051709F">
          <w:rPr>
            <w:rStyle w:val="Hipervnculo"/>
            <w:rFonts w:asciiTheme="minorHAnsi" w:hAnsiTheme="minorHAnsi" w:cstheme="minorHAnsi"/>
            <w:color w:val="0068B6"/>
            <w:sz w:val="24"/>
            <w:szCs w:val="24"/>
          </w:rPr>
          <w:t>https://doi.org/10.1016/s0140-6736(12)60735-1</w:t>
        </w:r>
      </w:hyperlink>
    </w:p>
    <w:p w14:paraId="06739315"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Beets, M. W., Vogel, R., </w:t>
      </w:r>
      <w:proofErr w:type="spellStart"/>
      <w:r w:rsidRPr="0051709F">
        <w:rPr>
          <w:rFonts w:asciiTheme="minorHAnsi" w:hAnsiTheme="minorHAnsi" w:cstheme="minorHAnsi"/>
          <w:sz w:val="24"/>
          <w:szCs w:val="24"/>
        </w:rPr>
        <w:t>Forlaw</w:t>
      </w:r>
      <w:proofErr w:type="spellEnd"/>
      <w:r w:rsidRPr="0051709F">
        <w:rPr>
          <w:rFonts w:asciiTheme="minorHAnsi" w:hAnsiTheme="minorHAnsi" w:cstheme="minorHAnsi"/>
          <w:sz w:val="24"/>
          <w:szCs w:val="24"/>
        </w:rPr>
        <w:t xml:space="preserve">, L., </w:t>
      </w:r>
      <w:proofErr w:type="spellStart"/>
      <w:r w:rsidRPr="0051709F">
        <w:rPr>
          <w:rFonts w:asciiTheme="minorHAnsi" w:hAnsiTheme="minorHAnsi" w:cstheme="minorHAnsi"/>
          <w:sz w:val="24"/>
          <w:szCs w:val="24"/>
        </w:rPr>
        <w:t>Pitetti</w:t>
      </w:r>
      <w:proofErr w:type="spellEnd"/>
      <w:r w:rsidRPr="0051709F">
        <w:rPr>
          <w:rFonts w:asciiTheme="minorHAnsi" w:hAnsiTheme="minorHAnsi" w:cstheme="minorHAnsi"/>
          <w:sz w:val="24"/>
          <w:szCs w:val="24"/>
        </w:rPr>
        <w:t xml:space="preserve">, K. H., y Cardinal, B. J. (2006). Social support and youth physical activity: the role of provider and type. </w:t>
      </w:r>
      <w:r w:rsidRPr="0051709F">
        <w:rPr>
          <w:rFonts w:asciiTheme="minorHAnsi" w:hAnsiTheme="minorHAnsi" w:cstheme="minorHAnsi"/>
          <w:i/>
          <w:iCs/>
          <w:sz w:val="24"/>
          <w:szCs w:val="24"/>
        </w:rPr>
        <w:t>American Journal of Health Behavior, 30</w:t>
      </w:r>
      <w:r w:rsidRPr="0051709F">
        <w:rPr>
          <w:rFonts w:asciiTheme="minorHAnsi" w:hAnsiTheme="minorHAnsi" w:cstheme="minorHAnsi"/>
          <w:sz w:val="24"/>
          <w:szCs w:val="24"/>
        </w:rPr>
        <w:t>, 278-89.</w:t>
      </w:r>
    </w:p>
    <w:p w14:paraId="1ADE3A7A" w14:textId="77777777" w:rsidR="007564B6" w:rsidRPr="0051709F" w:rsidRDefault="007564B6"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 xml:space="preserve">Beltrán, V. J., Devís, J., y Peiró, C. (2012). Actividad física y sedentarismo en adolescentes de la Comunidad Valenciana. </w:t>
      </w:r>
      <w:r w:rsidRPr="0051709F">
        <w:rPr>
          <w:rFonts w:asciiTheme="minorHAnsi" w:hAnsiTheme="minorHAnsi" w:cstheme="minorHAnsi"/>
          <w:i/>
          <w:iCs/>
          <w:sz w:val="24"/>
          <w:szCs w:val="24"/>
          <w:lang w:val="es-ES"/>
        </w:rPr>
        <w:t>Revista Internacional de Medicina y Ciencias de la Actividad Física y el Deporte, 12(45)</w:t>
      </w:r>
      <w:r w:rsidRPr="0051709F">
        <w:rPr>
          <w:rFonts w:asciiTheme="minorHAnsi" w:hAnsiTheme="minorHAnsi" w:cstheme="minorHAnsi"/>
          <w:sz w:val="24"/>
          <w:szCs w:val="24"/>
          <w:lang w:val="es-ES"/>
        </w:rPr>
        <w:t xml:space="preserve">, 122-137. </w:t>
      </w:r>
    </w:p>
    <w:p w14:paraId="5A762B32"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proofErr w:type="spellStart"/>
      <w:r w:rsidRPr="0051709F">
        <w:rPr>
          <w:rFonts w:asciiTheme="minorHAnsi" w:hAnsiTheme="minorHAnsi" w:cstheme="minorHAnsi"/>
          <w:sz w:val="24"/>
          <w:szCs w:val="24"/>
        </w:rPr>
        <w:lastRenderedPageBreak/>
        <w:t>Biddiss</w:t>
      </w:r>
      <w:proofErr w:type="spellEnd"/>
      <w:r w:rsidRPr="0051709F">
        <w:rPr>
          <w:rFonts w:asciiTheme="minorHAnsi" w:hAnsiTheme="minorHAnsi" w:cstheme="minorHAnsi"/>
          <w:sz w:val="24"/>
          <w:szCs w:val="24"/>
        </w:rPr>
        <w:t xml:space="preserve">, E., y Irwin, J. (2010). Active video games to promote physical activity in children and youth: a systematic review. </w:t>
      </w:r>
      <w:r w:rsidRPr="0051709F">
        <w:rPr>
          <w:rFonts w:asciiTheme="minorHAnsi" w:hAnsiTheme="minorHAnsi" w:cstheme="minorHAnsi"/>
          <w:i/>
          <w:iCs/>
          <w:sz w:val="24"/>
          <w:szCs w:val="24"/>
        </w:rPr>
        <w:t>Archives of Pediatrics &amp; Adolescent Medicine, 164</w:t>
      </w:r>
      <w:r w:rsidRPr="0051709F">
        <w:rPr>
          <w:rFonts w:asciiTheme="minorHAnsi" w:hAnsiTheme="minorHAnsi" w:cstheme="minorHAnsi"/>
          <w:sz w:val="24"/>
          <w:szCs w:val="24"/>
        </w:rPr>
        <w:t>, 664-672.</w:t>
      </w:r>
    </w:p>
    <w:p w14:paraId="0263FE0D"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Biddle, S. J., y </w:t>
      </w:r>
      <w:proofErr w:type="spellStart"/>
      <w:r w:rsidRPr="0051709F">
        <w:rPr>
          <w:rFonts w:asciiTheme="minorHAnsi" w:hAnsiTheme="minorHAnsi" w:cstheme="minorHAnsi"/>
          <w:sz w:val="24"/>
          <w:szCs w:val="24"/>
        </w:rPr>
        <w:t>Chatzisarantis</w:t>
      </w:r>
      <w:proofErr w:type="spellEnd"/>
      <w:r w:rsidRPr="0051709F">
        <w:rPr>
          <w:rFonts w:asciiTheme="minorHAnsi" w:hAnsiTheme="minorHAnsi" w:cstheme="minorHAnsi"/>
          <w:sz w:val="24"/>
          <w:szCs w:val="24"/>
        </w:rPr>
        <w:t xml:space="preserve">, N. (1999). </w:t>
      </w:r>
      <w:r w:rsidRPr="0051709F">
        <w:rPr>
          <w:rFonts w:asciiTheme="minorHAnsi" w:hAnsiTheme="minorHAnsi" w:cstheme="minorHAnsi"/>
          <w:i/>
          <w:iCs/>
          <w:sz w:val="24"/>
          <w:szCs w:val="24"/>
        </w:rPr>
        <w:t>Motivation for a physically active lifestyle through physical education</w:t>
      </w:r>
      <w:r w:rsidRPr="0051709F">
        <w:rPr>
          <w:rFonts w:asciiTheme="minorHAnsi" w:hAnsiTheme="minorHAnsi" w:cstheme="minorHAnsi"/>
          <w:sz w:val="24"/>
          <w:szCs w:val="24"/>
        </w:rPr>
        <w:t xml:space="preserve">. En Vanden, Y., Bakker, F., Biddle, S., Durand, M. y Seiler, R. (Eds.), Psychology for physical educators (pp. 5-26). Champaign, IL: Human Kinetics. </w:t>
      </w:r>
    </w:p>
    <w:p w14:paraId="5115E6E1"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Blaes, A., </w:t>
      </w:r>
      <w:proofErr w:type="spellStart"/>
      <w:r w:rsidRPr="0051709F">
        <w:rPr>
          <w:rFonts w:asciiTheme="minorHAnsi" w:hAnsiTheme="minorHAnsi" w:cstheme="minorHAnsi"/>
          <w:sz w:val="24"/>
          <w:szCs w:val="24"/>
        </w:rPr>
        <w:t>Ridgers</w:t>
      </w:r>
      <w:proofErr w:type="spellEnd"/>
      <w:r w:rsidRPr="0051709F">
        <w:rPr>
          <w:rFonts w:asciiTheme="minorHAnsi" w:hAnsiTheme="minorHAnsi" w:cstheme="minorHAnsi"/>
          <w:sz w:val="24"/>
          <w:szCs w:val="24"/>
        </w:rPr>
        <w:t xml:space="preserve">, N. D., </w:t>
      </w:r>
      <w:proofErr w:type="spellStart"/>
      <w:r w:rsidRPr="0051709F">
        <w:rPr>
          <w:rFonts w:asciiTheme="minorHAnsi" w:hAnsiTheme="minorHAnsi" w:cstheme="minorHAnsi"/>
          <w:sz w:val="24"/>
          <w:szCs w:val="24"/>
        </w:rPr>
        <w:t>Aucouturier</w:t>
      </w:r>
      <w:proofErr w:type="spellEnd"/>
      <w:r w:rsidRPr="0051709F">
        <w:rPr>
          <w:rFonts w:asciiTheme="minorHAnsi" w:hAnsiTheme="minorHAnsi" w:cstheme="minorHAnsi"/>
          <w:sz w:val="24"/>
          <w:szCs w:val="24"/>
        </w:rPr>
        <w:t xml:space="preserve">, J., Van </w:t>
      </w:r>
      <w:proofErr w:type="spellStart"/>
      <w:r w:rsidRPr="0051709F">
        <w:rPr>
          <w:rFonts w:asciiTheme="minorHAnsi" w:hAnsiTheme="minorHAnsi" w:cstheme="minorHAnsi"/>
          <w:sz w:val="24"/>
          <w:szCs w:val="24"/>
        </w:rPr>
        <w:t>Praagh</w:t>
      </w:r>
      <w:proofErr w:type="spellEnd"/>
      <w:r w:rsidRPr="0051709F">
        <w:rPr>
          <w:rFonts w:asciiTheme="minorHAnsi" w:hAnsiTheme="minorHAnsi" w:cstheme="minorHAnsi"/>
          <w:sz w:val="24"/>
          <w:szCs w:val="24"/>
        </w:rPr>
        <w:t xml:space="preserve">, E., </w:t>
      </w:r>
      <w:proofErr w:type="spellStart"/>
      <w:r w:rsidRPr="0051709F">
        <w:rPr>
          <w:rFonts w:asciiTheme="minorHAnsi" w:hAnsiTheme="minorHAnsi" w:cstheme="minorHAnsi"/>
          <w:sz w:val="24"/>
          <w:szCs w:val="24"/>
        </w:rPr>
        <w:t>Berthoin</w:t>
      </w:r>
      <w:proofErr w:type="spellEnd"/>
      <w:r w:rsidRPr="0051709F">
        <w:rPr>
          <w:rFonts w:asciiTheme="minorHAnsi" w:hAnsiTheme="minorHAnsi" w:cstheme="minorHAnsi"/>
          <w:sz w:val="24"/>
          <w:szCs w:val="24"/>
        </w:rPr>
        <w:t xml:space="preserve">, S., y Baquet, G. (2013). Effects of a playground marking intervention on school recess physical activity in French children. </w:t>
      </w:r>
      <w:r w:rsidRPr="0051709F">
        <w:rPr>
          <w:rFonts w:asciiTheme="minorHAnsi" w:hAnsiTheme="minorHAnsi" w:cstheme="minorHAnsi"/>
          <w:i/>
          <w:iCs/>
          <w:sz w:val="24"/>
          <w:szCs w:val="24"/>
        </w:rPr>
        <w:t>Preventive Medicine 57</w:t>
      </w:r>
      <w:r w:rsidRPr="0051709F">
        <w:rPr>
          <w:rFonts w:asciiTheme="minorHAnsi" w:hAnsiTheme="minorHAnsi" w:cstheme="minorHAnsi"/>
          <w:sz w:val="24"/>
          <w:szCs w:val="24"/>
        </w:rPr>
        <w:t>, 580-584.</w:t>
      </w:r>
    </w:p>
    <w:p w14:paraId="2711F453" w14:textId="77777777" w:rsidR="00CE5BB3" w:rsidRPr="0051709F" w:rsidRDefault="00CE5BB3"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rPr>
        <w:t>Blasco Abad, J. A., Lahoz Palacio, C. F., &amp; Martínez-</w:t>
      </w:r>
      <w:proofErr w:type="spellStart"/>
      <w:r w:rsidRPr="0051709F">
        <w:rPr>
          <w:rFonts w:asciiTheme="minorHAnsi" w:hAnsiTheme="minorHAnsi" w:cstheme="minorHAnsi"/>
          <w:sz w:val="24"/>
          <w:szCs w:val="24"/>
        </w:rPr>
        <w:t>Arrarás</w:t>
      </w:r>
      <w:proofErr w:type="spellEnd"/>
      <w:r w:rsidRPr="0051709F">
        <w:rPr>
          <w:rFonts w:asciiTheme="minorHAnsi" w:hAnsiTheme="minorHAnsi" w:cstheme="minorHAnsi"/>
          <w:sz w:val="24"/>
          <w:szCs w:val="24"/>
        </w:rPr>
        <w:t xml:space="preserve"> Caro, C. (2022). </w:t>
      </w:r>
      <w:r w:rsidRPr="0051709F">
        <w:rPr>
          <w:rFonts w:asciiTheme="minorHAnsi" w:hAnsiTheme="minorHAnsi" w:cstheme="minorHAnsi"/>
          <w:i/>
          <w:iCs/>
          <w:sz w:val="24"/>
          <w:szCs w:val="24"/>
        </w:rPr>
        <w:t>Hacia la ciudad activa: Estrategias urbanas para hacer las ciudades más vivibles y saludables</w:t>
      </w:r>
      <w:r w:rsidRPr="0051709F">
        <w:rPr>
          <w:rFonts w:asciiTheme="minorHAnsi" w:hAnsiTheme="minorHAnsi" w:cstheme="minorHAnsi"/>
          <w:sz w:val="24"/>
          <w:szCs w:val="24"/>
        </w:rPr>
        <w:t xml:space="preserve">. </w:t>
      </w:r>
      <w:r w:rsidRPr="0051709F">
        <w:rPr>
          <w:rFonts w:asciiTheme="minorHAnsi" w:hAnsiTheme="minorHAnsi" w:cstheme="minorHAnsi"/>
          <w:sz w:val="24"/>
          <w:szCs w:val="24"/>
          <w:lang w:val="en-US"/>
        </w:rPr>
        <w:t xml:space="preserve">Madrid: </w:t>
      </w:r>
      <w:proofErr w:type="spellStart"/>
      <w:r w:rsidRPr="0051709F">
        <w:rPr>
          <w:rFonts w:asciiTheme="minorHAnsi" w:hAnsiTheme="minorHAnsi" w:cstheme="minorHAnsi"/>
          <w:sz w:val="24"/>
          <w:szCs w:val="24"/>
          <w:lang w:val="en-US"/>
        </w:rPr>
        <w:t>Dykinson</w:t>
      </w:r>
      <w:proofErr w:type="spellEnd"/>
      <w:r w:rsidRPr="0051709F">
        <w:rPr>
          <w:rFonts w:asciiTheme="minorHAnsi" w:hAnsiTheme="minorHAnsi" w:cstheme="minorHAnsi"/>
          <w:sz w:val="24"/>
          <w:szCs w:val="24"/>
          <w:lang w:val="en-US"/>
        </w:rPr>
        <w:t>.</w:t>
      </w:r>
    </w:p>
    <w:p w14:paraId="50471B62"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Bois, J. E., </w:t>
      </w:r>
      <w:proofErr w:type="spellStart"/>
      <w:r w:rsidRPr="0051709F">
        <w:rPr>
          <w:rFonts w:asciiTheme="minorHAnsi" w:hAnsiTheme="minorHAnsi" w:cstheme="minorHAnsi"/>
          <w:sz w:val="24"/>
          <w:szCs w:val="24"/>
          <w:lang w:val="es-ES"/>
        </w:rPr>
        <w:t>Sarrazin</w:t>
      </w:r>
      <w:proofErr w:type="spellEnd"/>
      <w:r w:rsidRPr="0051709F">
        <w:rPr>
          <w:rFonts w:asciiTheme="minorHAnsi" w:hAnsiTheme="minorHAnsi" w:cstheme="minorHAnsi"/>
          <w:sz w:val="24"/>
          <w:szCs w:val="24"/>
          <w:lang w:val="es-ES"/>
        </w:rPr>
        <w:t xml:space="preserve">, P. G., </w:t>
      </w:r>
      <w:proofErr w:type="spellStart"/>
      <w:r w:rsidRPr="0051709F">
        <w:rPr>
          <w:rFonts w:asciiTheme="minorHAnsi" w:hAnsiTheme="minorHAnsi" w:cstheme="minorHAnsi"/>
          <w:sz w:val="24"/>
          <w:szCs w:val="24"/>
          <w:lang w:val="es-ES"/>
        </w:rPr>
        <w:t>Brustad</w:t>
      </w:r>
      <w:proofErr w:type="spellEnd"/>
      <w:r w:rsidRPr="0051709F">
        <w:rPr>
          <w:rFonts w:asciiTheme="minorHAnsi" w:hAnsiTheme="minorHAnsi" w:cstheme="minorHAnsi"/>
          <w:sz w:val="24"/>
          <w:szCs w:val="24"/>
          <w:lang w:val="es-ES"/>
        </w:rPr>
        <w:t xml:space="preserve">, R. J., </w:t>
      </w:r>
      <w:proofErr w:type="spellStart"/>
      <w:r w:rsidRPr="0051709F">
        <w:rPr>
          <w:rFonts w:asciiTheme="minorHAnsi" w:hAnsiTheme="minorHAnsi" w:cstheme="minorHAnsi"/>
          <w:sz w:val="24"/>
          <w:szCs w:val="24"/>
          <w:lang w:val="es-ES"/>
        </w:rPr>
        <w:t>Trouilloud</w:t>
      </w:r>
      <w:proofErr w:type="spellEnd"/>
      <w:r w:rsidRPr="0051709F">
        <w:rPr>
          <w:rFonts w:asciiTheme="minorHAnsi" w:hAnsiTheme="minorHAnsi" w:cstheme="minorHAnsi"/>
          <w:sz w:val="24"/>
          <w:szCs w:val="24"/>
          <w:lang w:val="es-ES"/>
        </w:rPr>
        <w:t xml:space="preserve">, D. O., y Cury, F. (2005). </w:t>
      </w:r>
      <w:r w:rsidRPr="0051709F">
        <w:rPr>
          <w:rFonts w:asciiTheme="minorHAnsi" w:hAnsiTheme="minorHAnsi" w:cstheme="minorHAnsi"/>
          <w:sz w:val="24"/>
          <w:szCs w:val="24"/>
        </w:rPr>
        <w:t xml:space="preserve">Elementary schoolchildren’s perceived competence and physical activity involvement: the influence of parents’ role modelling </w:t>
      </w:r>
      <w:proofErr w:type="spellStart"/>
      <w:r w:rsidRPr="0051709F">
        <w:rPr>
          <w:rFonts w:asciiTheme="minorHAnsi" w:hAnsiTheme="minorHAnsi" w:cstheme="minorHAnsi"/>
          <w:sz w:val="24"/>
          <w:szCs w:val="24"/>
        </w:rPr>
        <w:t>behaviours</w:t>
      </w:r>
      <w:proofErr w:type="spellEnd"/>
      <w:r w:rsidRPr="0051709F">
        <w:rPr>
          <w:rFonts w:asciiTheme="minorHAnsi" w:hAnsiTheme="minorHAnsi" w:cstheme="minorHAnsi"/>
          <w:sz w:val="24"/>
          <w:szCs w:val="24"/>
        </w:rPr>
        <w:t xml:space="preserve"> and perceptions of their child’s competence. </w:t>
      </w:r>
      <w:r w:rsidRPr="0051709F">
        <w:rPr>
          <w:rFonts w:asciiTheme="minorHAnsi" w:hAnsiTheme="minorHAnsi" w:cstheme="minorHAnsi"/>
          <w:i/>
          <w:iCs/>
          <w:sz w:val="24"/>
          <w:szCs w:val="24"/>
        </w:rPr>
        <w:t>Psychology of Sport and Exercise, 6</w:t>
      </w:r>
      <w:r w:rsidRPr="0051709F">
        <w:rPr>
          <w:rFonts w:asciiTheme="minorHAnsi" w:hAnsiTheme="minorHAnsi" w:cstheme="minorHAnsi"/>
          <w:sz w:val="24"/>
          <w:szCs w:val="24"/>
        </w:rPr>
        <w:t>, 381-397.</w:t>
      </w:r>
    </w:p>
    <w:p w14:paraId="52F260AF"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Bois, J. E., </w:t>
      </w:r>
      <w:proofErr w:type="spellStart"/>
      <w:r w:rsidRPr="0051709F">
        <w:rPr>
          <w:rFonts w:asciiTheme="minorHAnsi" w:hAnsiTheme="minorHAnsi" w:cstheme="minorHAnsi"/>
          <w:sz w:val="24"/>
          <w:szCs w:val="24"/>
          <w:lang w:val="es-ES"/>
        </w:rPr>
        <w:t>Sarrazin</w:t>
      </w:r>
      <w:proofErr w:type="spellEnd"/>
      <w:r w:rsidRPr="0051709F">
        <w:rPr>
          <w:rFonts w:asciiTheme="minorHAnsi" w:hAnsiTheme="minorHAnsi" w:cstheme="minorHAnsi"/>
          <w:sz w:val="24"/>
          <w:szCs w:val="24"/>
          <w:lang w:val="es-ES"/>
        </w:rPr>
        <w:t xml:space="preserve">, P. G., </w:t>
      </w:r>
      <w:proofErr w:type="spellStart"/>
      <w:r w:rsidRPr="0051709F">
        <w:rPr>
          <w:rFonts w:asciiTheme="minorHAnsi" w:hAnsiTheme="minorHAnsi" w:cstheme="minorHAnsi"/>
          <w:sz w:val="24"/>
          <w:szCs w:val="24"/>
          <w:lang w:val="es-ES"/>
        </w:rPr>
        <w:t>Brustad</w:t>
      </w:r>
      <w:proofErr w:type="spellEnd"/>
      <w:r w:rsidRPr="0051709F">
        <w:rPr>
          <w:rFonts w:asciiTheme="minorHAnsi" w:hAnsiTheme="minorHAnsi" w:cstheme="minorHAnsi"/>
          <w:sz w:val="24"/>
          <w:szCs w:val="24"/>
          <w:lang w:val="es-ES"/>
        </w:rPr>
        <w:t xml:space="preserve">, R. J., </w:t>
      </w:r>
      <w:proofErr w:type="spellStart"/>
      <w:r w:rsidRPr="0051709F">
        <w:rPr>
          <w:rFonts w:asciiTheme="minorHAnsi" w:hAnsiTheme="minorHAnsi" w:cstheme="minorHAnsi"/>
          <w:sz w:val="24"/>
          <w:szCs w:val="24"/>
          <w:lang w:val="es-ES"/>
        </w:rPr>
        <w:t>Trouilloud</w:t>
      </w:r>
      <w:proofErr w:type="spellEnd"/>
      <w:r w:rsidRPr="0051709F">
        <w:rPr>
          <w:rFonts w:asciiTheme="minorHAnsi" w:hAnsiTheme="minorHAnsi" w:cstheme="minorHAnsi"/>
          <w:sz w:val="24"/>
          <w:szCs w:val="24"/>
          <w:lang w:val="es-ES"/>
        </w:rPr>
        <w:t xml:space="preserve">, D. O., y Cury, F. (2005). </w:t>
      </w:r>
      <w:r w:rsidRPr="0051709F">
        <w:rPr>
          <w:rFonts w:asciiTheme="minorHAnsi" w:hAnsiTheme="minorHAnsi" w:cstheme="minorHAnsi"/>
          <w:sz w:val="24"/>
          <w:szCs w:val="24"/>
        </w:rPr>
        <w:t xml:space="preserve">Parents’ appraisals, reflected appraisals, and children’s self-appraisals of sport competence: a year- long study. </w:t>
      </w:r>
      <w:r w:rsidRPr="0051709F">
        <w:rPr>
          <w:rFonts w:asciiTheme="minorHAnsi" w:hAnsiTheme="minorHAnsi" w:cstheme="minorHAnsi"/>
          <w:i/>
          <w:iCs/>
          <w:sz w:val="24"/>
          <w:szCs w:val="24"/>
        </w:rPr>
        <w:t>Journal of Applied Sport Psychology, 17</w:t>
      </w:r>
      <w:r w:rsidRPr="0051709F">
        <w:rPr>
          <w:rFonts w:asciiTheme="minorHAnsi" w:hAnsiTheme="minorHAnsi" w:cstheme="minorHAnsi"/>
          <w:sz w:val="24"/>
          <w:szCs w:val="24"/>
        </w:rPr>
        <w:t xml:space="preserve">, 273-289. </w:t>
      </w:r>
    </w:p>
    <w:p w14:paraId="3773EA7F"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eastAsia="Times New Roman" w:hAnsiTheme="minorHAnsi" w:cstheme="minorHAnsi"/>
          <w:sz w:val="24"/>
          <w:szCs w:val="24"/>
          <w:lang w:eastAsia="es-ES"/>
        </w:rPr>
        <w:t xml:space="preserve">Bowler, M. T. (2019). </w:t>
      </w:r>
      <w:r w:rsidRPr="0051709F">
        <w:rPr>
          <w:rFonts w:asciiTheme="minorHAnsi" w:eastAsia="Times New Roman" w:hAnsiTheme="minorHAnsi" w:cstheme="minorHAnsi"/>
          <w:i/>
          <w:iCs/>
          <w:sz w:val="24"/>
          <w:szCs w:val="24"/>
          <w:lang w:eastAsia="es-ES"/>
        </w:rPr>
        <w:t>Developing a Pedagogical Model for Health-Based Physical Education</w:t>
      </w:r>
      <w:r w:rsidRPr="0051709F">
        <w:rPr>
          <w:rFonts w:asciiTheme="minorHAnsi" w:eastAsia="Times New Roman" w:hAnsiTheme="minorHAnsi" w:cstheme="minorHAnsi"/>
          <w:sz w:val="24"/>
          <w:szCs w:val="24"/>
          <w:lang w:eastAsia="es-ES"/>
        </w:rPr>
        <w:t>. Doctoral Thesis, Loughborough University.</w:t>
      </w:r>
    </w:p>
    <w:p w14:paraId="74F7EA91" w14:textId="77777777" w:rsidR="007564B6" w:rsidRPr="0051709F" w:rsidRDefault="007564B6"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Brandes, B., Busse, H., Sell, L., Christianson, L., y Brandes, M. (2022). A scoping review on characteristics of school-based interventions to promote physical activity and cardiorespiratory fitness among 6- to 10-year-old children. P</w:t>
      </w:r>
      <w:r w:rsidRPr="0051709F">
        <w:rPr>
          <w:rFonts w:asciiTheme="minorHAnsi" w:hAnsiTheme="minorHAnsi" w:cstheme="minorHAnsi"/>
          <w:i/>
          <w:iCs/>
          <w:sz w:val="24"/>
          <w:szCs w:val="24"/>
          <w:shd w:val="clear" w:color="auto" w:fill="FFFFFF"/>
        </w:rPr>
        <w:t>revention Medicine, 155</w:t>
      </w:r>
      <w:r w:rsidRPr="0051709F">
        <w:rPr>
          <w:rFonts w:asciiTheme="minorHAnsi" w:hAnsiTheme="minorHAnsi" w:cstheme="minorHAnsi"/>
          <w:sz w:val="24"/>
          <w:szCs w:val="24"/>
          <w:shd w:val="clear" w:color="auto" w:fill="FFFFFF"/>
        </w:rPr>
        <w:t>, 106920.</w:t>
      </w:r>
    </w:p>
    <w:p w14:paraId="5E93C4B5" w14:textId="77777777" w:rsidR="00D40FEF" w:rsidRPr="0051709F" w:rsidRDefault="00D40FEF" w:rsidP="00E6399B">
      <w:pPr>
        <w:pStyle w:val="Prrafodelista"/>
        <w:numPr>
          <w:ilvl w:val="0"/>
          <w:numId w:val="78"/>
        </w:numPr>
        <w:spacing w:before="200" w:after="200"/>
        <w:jc w:val="both"/>
        <w:rPr>
          <w:rStyle w:val="Hipervnculo"/>
          <w:rFonts w:asciiTheme="minorHAnsi" w:eastAsiaTheme="minorEastAsia" w:hAnsiTheme="minorHAnsi" w:cstheme="minorHAnsi"/>
          <w:sz w:val="24"/>
          <w:szCs w:val="24"/>
          <w:lang w:val="en-GB"/>
        </w:rPr>
      </w:pPr>
      <w:r w:rsidRPr="0051709F">
        <w:rPr>
          <w:rFonts w:asciiTheme="minorHAnsi" w:eastAsiaTheme="minorEastAsia" w:hAnsiTheme="minorHAnsi" w:cstheme="minorHAnsi"/>
          <w:color w:val="212121"/>
          <w:sz w:val="24"/>
          <w:szCs w:val="24"/>
          <w:lang w:val="en-GB"/>
        </w:rPr>
        <w:t xml:space="preserve">Brannan M, </w:t>
      </w:r>
      <w:proofErr w:type="spellStart"/>
      <w:r w:rsidRPr="0051709F">
        <w:rPr>
          <w:rFonts w:asciiTheme="minorHAnsi" w:eastAsiaTheme="minorEastAsia" w:hAnsiTheme="minorHAnsi" w:cstheme="minorHAnsi"/>
          <w:color w:val="212121"/>
          <w:sz w:val="24"/>
          <w:szCs w:val="24"/>
          <w:lang w:val="en-GB"/>
        </w:rPr>
        <w:t>Bernardotto</w:t>
      </w:r>
      <w:proofErr w:type="spellEnd"/>
      <w:r w:rsidRPr="0051709F">
        <w:rPr>
          <w:rFonts w:asciiTheme="minorHAnsi" w:eastAsiaTheme="minorEastAsia" w:hAnsiTheme="minorHAnsi" w:cstheme="minorHAnsi"/>
          <w:color w:val="212121"/>
          <w:sz w:val="24"/>
          <w:szCs w:val="24"/>
          <w:lang w:val="en-GB"/>
        </w:rPr>
        <w:t xml:space="preserve"> M, Clarke N, Varney J. Moving healthcare professionals–a whole system approach to embed physical activity in clinical practice. </w:t>
      </w:r>
      <w:r w:rsidRPr="0051709F">
        <w:rPr>
          <w:rFonts w:asciiTheme="minorHAnsi" w:eastAsiaTheme="minorEastAsia" w:hAnsiTheme="minorHAnsi" w:cstheme="minorHAnsi"/>
          <w:i/>
          <w:iCs/>
          <w:color w:val="212121"/>
          <w:sz w:val="24"/>
          <w:szCs w:val="24"/>
          <w:lang w:val="en-GB"/>
        </w:rPr>
        <w:t>BMC Med Educ</w:t>
      </w:r>
      <w:r w:rsidRPr="0051709F">
        <w:rPr>
          <w:rFonts w:asciiTheme="minorHAnsi" w:eastAsiaTheme="minorEastAsia" w:hAnsiTheme="minorHAnsi" w:cstheme="minorHAnsi"/>
          <w:color w:val="212121"/>
          <w:sz w:val="24"/>
          <w:szCs w:val="24"/>
          <w:lang w:val="en-GB"/>
        </w:rPr>
        <w:t xml:space="preserve">. 2019;19(1):84. </w:t>
      </w:r>
      <w:proofErr w:type="spellStart"/>
      <w:r w:rsidRPr="0051709F">
        <w:rPr>
          <w:rFonts w:asciiTheme="minorHAnsi" w:eastAsiaTheme="minorEastAsia" w:hAnsiTheme="minorHAnsi" w:cstheme="minorHAnsi"/>
          <w:color w:val="212121"/>
          <w:sz w:val="24"/>
          <w:szCs w:val="24"/>
          <w:lang w:val="en-GB"/>
        </w:rPr>
        <w:t>doi</w:t>
      </w:r>
      <w:proofErr w:type="spellEnd"/>
      <w:r w:rsidRPr="0051709F">
        <w:rPr>
          <w:rFonts w:asciiTheme="minorHAnsi" w:eastAsiaTheme="minorEastAsia" w:hAnsiTheme="minorHAnsi" w:cstheme="minorHAnsi"/>
          <w:color w:val="212121"/>
          <w:sz w:val="24"/>
          <w:szCs w:val="24"/>
          <w:lang w:val="en-GB"/>
        </w:rPr>
        <w:t xml:space="preserve">: 10.1186/s12909-019-1517-y </w:t>
      </w:r>
      <w:hyperlink r:id="rId110" w:history="1">
        <w:r w:rsidRPr="0051709F">
          <w:rPr>
            <w:rStyle w:val="Hipervnculo"/>
            <w:rFonts w:asciiTheme="minorHAnsi" w:eastAsia="Cambria" w:hAnsiTheme="minorHAnsi" w:cstheme="minorHAnsi"/>
            <w:sz w:val="24"/>
            <w:szCs w:val="24"/>
            <w:lang w:val="en-GB"/>
          </w:rPr>
          <w:t xml:space="preserve"> </w:t>
        </w:r>
      </w:hyperlink>
    </w:p>
    <w:p w14:paraId="35C837DC" w14:textId="7470D8BE"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85322A">
        <w:rPr>
          <w:rFonts w:asciiTheme="minorHAnsi" w:hAnsiTheme="minorHAnsi" w:cstheme="minorHAnsi"/>
          <w:sz w:val="24"/>
          <w:szCs w:val="24"/>
        </w:rPr>
        <w:fldChar w:fldCharType="begin" w:fldLock="1"/>
      </w:r>
      <w:r w:rsidRPr="0051709F">
        <w:rPr>
          <w:rFonts w:asciiTheme="minorHAnsi" w:hAnsiTheme="minorHAnsi" w:cstheme="minorHAnsi"/>
          <w:sz w:val="24"/>
          <w:szCs w:val="24"/>
        </w:rPr>
        <w:instrText xml:space="preserve">ADDIN Mendeley Bibliography CSL_BIBLIOGRAPHY </w:instrText>
      </w:r>
      <w:r w:rsidRPr="0085322A">
        <w:rPr>
          <w:rFonts w:asciiTheme="minorHAnsi" w:hAnsiTheme="minorHAnsi" w:cstheme="minorHAnsi"/>
          <w:sz w:val="24"/>
          <w:szCs w:val="24"/>
        </w:rPr>
        <w:fldChar w:fldCharType="separate"/>
      </w:r>
      <w:r w:rsidRPr="0051709F">
        <w:rPr>
          <w:rFonts w:asciiTheme="minorHAnsi" w:hAnsiTheme="minorHAnsi" w:cstheme="minorHAnsi"/>
          <w:noProof/>
          <w:sz w:val="24"/>
          <w:szCs w:val="24"/>
        </w:rPr>
        <w:t xml:space="preserve">Breda, J., Jakovljevic, J., Rathmes, G., Mendes, R., Fontaine, O., Hollmann, S. . ., &amp; Galea, G. (2018). Promoting health-enhancing physical activity in Europe: Current state of surveillance, policy development and implementation. </w:t>
      </w:r>
      <w:r w:rsidRPr="0051709F">
        <w:rPr>
          <w:rFonts w:asciiTheme="minorHAnsi" w:hAnsiTheme="minorHAnsi" w:cstheme="minorHAnsi"/>
          <w:i/>
          <w:iCs/>
          <w:noProof/>
          <w:sz w:val="24"/>
          <w:szCs w:val="24"/>
        </w:rPr>
        <w:t>Health Policy</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122</w:t>
      </w:r>
      <w:r w:rsidRPr="0051709F">
        <w:rPr>
          <w:rFonts w:asciiTheme="minorHAnsi" w:hAnsiTheme="minorHAnsi" w:cstheme="minorHAnsi"/>
          <w:noProof/>
          <w:sz w:val="24"/>
          <w:szCs w:val="24"/>
        </w:rPr>
        <w:t>(5), 519–527. https://doi.org/https://doi.org/10.1016/j.healthpol.2018.01.015</w:t>
      </w:r>
    </w:p>
    <w:p w14:paraId="6806216A"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Brustad, R. J. (1993). Who will go out and play? parental and psychological influences on children’s attraction to physical activity. </w:t>
      </w:r>
      <w:r w:rsidRPr="0051709F">
        <w:rPr>
          <w:rFonts w:asciiTheme="minorHAnsi" w:hAnsiTheme="minorHAnsi" w:cstheme="minorHAnsi"/>
          <w:i/>
          <w:iCs/>
          <w:sz w:val="24"/>
          <w:szCs w:val="24"/>
        </w:rPr>
        <w:t>Pediatric Exercise Science, 5</w:t>
      </w:r>
      <w:r w:rsidRPr="0051709F">
        <w:rPr>
          <w:rFonts w:asciiTheme="minorHAnsi" w:hAnsiTheme="minorHAnsi" w:cstheme="minorHAnsi"/>
          <w:sz w:val="24"/>
          <w:szCs w:val="24"/>
        </w:rPr>
        <w:t>, 210-223.</w:t>
      </w:r>
    </w:p>
    <w:p w14:paraId="4E3CD8AB"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Brustad, R. J. (1996). Attraction to physical activity in urban schoolchildren: Parent socialization and gender influences. </w:t>
      </w:r>
      <w:r w:rsidRPr="0051709F">
        <w:rPr>
          <w:rFonts w:asciiTheme="minorHAnsi" w:hAnsiTheme="minorHAnsi" w:cstheme="minorHAnsi"/>
          <w:i/>
          <w:iCs/>
          <w:sz w:val="24"/>
          <w:szCs w:val="24"/>
        </w:rPr>
        <w:t>Research Quarterly for Exercise &amp; Sport, 67</w:t>
      </w:r>
      <w:r w:rsidRPr="0051709F">
        <w:rPr>
          <w:rFonts w:asciiTheme="minorHAnsi" w:hAnsiTheme="minorHAnsi" w:cstheme="minorHAnsi"/>
          <w:sz w:val="24"/>
          <w:szCs w:val="24"/>
        </w:rPr>
        <w:t>, 316-323.</w:t>
      </w:r>
    </w:p>
    <w:p w14:paraId="15459D20" w14:textId="77777777" w:rsidR="00F15C40" w:rsidRPr="0051709F" w:rsidRDefault="00F15C40"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noProof/>
          <w:sz w:val="24"/>
          <w:szCs w:val="24"/>
        </w:rPr>
        <w:t xml:space="preserve">Bull F, Milton K, Kahlmeier S. Health-enhancing physical activity (HEPA) Policy Audit Tool (PAT). World Heal Organ. 2011;1–30. </w:t>
      </w:r>
    </w:p>
    <w:p w14:paraId="0330E28C" w14:textId="2AA99A89" w:rsidR="00D40FEF" w:rsidRPr="0051709F" w:rsidRDefault="00D40FEF"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n-GB"/>
        </w:rPr>
        <w:t xml:space="preserve">Bull F, Milton K, Kahlmeier S, Arlotti A, Jurican AB, Belander O, et al. </w:t>
      </w:r>
      <w:r w:rsidRPr="0051709F">
        <w:rPr>
          <w:rFonts w:asciiTheme="minorHAnsi" w:hAnsiTheme="minorHAnsi" w:cstheme="minorHAnsi"/>
          <w:sz w:val="24"/>
          <w:szCs w:val="24"/>
        </w:rPr>
        <w:t>Turning the tide: national policy approaches to increasing physical activity in seven European countries. Br J Sports Med. 2015;49(11):749-56</w:t>
      </w:r>
    </w:p>
    <w:p w14:paraId="0843F1BA" w14:textId="77777777" w:rsidR="000C66BC" w:rsidRPr="0051709F"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lastRenderedPageBreak/>
        <w:t>Bull, F. C., Al-Ansari, S. S., Biddle, S., Borodulin, K., Buman, M. P., Cardon, G., ... &amp; Willumsen, J. F. (2020). World Health Organization 2020 guidelines on physical activity and sedentary behaviour. British journal of sports medicine, 54(24), 1451-1462.</w:t>
      </w:r>
    </w:p>
    <w:p w14:paraId="47007138"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Burns, R. (1982). </w:t>
      </w:r>
      <w:r w:rsidRPr="0051709F">
        <w:rPr>
          <w:rFonts w:asciiTheme="minorHAnsi" w:hAnsiTheme="minorHAnsi" w:cstheme="minorHAnsi"/>
          <w:i/>
          <w:iCs/>
          <w:sz w:val="24"/>
          <w:szCs w:val="24"/>
        </w:rPr>
        <w:t>Self concept development and education</w:t>
      </w:r>
      <w:r w:rsidRPr="0051709F">
        <w:rPr>
          <w:rFonts w:asciiTheme="minorHAnsi" w:hAnsiTheme="minorHAnsi" w:cstheme="minorHAnsi"/>
          <w:sz w:val="24"/>
          <w:szCs w:val="24"/>
        </w:rPr>
        <w:t>. Londres: Holt.</w:t>
      </w:r>
    </w:p>
    <w:p w14:paraId="770446AF" w14:textId="77777777" w:rsidR="007564B6" w:rsidRPr="0051709F" w:rsidRDefault="007564B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Butcher, K., Sallis, J. F., Mayer, J. A., y Woodruff, S. (2008). Correlates of physical activity guidelines compliance for adolescents in 100 U.S. cities. </w:t>
      </w:r>
      <w:r w:rsidRPr="0051709F">
        <w:rPr>
          <w:rFonts w:asciiTheme="minorHAnsi" w:hAnsiTheme="minorHAnsi" w:cstheme="minorHAnsi"/>
          <w:i/>
          <w:iCs/>
          <w:sz w:val="24"/>
          <w:szCs w:val="24"/>
        </w:rPr>
        <w:t>Journal of Adolescent Health, 42</w:t>
      </w:r>
      <w:r w:rsidRPr="0051709F">
        <w:rPr>
          <w:rFonts w:asciiTheme="minorHAnsi" w:hAnsiTheme="minorHAnsi" w:cstheme="minorHAnsi"/>
          <w:sz w:val="24"/>
          <w:szCs w:val="24"/>
        </w:rPr>
        <w:t xml:space="preserve">, 360-368. </w:t>
      </w:r>
    </w:p>
    <w:p w14:paraId="3B9995D0" w14:textId="77777777" w:rsidR="00D40FEF" w:rsidRPr="0051709F" w:rsidRDefault="00D40FEF" w:rsidP="00E6399B">
      <w:pPr>
        <w:pStyle w:val="Prrafodelista"/>
        <w:numPr>
          <w:ilvl w:val="0"/>
          <w:numId w:val="78"/>
        </w:numPr>
        <w:jc w:val="both"/>
        <w:rPr>
          <w:rFonts w:asciiTheme="minorHAnsi" w:eastAsia="Calibri" w:hAnsiTheme="minorHAnsi" w:cstheme="minorHAnsi"/>
          <w:color w:val="000000" w:themeColor="text1"/>
          <w:sz w:val="24"/>
          <w:szCs w:val="24"/>
        </w:rPr>
      </w:pPr>
      <w:r w:rsidRPr="0051709F">
        <w:rPr>
          <w:rFonts w:asciiTheme="minorHAnsi" w:eastAsia="Calibri" w:hAnsiTheme="minorHAnsi" w:cstheme="minorHAnsi"/>
          <w:color w:val="000000" w:themeColor="text1"/>
          <w:sz w:val="24"/>
          <w:szCs w:val="24"/>
          <w:lang w:val="es-ES"/>
        </w:rPr>
        <w:t xml:space="preserve">Cañada D, Gómez-Lorente JJ, González-Gross M. La importancia de la clase de EF en el desarrollo del niño. En Redondo C, Glez-Gross M, et al. eds. Actividad física, deporte, ejercicio y salud en niños y adolescentes. </w:t>
      </w:r>
      <w:r w:rsidRPr="0051709F">
        <w:rPr>
          <w:rFonts w:asciiTheme="minorHAnsi" w:eastAsia="Calibri" w:hAnsiTheme="minorHAnsi" w:cstheme="minorHAnsi"/>
          <w:color w:val="000000" w:themeColor="text1"/>
          <w:sz w:val="24"/>
          <w:szCs w:val="24"/>
        </w:rPr>
        <w:t>Ed. Everest. 2010)</w:t>
      </w:r>
    </w:p>
    <w:p w14:paraId="64D19CE4"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Cale, L. (2000). Physical activity promotion in secondary schools. </w:t>
      </w:r>
      <w:r w:rsidRPr="0051709F">
        <w:rPr>
          <w:rFonts w:asciiTheme="minorHAnsi" w:hAnsiTheme="minorHAnsi" w:cstheme="minorHAnsi"/>
          <w:i/>
          <w:iCs/>
          <w:sz w:val="24"/>
          <w:szCs w:val="24"/>
        </w:rPr>
        <w:t>European Physical Education Review, 6</w:t>
      </w:r>
      <w:r w:rsidRPr="0051709F">
        <w:rPr>
          <w:rFonts w:asciiTheme="minorHAnsi" w:hAnsiTheme="minorHAnsi" w:cstheme="minorHAnsi"/>
          <w:sz w:val="24"/>
          <w:szCs w:val="24"/>
        </w:rPr>
        <w:t>, 71-90.</w:t>
      </w:r>
    </w:p>
    <w:p w14:paraId="587CBB75"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Cale, L. (2021). Physical education’s journey on the road to health. </w:t>
      </w:r>
      <w:r w:rsidRPr="0051709F">
        <w:rPr>
          <w:rStyle w:val="html-italic"/>
          <w:rFonts w:asciiTheme="minorHAnsi" w:eastAsiaTheme="majorEastAsia" w:hAnsiTheme="minorHAnsi" w:cstheme="minorHAnsi"/>
        </w:rPr>
        <w:t>Sport, Education and Society,</w:t>
      </w:r>
      <w:r w:rsidRPr="0051709F">
        <w:rPr>
          <w:rFonts w:asciiTheme="minorHAnsi" w:hAnsiTheme="minorHAnsi" w:cstheme="minorHAnsi"/>
        </w:rPr>
        <w:t> </w:t>
      </w:r>
      <w:r w:rsidRPr="0051709F">
        <w:rPr>
          <w:rStyle w:val="html-italic"/>
          <w:rFonts w:asciiTheme="minorHAnsi" w:eastAsiaTheme="majorEastAsia" w:hAnsiTheme="minorHAnsi" w:cstheme="minorHAnsi"/>
        </w:rPr>
        <w:t>26</w:t>
      </w:r>
      <w:r w:rsidRPr="0051709F">
        <w:rPr>
          <w:rFonts w:asciiTheme="minorHAnsi" w:hAnsiTheme="minorHAnsi" w:cstheme="minorHAnsi"/>
        </w:rPr>
        <w:t xml:space="preserve">, 486-499. </w:t>
      </w:r>
    </w:p>
    <w:p w14:paraId="2A7F9830" w14:textId="6FCC6892" w:rsidR="00D40FEF" w:rsidRPr="0051709F" w:rsidRDefault="00D40FEF"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GB"/>
        </w:rPr>
      </w:pPr>
      <w:r w:rsidRPr="0051709F">
        <w:rPr>
          <w:rFonts w:asciiTheme="minorHAnsi" w:hAnsiTheme="minorHAnsi" w:cstheme="minorHAnsi"/>
        </w:rPr>
        <w:t xml:space="preserve">Calonge-Pascual, S., Casajús, J.A., &amp; González, M. (2017). </w:t>
      </w:r>
      <w:r w:rsidRPr="0051709F">
        <w:rPr>
          <w:rFonts w:asciiTheme="minorHAnsi" w:hAnsiTheme="minorHAnsi" w:cstheme="minorHAnsi"/>
          <w:lang w:val="en-GB"/>
        </w:rPr>
        <w:t xml:space="preserve">Physical activity as prevention and treatment resource of chronic diseases in the syllabus of Medicine and Sport Sciences at Spanish universities. </w:t>
      </w:r>
      <w:r w:rsidRPr="0051709F">
        <w:rPr>
          <w:rFonts w:asciiTheme="minorHAnsi" w:hAnsiTheme="minorHAnsi" w:cstheme="minorHAnsi"/>
          <w:i/>
          <w:iCs/>
          <w:color w:val="222222"/>
          <w:shd w:val="clear" w:color="auto" w:fill="FFFFFF"/>
          <w:lang w:val="en-GB"/>
        </w:rPr>
        <w:t xml:space="preserve">Nutricion Hospitalaria, </w:t>
      </w:r>
      <w:r w:rsidRPr="0051709F">
        <w:rPr>
          <w:rFonts w:asciiTheme="minorHAnsi" w:hAnsiTheme="minorHAnsi" w:cstheme="minorHAnsi"/>
          <w:i/>
          <w:lang w:val="en-GB"/>
        </w:rPr>
        <w:t>34</w:t>
      </w:r>
      <w:r w:rsidRPr="0051709F">
        <w:rPr>
          <w:rFonts w:asciiTheme="minorHAnsi" w:hAnsiTheme="minorHAnsi" w:cstheme="minorHAnsi"/>
          <w:lang w:val="en-GB"/>
        </w:rPr>
        <w:t>(4), 961-968.  doi: 10.20960/nh.730.</w:t>
      </w:r>
    </w:p>
    <w:p w14:paraId="4ED85358" w14:textId="77777777" w:rsidR="00D40FEF" w:rsidRPr="0051709F" w:rsidRDefault="00D40FEF"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Calonge-Pascual, S., Casajús, J.A., &amp; González, M. </w:t>
      </w:r>
      <w:r w:rsidRPr="0051709F">
        <w:rPr>
          <w:rFonts w:asciiTheme="minorHAnsi" w:hAnsiTheme="minorHAnsi" w:cstheme="minorHAnsi"/>
          <w:color w:val="222222"/>
          <w:shd w:val="clear" w:color="auto" w:fill="FFFFFF"/>
        </w:rPr>
        <w:t xml:space="preserve">(2022). </w:t>
      </w:r>
      <w:r w:rsidRPr="0051709F">
        <w:rPr>
          <w:rFonts w:asciiTheme="minorHAnsi" w:hAnsiTheme="minorHAnsi" w:cstheme="minorHAnsi"/>
          <w:color w:val="222222"/>
          <w:shd w:val="clear" w:color="auto" w:fill="FFFFFF"/>
          <w:lang w:val="en-GB"/>
        </w:rPr>
        <w:t>Physical exercise training in the syllabus of bachelor of science in nursing degrees: an environmental scan. </w:t>
      </w:r>
      <w:r w:rsidRPr="0051709F">
        <w:rPr>
          <w:rFonts w:asciiTheme="minorHAnsi" w:hAnsiTheme="minorHAnsi" w:cstheme="minorHAnsi"/>
          <w:i/>
          <w:iCs/>
          <w:color w:val="222222"/>
          <w:shd w:val="clear" w:color="auto" w:fill="FFFFFF"/>
        </w:rPr>
        <w:t>Contemporary Nurse</w:t>
      </w:r>
      <w:r w:rsidRPr="0051709F">
        <w:rPr>
          <w:rFonts w:asciiTheme="minorHAnsi" w:hAnsiTheme="minorHAnsi" w:cstheme="minorHAnsi"/>
          <w:color w:val="222222"/>
          <w:shd w:val="clear" w:color="auto" w:fill="FFFFFF"/>
        </w:rPr>
        <w:t>, </w:t>
      </w:r>
      <w:r w:rsidRPr="0051709F">
        <w:rPr>
          <w:rFonts w:asciiTheme="minorHAnsi" w:hAnsiTheme="minorHAnsi" w:cstheme="minorHAnsi"/>
          <w:i/>
          <w:iCs/>
          <w:color w:val="222222"/>
          <w:shd w:val="clear" w:color="auto" w:fill="FFFFFF"/>
        </w:rPr>
        <w:t>58</w:t>
      </w:r>
      <w:r w:rsidRPr="0051709F">
        <w:rPr>
          <w:rFonts w:asciiTheme="minorHAnsi" w:hAnsiTheme="minorHAnsi" w:cstheme="minorHAnsi"/>
          <w:color w:val="222222"/>
          <w:shd w:val="clear" w:color="auto" w:fill="FFFFFF"/>
        </w:rPr>
        <w:t>(2-3), 192-211.</w:t>
      </w:r>
      <w:r w:rsidRPr="0051709F">
        <w:rPr>
          <w:rFonts w:asciiTheme="minorHAnsi" w:hAnsiTheme="minorHAnsi" w:cstheme="minorHAnsi"/>
        </w:rPr>
        <w:t xml:space="preserve"> </w:t>
      </w:r>
    </w:p>
    <w:p w14:paraId="61498E59" w14:textId="77777777" w:rsidR="00A4777B" w:rsidRPr="0051709F" w:rsidRDefault="00A4777B" w:rsidP="00E6399B">
      <w:pPr>
        <w:pStyle w:val="Prrafodelista"/>
        <w:numPr>
          <w:ilvl w:val="0"/>
          <w:numId w:val="78"/>
        </w:numPr>
        <w:jc w:val="both"/>
        <w:rPr>
          <w:rFonts w:asciiTheme="minorHAnsi" w:eastAsiaTheme="minorEastAsia" w:hAnsiTheme="minorHAnsi" w:cstheme="minorHAnsi"/>
          <w:sz w:val="24"/>
          <w:szCs w:val="24"/>
        </w:rPr>
      </w:pPr>
      <w:r w:rsidRPr="0051709F">
        <w:rPr>
          <w:rFonts w:asciiTheme="minorHAnsi" w:eastAsiaTheme="minorEastAsia" w:hAnsiTheme="minorHAnsi" w:cstheme="minorHAnsi"/>
          <w:color w:val="212121"/>
          <w:sz w:val="24"/>
          <w:szCs w:val="24"/>
        </w:rPr>
        <w:t>Campbell F, Holmes M, Everson-Hock E, Davis S, Buckley Woods H, Anokye N, Tappenden P, Kaltenthaler E. A systematic review and economic evaluation of exercise referral schemes in primary care: a short report. Health Technol Assess. 2015 Jul;19(60):1-110. doi: 10.3310/hta19600. PMID: 26222987; PMCID: PMC4781341.</w:t>
      </w:r>
    </w:p>
    <w:p w14:paraId="44304F2C" w14:textId="5C0246E9"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Cardon, G., Labarque, V., Smits, D., y De Bourdeaudhuij, I. (2009). </w:t>
      </w:r>
      <w:r w:rsidRPr="0051709F">
        <w:rPr>
          <w:rFonts w:asciiTheme="minorHAnsi" w:hAnsiTheme="minorHAnsi" w:cstheme="minorHAnsi"/>
          <w:lang w:val="en-US"/>
        </w:rPr>
        <w:t xml:space="preserve">Promoting physical activity at the pre-school playground: the effects of providing markings and play equipment. </w:t>
      </w:r>
      <w:r w:rsidRPr="0051709F">
        <w:rPr>
          <w:rFonts w:asciiTheme="minorHAnsi" w:hAnsiTheme="minorHAnsi" w:cstheme="minorHAnsi"/>
          <w:i/>
          <w:iCs/>
        </w:rPr>
        <w:t>Preventive Medicine, 48</w:t>
      </w:r>
      <w:r w:rsidRPr="0051709F">
        <w:rPr>
          <w:rFonts w:asciiTheme="minorHAnsi" w:hAnsiTheme="minorHAnsi" w:cstheme="minorHAnsi"/>
        </w:rPr>
        <w:t xml:space="preserve">, 335-340. </w:t>
      </w:r>
    </w:p>
    <w:p w14:paraId="0C5A1265" w14:textId="77777777" w:rsidR="00BA190E" w:rsidRPr="0051709F" w:rsidRDefault="00BA190E" w:rsidP="00E6399B">
      <w:pPr>
        <w:pStyle w:val="Prrafodelista"/>
        <w:numPr>
          <w:ilvl w:val="0"/>
          <w:numId w:val="78"/>
        </w:numPr>
        <w:jc w:val="both"/>
        <w:rPr>
          <w:rFonts w:asciiTheme="minorHAnsi" w:eastAsia="Calibri" w:hAnsiTheme="minorHAnsi" w:cstheme="minorHAnsi"/>
          <w:color w:val="202124"/>
          <w:sz w:val="24"/>
          <w:szCs w:val="24"/>
        </w:rPr>
      </w:pPr>
      <w:r w:rsidRPr="0051709F">
        <w:rPr>
          <w:rFonts w:asciiTheme="minorHAnsi" w:hAnsiTheme="minorHAnsi" w:cstheme="minorHAnsi"/>
          <w:sz w:val="24"/>
          <w:szCs w:val="24"/>
          <w:lang w:val="es-ES"/>
        </w:rPr>
        <w:t xml:space="preserve">Cardon, G., van Cauwenberghe, E., Labarque, V., Haerens, L., y Bourdeaudhuij, I. (2008). </w:t>
      </w:r>
      <w:r w:rsidRPr="0051709F">
        <w:rPr>
          <w:rFonts w:asciiTheme="minorHAnsi" w:hAnsiTheme="minorHAnsi" w:cstheme="minorHAnsi"/>
          <w:sz w:val="24"/>
          <w:szCs w:val="24"/>
        </w:rPr>
        <w:t xml:space="preserve">The contribution of preschool playground factors in explaining children’s physical activity during recess. </w:t>
      </w:r>
      <w:r w:rsidRPr="0051709F">
        <w:rPr>
          <w:rFonts w:asciiTheme="minorHAnsi" w:hAnsiTheme="minorHAnsi" w:cstheme="minorHAnsi"/>
          <w:i/>
          <w:iCs/>
          <w:sz w:val="24"/>
          <w:szCs w:val="24"/>
        </w:rPr>
        <w:t>International Journal of Behavioral Nutrition and Physical Activity, 5</w:t>
      </w:r>
      <w:r w:rsidRPr="0051709F">
        <w:rPr>
          <w:rFonts w:asciiTheme="minorHAnsi" w:hAnsiTheme="minorHAnsi" w:cstheme="minorHAnsi"/>
          <w:sz w:val="24"/>
          <w:szCs w:val="24"/>
        </w:rPr>
        <w:t>, 5-11.</w:t>
      </w:r>
    </w:p>
    <w:p w14:paraId="76806423"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Cassar, S., Salmon, J., Timperio, A., Naylor, P. J., van Nassau, F. et al. </w:t>
      </w:r>
      <w:r w:rsidRPr="0051709F">
        <w:rPr>
          <w:rFonts w:asciiTheme="minorHAnsi" w:hAnsiTheme="minorHAnsi" w:cstheme="minorHAnsi"/>
          <w:sz w:val="24"/>
          <w:szCs w:val="24"/>
          <w:shd w:val="clear" w:color="auto" w:fill="FFFFFF"/>
        </w:rPr>
        <w:t xml:space="preserve">(2019). Adoption, implementation and sustainability of school-based physical activity and sedentary behaviour interventions in real-world settings: a systematic review. </w:t>
      </w:r>
      <w:r w:rsidRPr="0051709F">
        <w:rPr>
          <w:rFonts w:asciiTheme="minorHAnsi" w:eastAsia="Calibri" w:hAnsiTheme="minorHAnsi" w:cstheme="minorHAnsi"/>
          <w:i/>
          <w:iCs/>
          <w:color w:val="202124"/>
          <w:sz w:val="24"/>
          <w:szCs w:val="24"/>
        </w:rPr>
        <w:t xml:space="preserve">International Journal of Behavioral Nutrition and Physical Activity, </w:t>
      </w:r>
      <w:r w:rsidRPr="0051709F">
        <w:rPr>
          <w:rFonts w:asciiTheme="minorHAnsi" w:hAnsiTheme="minorHAnsi" w:cstheme="minorHAnsi"/>
          <w:i/>
          <w:iCs/>
          <w:sz w:val="24"/>
          <w:szCs w:val="24"/>
          <w:shd w:val="clear" w:color="auto" w:fill="FFFFFF"/>
        </w:rPr>
        <w:t>16</w:t>
      </w:r>
      <w:r w:rsidRPr="0051709F">
        <w:rPr>
          <w:rFonts w:asciiTheme="minorHAnsi" w:hAnsiTheme="minorHAnsi" w:cstheme="minorHAnsi"/>
          <w:sz w:val="24"/>
          <w:szCs w:val="24"/>
          <w:shd w:val="clear" w:color="auto" w:fill="FFFFFF"/>
        </w:rPr>
        <w:t>(1), 120.</w:t>
      </w:r>
    </w:p>
    <w:p w14:paraId="368E7C7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Centers for Disease Control and Prevention, (2011). School health guidelines to promote healthy eating and physical activity. </w:t>
      </w:r>
      <w:r w:rsidRPr="0051709F">
        <w:rPr>
          <w:rFonts w:asciiTheme="minorHAnsi" w:hAnsiTheme="minorHAnsi" w:cstheme="minorHAnsi"/>
          <w:i/>
          <w:iCs/>
          <w:sz w:val="24"/>
          <w:szCs w:val="24"/>
        </w:rPr>
        <w:t>Morbidity and Mortality Weekly Report, 60</w:t>
      </w:r>
      <w:r w:rsidRPr="0051709F">
        <w:rPr>
          <w:rFonts w:asciiTheme="minorHAnsi" w:hAnsiTheme="minorHAnsi" w:cstheme="minorHAnsi"/>
          <w:sz w:val="24"/>
          <w:szCs w:val="24"/>
        </w:rPr>
        <w:t xml:space="preserve">, 1-76. </w:t>
      </w:r>
    </w:p>
    <w:p w14:paraId="50017B3F"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Centre for Liveable Cities, Singapore &amp; Urban Land Institute (Eds.). (2014). </w:t>
      </w:r>
      <w:r w:rsidRPr="0051709F">
        <w:rPr>
          <w:rFonts w:asciiTheme="minorHAnsi" w:hAnsiTheme="minorHAnsi" w:cstheme="minorHAnsi"/>
          <w:i/>
          <w:iCs/>
          <w:sz w:val="24"/>
          <w:szCs w:val="24"/>
          <w:lang w:val="en-US"/>
        </w:rPr>
        <w:t>Creating Healthy Places through Active Mobility</w:t>
      </w:r>
      <w:r w:rsidRPr="0051709F">
        <w:rPr>
          <w:rFonts w:asciiTheme="minorHAnsi" w:hAnsiTheme="minorHAnsi" w:cstheme="minorHAnsi"/>
          <w:sz w:val="24"/>
          <w:szCs w:val="24"/>
          <w:lang w:val="en-US"/>
        </w:rPr>
        <w:t>. Singapore: Centre for Liveable Cities; Urban Land Institute. Retrieved from https://www.clc.gov.sg/docs/default-source/books/active-mobility.pdf</w:t>
      </w:r>
    </w:p>
    <w:p w14:paraId="1344B390" w14:textId="77777777" w:rsidR="00482DA9" w:rsidRPr="0051709F" w:rsidRDefault="00482DA9" w:rsidP="00E6399B">
      <w:pPr>
        <w:pStyle w:val="Bibliograf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Centro de Coordinación de Alertas y Emergencias Sanitarias. (2021). </w:t>
      </w:r>
      <w:r w:rsidRPr="0051709F">
        <w:rPr>
          <w:rFonts w:asciiTheme="minorHAnsi" w:hAnsiTheme="minorHAnsi" w:cstheme="minorHAnsi"/>
          <w:i/>
          <w:iCs/>
          <w:sz w:val="24"/>
          <w:szCs w:val="24"/>
        </w:rPr>
        <w:t>Enfermedad por el coronavirus (COVID-19). 04.01.2021</w:t>
      </w:r>
      <w:r w:rsidRPr="0051709F">
        <w:rPr>
          <w:rFonts w:asciiTheme="minorHAnsi" w:hAnsiTheme="minorHAnsi" w:cstheme="minorHAnsi"/>
          <w:sz w:val="24"/>
          <w:szCs w:val="24"/>
        </w:rPr>
        <w:t xml:space="preserve"> (No. 283). Dirección General de Salud Pública. Secretaria de Estado de Sanidad. Ministerio de Sanidad. Gobierno de España. Retrieved from Dirección General de Salud Pública. Secretaria de Estado de Sanidad. Ministerio de Sanidad. Gobierno de España. website: https://www.lamoncloa.gob.es/serviciosdeprensa/notasprensa/sanidad14/Paginas/2021/04012021_datoscovid19.aspx</w:t>
      </w:r>
    </w:p>
    <w:p w14:paraId="7487FE2C" w14:textId="77777777" w:rsidR="00A4777B" w:rsidRPr="0051709F" w:rsidRDefault="00A4777B" w:rsidP="00E6399B">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n-GB"/>
        </w:rPr>
        <w:t>Chamorro-Viña C, Valentín J, Fernández L, González-Vicent M, Pérez-Ruiz M, Lucía A, Culos-Reed SN, Díaz MÁ, Pérez-Martínez A. Influence of a Moderate-Intensity Exercise Program on Early NK Cell Immune Recovery in Pediatric Patients After Reduced-Intensity Hematopoietic Stem Cell Transplantation. Integr Cancer Ther. 2017 Dec;16(4):464-472. doi: 10.1177/1534735416679515. Epub 2016 Nov 30. PMID: 27903841; PMCID: PMC5739144.</w:t>
      </w:r>
    </w:p>
    <w:p w14:paraId="1348B9EB"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Chen Ang (2013). Effects of exergaming and the physical education curriculum. </w:t>
      </w:r>
      <w:r w:rsidRPr="0051709F">
        <w:rPr>
          <w:rFonts w:asciiTheme="minorHAnsi" w:hAnsiTheme="minorHAnsi" w:cstheme="minorHAnsi"/>
          <w:i/>
          <w:iCs/>
          <w:sz w:val="24"/>
          <w:szCs w:val="24"/>
        </w:rPr>
        <w:t>Journal of Sport and Health Science, 2</w:t>
      </w:r>
      <w:r w:rsidRPr="0051709F">
        <w:rPr>
          <w:rFonts w:asciiTheme="minorHAnsi" w:hAnsiTheme="minorHAnsi" w:cstheme="minorHAnsi"/>
          <w:sz w:val="24"/>
          <w:szCs w:val="24"/>
        </w:rPr>
        <w:t>, 129-130.</w:t>
      </w:r>
    </w:p>
    <w:p w14:paraId="68112F0E"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Cheon, S. H., y Reeve J. (2013). </w:t>
      </w:r>
      <w:r w:rsidRPr="0051709F">
        <w:rPr>
          <w:rFonts w:asciiTheme="minorHAnsi" w:hAnsiTheme="minorHAnsi" w:cstheme="minorHAnsi"/>
          <w:sz w:val="24"/>
          <w:szCs w:val="24"/>
          <w:shd w:val="clear" w:color="auto" w:fill="FFFFFF"/>
        </w:rPr>
        <w:t xml:space="preserve">Do the benefits from autonomy-supportive PE teacher training programs endure?: A one-year follow-up investigation. </w:t>
      </w:r>
      <w:r w:rsidRPr="0051709F">
        <w:rPr>
          <w:rFonts w:asciiTheme="minorHAnsi" w:hAnsiTheme="minorHAnsi" w:cstheme="minorHAnsi"/>
          <w:i/>
          <w:iCs/>
          <w:sz w:val="24"/>
          <w:szCs w:val="24"/>
        </w:rPr>
        <w:t>Psychology of Sport and Exercise</w:t>
      </w:r>
      <w:r w:rsidRPr="0051709F">
        <w:rPr>
          <w:rFonts w:asciiTheme="minorHAnsi" w:hAnsiTheme="minorHAnsi" w:cstheme="minorHAnsi"/>
          <w:sz w:val="24"/>
          <w:szCs w:val="24"/>
          <w:shd w:val="clear" w:color="auto" w:fill="FFFFFF"/>
        </w:rPr>
        <w:t>. </w:t>
      </w:r>
      <w:hyperlink r:id="rId111" w:history="1">
        <w:r w:rsidRPr="0051709F">
          <w:rPr>
            <w:rStyle w:val="Hipervnculo"/>
            <w:rFonts w:asciiTheme="minorHAnsi" w:hAnsiTheme="minorHAnsi" w:cstheme="minorHAnsi"/>
            <w:color w:val="auto"/>
            <w:sz w:val="24"/>
            <w:szCs w:val="24"/>
            <w:shd w:val="clear" w:color="auto" w:fill="FFFFFF"/>
          </w:rPr>
          <w:t>https://doi.org/10.1016/j.psychsport.2013.02.002</w:t>
        </w:r>
      </w:hyperlink>
      <w:r w:rsidRPr="0051709F">
        <w:rPr>
          <w:rFonts w:asciiTheme="minorHAnsi" w:hAnsiTheme="minorHAnsi" w:cstheme="minorHAnsi"/>
          <w:sz w:val="24"/>
          <w:szCs w:val="24"/>
          <w:shd w:val="clear" w:color="auto" w:fill="FFFFFF"/>
        </w:rPr>
        <w:t>.</w:t>
      </w:r>
    </w:p>
    <w:p w14:paraId="76471F3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Chin, J. J., y Ludwig, D. (2013). Cómo aumentar la actividad física de los niños durante el período del recreo en las escuelas. </w:t>
      </w:r>
      <w:r w:rsidRPr="0051709F">
        <w:rPr>
          <w:rFonts w:asciiTheme="minorHAnsi" w:hAnsiTheme="minorHAnsi" w:cstheme="minorHAnsi"/>
          <w:i/>
          <w:iCs/>
          <w:sz w:val="24"/>
          <w:szCs w:val="24"/>
        </w:rPr>
        <w:t>American Journal of Public Health, 103(7)</w:t>
      </w:r>
      <w:r w:rsidRPr="0051709F">
        <w:rPr>
          <w:rFonts w:asciiTheme="minorHAnsi" w:hAnsiTheme="minorHAnsi" w:cstheme="minorHAnsi"/>
          <w:sz w:val="24"/>
          <w:szCs w:val="24"/>
        </w:rPr>
        <w:t>, 1229-1234.</w:t>
      </w:r>
    </w:p>
    <w:p w14:paraId="2186BB0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Colín-Ramírez, E., Castillo-Martínez, L., Orea-Tejeda, A., Vergara-Castañeda, A., Keirns-Davis, C., y Villa-Romero, A. (2010). </w:t>
      </w:r>
      <w:r w:rsidRPr="0051709F">
        <w:rPr>
          <w:rFonts w:asciiTheme="minorHAnsi" w:hAnsiTheme="minorHAnsi" w:cstheme="minorHAnsi"/>
          <w:sz w:val="24"/>
          <w:szCs w:val="24"/>
        </w:rPr>
        <w:t xml:space="preserve">Outcomes of a school-based intervention (RESCATE) to improve physical activity patterns in Mexican children aged 8-10 years. </w:t>
      </w:r>
      <w:r w:rsidRPr="0051709F">
        <w:rPr>
          <w:rFonts w:asciiTheme="minorHAnsi" w:hAnsiTheme="minorHAnsi" w:cstheme="minorHAnsi"/>
          <w:i/>
          <w:iCs/>
          <w:sz w:val="24"/>
          <w:szCs w:val="24"/>
        </w:rPr>
        <w:t>Health Education Research, 25</w:t>
      </w:r>
      <w:r w:rsidRPr="0051709F">
        <w:rPr>
          <w:rFonts w:asciiTheme="minorHAnsi" w:hAnsiTheme="minorHAnsi" w:cstheme="minorHAnsi"/>
          <w:sz w:val="24"/>
          <w:szCs w:val="24"/>
        </w:rPr>
        <w:t>, 1042-1049.</w:t>
      </w:r>
    </w:p>
    <w:p w14:paraId="29012D1C" w14:textId="77777777" w:rsidR="005F46AB" w:rsidRPr="0051709F" w:rsidRDefault="005F46AB" w:rsidP="00E6399B">
      <w:pPr>
        <w:pStyle w:val="Bibliograf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Colomina, B. (2021). </w:t>
      </w:r>
      <w:r w:rsidRPr="0051709F">
        <w:rPr>
          <w:rFonts w:asciiTheme="minorHAnsi" w:hAnsiTheme="minorHAnsi" w:cstheme="minorHAnsi"/>
          <w:i/>
          <w:iCs/>
          <w:sz w:val="24"/>
          <w:szCs w:val="24"/>
        </w:rPr>
        <w:t>Arquitectura de rayos X</w:t>
      </w:r>
      <w:r w:rsidRPr="0051709F">
        <w:rPr>
          <w:rFonts w:asciiTheme="minorHAnsi" w:hAnsiTheme="minorHAnsi" w:cstheme="minorHAnsi"/>
          <w:sz w:val="24"/>
          <w:szCs w:val="24"/>
        </w:rPr>
        <w:t>. Barcelona: Puente Editores.</w:t>
      </w:r>
    </w:p>
    <w:p w14:paraId="0B9665FF" w14:textId="621631C6" w:rsidR="00993CD3" w:rsidRPr="0051709F" w:rsidRDefault="00993CD3"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Comité Olímpico International, IOC, International Olympic Committee. Olympic Agenda 2020: 20+20 Recommendations and Sport and Active Society (https://www.olympic.org/news/olympic-agenda-2020-discussions-culminate-in-20- 20-recommendations). </w:t>
      </w:r>
    </w:p>
    <w:p w14:paraId="4828EE65" w14:textId="77777777" w:rsidR="00A4777B" w:rsidRPr="0051709F" w:rsidRDefault="00A4777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Consejo General de Colegios de Farmacéuticos. La aportación de valor del modelo de farmacia a la cohesión territorial y al reto demográfico. </w:t>
      </w:r>
      <w:r w:rsidRPr="0051709F">
        <w:rPr>
          <w:rFonts w:asciiTheme="minorHAnsi" w:hAnsiTheme="minorHAnsi" w:cstheme="minorHAnsi"/>
          <w:sz w:val="24"/>
          <w:szCs w:val="24"/>
        </w:rPr>
        <w:t xml:space="preserve">Enero 2023. </w:t>
      </w:r>
      <w:hyperlink r:id="rId112" w:history="1">
        <w:r w:rsidRPr="0051709F">
          <w:rPr>
            <w:rStyle w:val="Hipervnculo"/>
            <w:rFonts w:asciiTheme="minorHAnsi" w:hAnsiTheme="minorHAnsi" w:cstheme="minorHAnsi"/>
            <w:sz w:val="24"/>
            <w:szCs w:val="24"/>
          </w:rPr>
          <w:t>https://www.farmaceuticos.com/wp-content/uploads/2023/01/Informe-Contribucion-farmacia-reto-demografico.pdf</w:t>
        </w:r>
      </w:hyperlink>
      <w:r w:rsidRPr="0051709F">
        <w:rPr>
          <w:rFonts w:asciiTheme="minorHAnsi" w:hAnsiTheme="minorHAnsi" w:cstheme="minorHAnsi"/>
          <w:sz w:val="24"/>
          <w:szCs w:val="24"/>
        </w:rPr>
        <w:t>. Acceso: 6 de julio de 2023.</w:t>
      </w:r>
    </w:p>
    <w:p w14:paraId="325AAABE" w14:textId="6361FBF9" w:rsidR="000C66BC"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Consejo Superior de Deportes (2010). Plan Integral para la Actividad Física y el Deporte.</w:t>
      </w:r>
    </w:p>
    <w:p w14:paraId="0C301FD3" w14:textId="7395264C" w:rsidR="001D1628" w:rsidRPr="0051709F" w:rsidRDefault="001D1628"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C</w:t>
      </w:r>
      <w:r w:rsidRPr="001D1628">
        <w:rPr>
          <w:rFonts w:asciiTheme="minorHAnsi" w:hAnsiTheme="minorHAnsi" w:cstheme="minorHAnsi"/>
          <w:noProof/>
          <w:lang w:val="es-ES"/>
        </w:rPr>
        <w:t>onsejo Superior de Deportes</w:t>
      </w:r>
      <w:r w:rsidRPr="001D1628">
        <w:rPr>
          <w:rFonts w:asciiTheme="minorHAnsi" w:hAnsiTheme="minorHAnsi" w:cstheme="minorHAnsi"/>
          <w:color w:val="212121"/>
          <w:lang w:val="es-ES"/>
        </w:rPr>
        <w:t xml:space="preserve"> (2021). "Gasto público vinculado al deporte". </w:t>
      </w:r>
      <w:r w:rsidRPr="001D1628">
        <w:rPr>
          <w:rFonts w:asciiTheme="minorHAnsi" w:hAnsiTheme="minorHAnsi" w:cstheme="minorHAnsi"/>
          <w:color w:val="212121"/>
        </w:rPr>
        <w:t>[En línea: </w:t>
      </w:r>
      <w:r w:rsidRPr="001D1628">
        <w:rPr>
          <w:rStyle w:val="apple-converted-space"/>
          <w:rFonts w:asciiTheme="minorHAnsi" w:hAnsiTheme="minorHAnsi" w:cstheme="minorHAnsi"/>
          <w:color w:val="212121"/>
        </w:rPr>
        <w:t> </w:t>
      </w:r>
      <w:r w:rsidRPr="001D1628">
        <w:rPr>
          <w:rFonts w:asciiTheme="minorHAnsi" w:hAnsiTheme="minorHAnsi" w:cstheme="minorHAnsi"/>
          <w:color w:val="212121"/>
        </w:rPr>
        <w:br/>
      </w:r>
      <w:hyperlink r:id="rId113" w:tooltip="https://estadisticas.mecd.gob.es/DeporteDynPx/deportebase/index.htm?type=pcaxis&amp;path=/d11/f11/a2012/&amp;file=pcaxis]" w:history="1">
        <w:r w:rsidRPr="001D1628">
          <w:rPr>
            <w:rStyle w:val="Hipervnculo"/>
            <w:rFonts w:asciiTheme="minorHAnsi" w:hAnsiTheme="minorHAnsi" w:cstheme="minorHAnsi"/>
            <w:color w:val="0078D7"/>
          </w:rPr>
          <w:t>https://estadisticas.mecd.gob.es/DeporteDynPx/deportebase/index.htm?type=pcaxis&amp;path=/d11/f11/a2012/&amp;file=pcaxis]</w:t>
        </w:r>
      </w:hyperlink>
    </w:p>
    <w:p w14:paraId="72FB5E49" w14:textId="2E4F27B8" w:rsidR="00540DC0" w:rsidRPr="0051709F" w:rsidRDefault="00540DC0"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Costa BR, Ramos VE. Risk factors for work-related musculoskeletal disorders: a systematic review of recent longitudinal studies. Am J Ind Med. 2010;53(1):285–323.</w:t>
      </w:r>
    </w:p>
    <w:p w14:paraId="7FA9219F" w14:textId="4A2E72EA"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Dahlgren, G., &amp; Whitehead, M. (1991). </w:t>
      </w:r>
      <w:r w:rsidRPr="0051709F">
        <w:rPr>
          <w:rFonts w:asciiTheme="minorHAnsi" w:eastAsia="Times New Roman" w:hAnsiTheme="minorHAnsi" w:cstheme="minorHAnsi"/>
          <w:i/>
          <w:iCs/>
          <w:sz w:val="24"/>
          <w:szCs w:val="24"/>
        </w:rPr>
        <w:t>Policies and strategies to promote social equity in health</w:t>
      </w:r>
      <w:r w:rsidRPr="0051709F">
        <w:rPr>
          <w:rFonts w:asciiTheme="minorHAnsi" w:eastAsia="Times New Roman" w:hAnsiTheme="minorHAnsi" w:cstheme="minorHAnsi"/>
          <w:sz w:val="24"/>
          <w:szCs w:val="24"/>
        </w:rPr>
        <w:t>.</w:t>
      </w:r>
    </w:p>
    <w:p w14:paraId="41B4D8A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C13402">
        <w:rPr>
          <w:rFonts w:asciiTheme="minorHAnsi" w:hAnsiTheme="minorHAnsi" w:cstheme="minorHAnsi"/>
          <w:sz w:val="24"/>
          <w:szCs w:val="24"/>
          <w:lang w:val="de-DE"/>
        </w:rPr>
        <w:lastRenderedPageBreak/>
        <w:t xml:space="preserve">Davidson, Z., Simen-Kapeu, A., y Veugelers, P. J. (2010). </w:t>
      </w:r>
      <w:r w:rsidRPr="0051709F">
        <w:rPr>
          <w:rFonts w:asciiTheme="minorHAnsi" w:hAnsiTheme="minorHAnsi" w:cstheme="minorHAnsi"/>
          <w:sz w:val="24"/>
          <w:szCs w:val="24"/>
        </w:rPr>
        <w:t xml:space="preserve">Neighborhood determinants of self-efficacy, physical activity, and body weights among Canadian children. </w:t>
      </w:r>
      <w:r w:rsidRPr="0051709F">
        <w:rPr>
          <w:rFonts w:asciiTheme="minorHAnsi" w:hAnsiTheme="minorHAnsi" w:cstheme="minorHAnsi"/>
          <w:i/>
          <w:iCs/>
          <w:sz w:val="24"/>
          <w:szCs w:val="24"/>
        </w:rPr>
        <w:t>Health &amp; Place, 16</w:t>
      </w:r>
      <w:r w:rsidRPr="0051709F">
        <w:rPr>
          <w:rFonts w:asciiTheme="minorHAnsi" w:hAnsiTheme="minorHAnsi" w:cstheme="minorHAnsi"/>
          <w:sz w:val="24"/>
          <w:szCs w:val="24"/>
        </w:rPr>
        <w:t>, 567-572.</w:t>
      </w:r>
    </w:p>
    <w:p w14:paraId="51E9759C"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Davison, K. K., y Jago, R. (2009). Change in parent and peer support across ages 9 to 15 yr and adolescent girls' physical activity. </w:t>
      </w:r>
      <w:r w:rsidRPr="0051709F">
        <w:rPr>
          <w:rFonts w:asciiTheme="minorHAnsi" w:hAnsiTheme="minorHAnsi" w:cstheme="minorHAnsi"/>
          <w:i/>
          <w:iCs/>
          <w:sz w:val="24"/>
          <w:szCs w:val="24"/>
        </w:rPr>
        <w:t>Medicine &amp; Science in Sports &amp; Exercise, 41(9)</w:t>
      </w:r>
      <w:r w:rsidRPr="0051709F">
        <w:rPr>
          <w:rFonts w:asciiTheme="minorHAnsi" w:hAnsiTheme="minorHAnsi" w:cstheme="minorHAnsi"/>
          <w:sz w:val="24"/>
          <w:szCs w:val="24"/>
        </w:rPr>
        <w:t xml:space="preserve">, 1816-1825. </w:t>
      </w:r>
    </w:p>
    <w:p w14:paraId="0451B8D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Davison, K. K., y Schmalz, D. L. (2006). Youth at risk of physical inactivity may benefit more from activity-related support than youth not at risk. </w:t>
      </w:r>
      <w:r w:rsidRPr="0051709F">
        <w:rPr>
          <w:rFonts w:asciiTheme="minorHAnsi" w:hAnsiTheme="minorHAnsi" w:cstheme="minorHAnsi"/>
          <w:i/>
          <w:iCs/>
          <w:sz w:val="24"/>
          <w:szCs w:val="24"/>
        </w:rPr>
        <w:t>International Journal of Behavioral Nutrition and Physical Activity, 3</w:t>
      </w:r>
      <w:r w:rsidRPr="0051709F">
        <w:rPr>
          <w:rFonts w:asciiTheme="minorHAnsi" w:hAnsiTheme="minorHAnsi" w:cstheme="minorHAnsi"/>
          <w:sz w:val="24"/>
          <w:szCs w:val="24"/>
        </w:rPr>
        <w:t xml:space="preserve">, 5. </w:t>
      </w:r>
    </w:p>
    <w:p w14:paraId="4E2BE6EB"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Deci, E. L., Driver, R. E., Hotchkiss, L., Robbins, R. J., y McDougal, W. I. (1993). The relation of mothers’ controlling vocalizations to children’s intrinsic motivation. </w:t>
      </w:r>
      <w:r w:rsidRPr="0051709F">
        <w:rPr>
          <w:rFonts w:asciiTheme="minorHAnsi" w:hAnsiTheme="minorHAnsi" w:cstheme="minorHAnsi"/>
          <w:i/>
          <w:iCs/>
          <w:sz w:val="24"/>
          <w:szCs w:val="24"/>
        </w:rPr>
        <w:t>Journal of Expperimental Child Psychology, 55</w:t>
      </w:r>
      <w:r w:rsidRPr="0051709F">
        <w:rPr>
          <w:rFonts w:asciiTheme="minorHAnsi" w:hAnsiTheme="minorHAnsi" w:cstheme="minorHAnsi"/>
          <w:sz w:val="24"/>
          <w:szCs w:val="24"/>
        </w:rPr>
        <w:t xml:space="preserve">, 151-162. </w:t>
      </w:r>
    </w:p>
    <w:p w14:paraId="054699AB"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Deci, E. L., y Ryan, R. M. (1980). </w:t>
      </w:r>
      <w:r w:rsidRPr="0051709F">
        <w:rPr>
          <w:rFonts w:asciiTheme="minorHAnsi" w:hAnsiTheme="minorHAnsi" w:cstheme="minorHAnsi"/>
          <w:iCs/>
          <w:sz w:val="24"/>
          <w:szCs w:val="24"/>
        </w:rPr>
        <w:t>The empirical exploration of intrinsic motivational processes</w:t>
      </w:r>
      <w:r w:rsidRPr="0051709F">
        <w:rPr>
          <w:rFonts w:asciiTheme="minorHAnsi" w:hAnsiTheme="minorHAnsi" w:cstheme="minorHAnsi"/>
          <w:sz w:val="24"/>
          <w:szCs w:val="24"/>
        </w:rPr>
        <w:t xml:space="preserve">. En L. Berkowitz (Ed.), </w:t>
      </w:r>
      <w:r w:rsidRPr="0051709F">
        <w:rPr>
          <w:rFonts w:asciiTheme="minorHAnsi" w:hAnsiTheme="minorHAnsi" w:cstheme="minorHAnsi"/>
          <w:i/>
          <w:sz w:val="24"/>
          <w:szCs w:val="24"/>
        </w:rPr>
        <w:t>Advances in experimental social psychology</w:t>
      </w:r>
      <w:r w:rsidRPr="0051709F">
        <w:rPr>
          <w:rFonts w:asciiTheme="minorHAnsi" w:hAnsiTheme="minorHAnsi" w:cstheme="minorHAnsi"/>
          <w:sz w:val="24"/>
          <w:szCs w:val="24"/>
        </w:rPr>
        <w:t xml:space="preserve"> (Vol.13., pp. 39-80). New York: Academic Press.</w:t>
      </w:r>
    </w:p>
    <w:p w14:paraId="0081F5D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Dempsey, J., Kimiecik, J., y Horn, T. (1993). Parental influence on children’s moderate-to-vigorous physical activity: an expectancy-value approach. </w:t>
      </w:r>
      <w:r w:rsidRPr="0051709F">
        <w:rPr>
          <w:rFonts w:asciiTheme="minorHAnsi" w:hAnsiTheme="minorHAnsi" w:cstheme="minorHAnsi"/>
          <w:i/>
          <w:sz w:val="24"/>
          <w:szCs w:val="24"/>
        </w:rPr>
        <w:t>Pediatric Exercise Science, 5</w:t>
      </w:r>
      <w:r w:rsidRPr="0051709F">
        <w:rPr>
          <w:rFonts w:asciiTheme="minorHAnsi" w:hAnsiTheme="minorHAnsi" w:cstheme="minorHAnsi"/>
          <w:sz w:val="24"/>
          <w:szCs w:val="24"/>
        </w:rPr>
        <w:t xml:space="preserve">, 151-167. </w:t>
      </w:r>
    </w:p>
    <w:p w14:paraId="3B5476F2" w14:textId="77777777" w:rsidR="003B675E"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Department Of Health. (2016). </w:t>
      </w:r>
      <w:r w:rsidRPr="0051709F">
        <w:rPr>
          <w:rFonts w:asciiTheme="minorHAnsi" w:eastAsia="Times New Roman" w:hAnsiTheme="minorHAnsi" w:cstheme="minorHAnsi"/>
          <w:i/>
          <w:iCs/>
          <w:sz w:val="24"/>
          <w:szCs w:val="24"/>
        </w:rPr>
        <w:t>National Physical Activity Plan for Ireland</w:t>
      </w:r>
      <w:r w:rsidRPr="0051709F">
        <w:rPr>
          <w:rFonts w:asciiTheme="minorHAnsi" w:eastAsia="Times New Roman" w:hAnsiTheme="minorHAnsi" w:cstheme="minorHAnsi"/>
          <w:sz w:val="24"/>
          <w:szCs w:val="24"/>
        </w:rPr>
        <w:t>.</w:t>
      </w:r>
    </w:p>
    <w:p w14:paraId="0F10AF1F" w14:textId="562D70A3" w:rsidR="00D513DF" w:rsidRPr="0051709F" w:rsidRDefault="00D513DF"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D513DF">
        <w:rPr>
          <w:rFonts w:asciiTheme="minorHAnsi" w:eastAsia="Times New Roman" w:hAnsiTheme="minorHAnsi" w:cstheme="minorHAnsi"/>
          <w:sz w:val="24"/>
          <w:szCs w:val="24"/>
        </w:rPr>
        <w:t xml:space="preserve">Deschesnes, M., Martin, C., &amp; Hill, A. J. (2003). Comprehensive approaches to school health promotion: how to achieve broader implementation?. </w:t>
      </w:r>
      <w:r>
        <w:rPr>
          <w:rFonts w:asciiTheme="minorHAnsi" w:eastAsia="Times New Roman" w:hAnsiTheme="minorHAnsi" w:cstheme="minorHAnsi"/>
          <w:i/>
          <w:sz w:val="24"/>
          <w:szCs w:val="24"/>
        </w:rPr>
        <w:t>Health Promotion I</w:t>
      </w:r>
      <w:r w:rsidRPr="00D513DF">
        <w:rPr>
          <w:rFonts w:asciiTheme="minorHAnsi" w:eastAsia="Times New Roman" w:hAnsiTheme="minorHAnsi" w:cstheme="minorHAnsi"/>
          <w:i/>
          <w:sz w:val="24"/>
          <w:szCs w:val="24"/>
        </w:rPr>
        <w:t>nternational, 18</w:t>
      </w:r>
      <w:r w:rsidRPr="00D513DF">
        <w:rPr>
          <w:rFonts w:asciiTheme="minorHAnsi" w:eastAsia="Times New Roman" w:hAnsiTheme="minorHAnsi" w:cstheme="minorHAnsi"/>
          <w:sz w:val="24"/>
          <w:szCs w:val="24"/>
        </w:rPr>
        <w:t>(4), 387-396.</w:t>
      </w:r>
    </w:p>
    <w:p w14:paraId="14C1D05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Digelidis, N., Papaioannou, A. Laparidis, K., y Christodoulidis, T. (2003). A one-year intervention in 7th grade physical education classes aiming to change motivational climate and attitudes toward exercise. </w:t>
      </w:r>
      <w:r w:rsidRPr="0051709F">
        <w:rPr>
          <w:rFonts w:asciiTheme="minorHAnsi" w:hAnsiTheme="minorHAnsi" w:cstheme="minorHAnsi"/>
          <w:i/>
          <w:sz w:val="24"/>
          <w:szCs w:val="24"/>
        </w:rPr>
        <w:t>Psychology of Sport and Exercise, 4</w:t>
      </w:r>
      <w:r w:rsidRPr="0051709F">
        <w:rPr>
          <w:rFonts w:asciiTheme="minorHAnsi" w:hAnsiTheme="minorHAnsi" w:cstheme="minorHAnsi"/>
          <w:sz w:val="24"/>
          <w:szCs w:val="24"/>
        </w:rPr>
        <w:t>, 195-210.</w:t>
      </w:r>
    </w:p>
    <w:p w14:paraId="308E8D59" w14:textId="6CE6FB86" w:rsidR="006A7B3D" w:rsidRPr="0051709F" w:rsidRDefault="006A7B3D" w:rsidP="00E6399B">
      <w:pPr>
        <w:pStyle w:val="refauthorsname"/>
        <w:numPr>
          <w:ilvl w:val="0"/>
          <w:numId w:val="78"/>
        </w:numPr>
        <w:shd w:val="clear" w:color="auto" w:fill="FFFFFF"/>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Ding D, Lawson KD, Kolbe-Alexander TL et al. The economic burden of physical inactivity: a global analysis of major non-communicable diseases. </w:t>
      </w:r>
      <w:r w:rsidRPr="0051709F">
        <w:rPr>
          <w:rStyle w:val="refseries"/>
          <w:rFonts w:asciiTheme="minorHAnsi" w:eastAsiaTheme="majorEastAsia" w:hAnsiTheme="minorHAnsi" w:cstheme="minorHAnsi"/>
          <w:i/>
          <w:iCs/>
          <w:color w:val="000000" w:themeColor="text1"/>
          <w:shd w:val="clear" w:color="auto" w:fill="FFFFFF"/>
        </w:rPr>
        <w:t>Lancet.</w:t>
      </w:r>
      <w:r w:rsidRPr="0051709F">
        <w:rPr>
          <w:rStyle w:val="refseries"/>
          <w:rFonts w:asciiTheme="minorHAnsi" w:eastAsiaTheme="majorEastAsia" w:hAnsiTheme="minorHAnsi" w:cstheme="minorHAnsi"/>
          <w:color w:val="000000" w:themeColor="text1"/>
          <w:shd w:val="clear" w:color="auto" w:fill="FFFFFF"/>
        </w:rPr>
        <w:t> </w:t>
      </w:r>
      <w:r w:rsidRPr="0051709F">
        <w:rPr>
          <w:rStyle w:val="refseriesdate"/>
          <w:rFonts w:asciiTheme="minorHAnsi" w:eastAsiaTheme="majorEastAsia" w:hAnsiTheme="minorHAnsi" w:cstheme="minorHAnsi"/>
          <w:color w:val="000000" w:themeColor="text1"/>
          <w:shd w:val="clear" w:color="auto" w:fill="FFFFFF"/>
        </w:rPr>
        <w:t>2016; </w:t>
      </w:r>
      <w:r w:rsidRPr="0051709F">
        <w:rPr>
          <w:rStyle w:val="refseriesvolume"/>
          <w:rFonts w:asciiTheme="minorHAnsi" w:eastAsiaTheme="majorEastAsia" w:hAnsiTheme="minorHAnsi" w:cstheme="minorHAnsi"/>
          <w:color w:val="000000" w:themeColor="text1"/>
          <w:shd w:val="clear" w:color="auto" w:fill="FFFFFF"/>
        </w:rPr>
        <w:t>388</w:t>
      </w:r>
      <w:r w:rsidRPr="0051709F">
        <w:rPr>
          <w:rFonts w:asciiTheme="minorHAnsi" w:hAnsiTheme="minorHAnsi" w:cstheme="minorHAnsi"/>
          <w:color w:val="000000" w:themeColor="text1"/>
          <w:shd w:val="clear" w:color="auto" w:fill="FFFFFF"/>
          <w:lang w:val="en-US"/>
        </w:rPr>
        <w:t>: </w:t>
      </w:r>
      <w:r w:rsidRPr="0051709F">
        <w:rPr>
          <w:rStyle w:val="refseriespages"/>
          <w:rFonts w:asciiTheme="minorHAnsi" w:eastAsiaTheme="majorEastAsia" w:hAnsiTheme="minorHAnsi" w:cstheme="minorHAnsi"/>
          <w:color w:val="000000" w:themeColor="text1"/>
          <w:shd w:val="clear" w:color="auto" w:fill="FFFFFF"/>
        </w:rPr>
        <w:t>1311-1324.</w:t>
      </w:r>
    </w:p>
    <w:p w14:paraId="7462BFFD" w14:textId="77777777" w:rsidR="00482DA9" w:rsidRPr="0051709F" w:rsidRDefault="00482DA9"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rPr>
        <w:t xml:space="preserve">Dirección General de Tráfico, DGT. Gobierno de España. (2021, August 21). En 2020 fallecieron 1.370 personas en accidentes de tráfico. </w:t>
      </w:r>
      <w:r w:rsidRPr="0051709F">
        <w:rPr>
          <w:rFonts w:asciiTheme="minorHAnsi" w:hAnsiTheme="minorHAnsi" w:cstheme="minorHAnsi"/>
          <w:sz w:val="24"/>
          <w:szCs w:val="24"/>
          <w:lang w:val="en-US"/>
        </w:rPr>
        <w:t>[Nota de prensa]. Retrieved January 11, 2023, from DGT website: https://www.dgt.es/comunicacion/notas-de-prensa/en-2020-fallecieron-1.370-personas-en-accidentes-de-trafico/</w:t>
      </w:r>
    </w:p>
    <w:p w14:paraId="1D576279"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Dobbins, M., DeCorby, K., Robeson, P., Husson, H., y Tirilis, D. (2009). School-based physical activity programs for promoting physical activity and fitness in children and adolescents aged 6-18. </w:t>
      </w:r>
      <w:r w:rsidRPr="0051709F">
        <w:rPr>
          <w:rFonts w:asciiTheme="minorHAnsi" w:hAnsiTheme="minorHAnsi" w:cstheme="minorHAnsi"/>
          <w:i/>
          <w:sz w:val="24"/>
          <w:szCs w:val="24"/>
        </w:rPr>
        <w:t>Cochrane Database of Systematic Reviews, 1</w:t>
      </w:r>
      <w:r w:rsidRPr="0051709F">
        <w:rPr>
          <w:rFonts w:asciiTheme="minorHAnsi" w:hAnsiTheme="minorHAnsi" w:cstheme="minorHAnsi"/>
          <w:sz w:val="24"/>
          <w:szCs w:val="24"/>
        </w:rPr>
        <w:t xml:space="preserve">. </w:t>
      </w:r>
    </w:p>
    <w:p w14:paraId="29D26E65" w14:textId="77777777" w:rsidR="00A4777B" w:rsidRPr="0051709F" w:rsidRDefault="00A4777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222222"/>
          <w:sz w:val="24"/>
          <w:szCs w:val="24"/>
          <w:shd w:val="clear" w:color="auto" w:fill="FFFFFF"/>
          <w:lang w:val="es-ES"/>
        </w:rPr>
        <w:t xml:space="preserve">Donadio, M. V. F., Cobo-Vicente, F., San Juan, A. F., Sanz-Santiago, V., Fernández-Luna, Á., Iturriaga, T., ... </w:t>
      </w:r>
      <w:r w:rsidRPr="0051709F">
        <w:rPr>
          <w:rFonts w:asciiTheme="minorHAnsi" w:hAnsiTheme="minorHAnsi" w:cstheme="minorHAnsi"/>
          <w:color w:val="222222"/>
          <w:sz w:val="24"/>
          <w:szCs w:val="24"/>
          <w:shd w:val="clear" w:color="auto" w:fill="FFFFFF"/>
        </w:rPr>
        <w:t>&amp; Pérez-Ruiz, M. (2022). Is exercise and electrostimulation effective in improving muscle strength and cardiorespiratory fitness in children with cystic fibrosis and mild-to-moderate pulmonary impairment?: Randomized controlled trial. </w:t>
      </w:r>
      <w:r w:rsidRPr="0051709F">
        <w:rPr>
          <w:rFonts w:asciiTheme="minorHAnsi" w:hAnsiTheme="minorHAnsi" w:cstheme="minorHAnsi"/>
          <w:i/>
          <w:iCs/>
          <w:color w:val="222222"/>
          <w:sz w:val="24"/>
          <w:szCs w:val="24"/>
          <w:shd w:val="clear" w:color="auto" w:fill="FFFFFF"/>
        </w:rPr>
        <w:t>Respiratory Medicine</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196</w:t>
      </w:r>
      <w:r w:rsidRPr="0051709F">
        <w:rPr>
          <w:rFonts w:asciiTheme="minorHAnsi" w:hAnsiTheme="minorHAnsi" w:cstheme="minorHAnsi"/>
          <w:color w:val="222222"/>
          <w:sz w:val="24"/>
          <w:szCs w:val="24"/>
          <w:shd w:val="clear" w:color="auto" w:fill="FFFFFF"/>
        </w:rPr>
        <w:t>, 106798.</w:t>
      </w:r>
    </w:p>
    <w:p w14:paraId="3C696C49" w14:textId="08E1E259"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Duda, J. L. (1996). Maximizing motivation in sport and physical education among children and adolescents. </w:t>
      </w:r>
      <w:r w:rsidRPr="0051709F">
        <w:rPr>
          <w:rFonts w:asciiTheme="minorHAnsi" w:hAnsiTheme="minorHAnsi" w:cstheme="minorHAnsi"/>
          <w:i/>
          <w:sz w:val="24"/>
          <w:szCs w:val="24"/>
        </w:rPr>
        <w:t>Quest, 48</w:t>
      </w:r>
      <w:r w:rsidRPr="0051709F">
        <w:rPr>
          <w:rFonts w:asciiTheme="minorHAnsi" w:hAnsiTheme="minorHAnsi" w:cstheme="minorHAnsi"/>
          <w:sz w:val="24"/>
          <w:szCs w:val="24"/>
        </w:rPr>
        <w:t>, 290-302.</w:t>
      </w:r>
    </w:p>
    <w:p w14:paraId="71C89CFA"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rPr>
        <w:t xml:space="preserve">Dugdill L, Brettle A, Hulme C, Mccluskey S, Long AF. Workplace physical activity interventions: a systematic review. </w:t>
      </w:r>
      <w:r w:rsidRPr="00C13402">
        <w:rPr>
          <w:rFonts w:asciiTheme="minorHAnsi" w:hAnsiTheme="minorHAnsi" w:cstheme="minorHAnsi"/>
          <w:sz w:val="24"/>
          <w:szCs w:val="24"/>
          <w:lang w:val="de-DE"/>
        </w:rPr>
        <w:t xml:space="preserve">Int J Work Heal Manag. </w:t>
      </w:r>
      <w:r w:rsidRPr="0051709F">
        <w:rPr>
          <w:rFonts w:asciiTheme="minorHAnsi" w:hAnsiTheme="minorHAnsi" w:cstheme="minorHAnsi"/>
          <w:sz w:val="24"/>
          <w:szCs w:val="24"/>
          <w:lang w:val="es-ES"/>
        </w:rPr>
        <w:t>2008;1(1):20–40.</w:t>
      </w:r>
    </w:p>
    <w:p w14:paraId="336C0C6E"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rPr>
        <w:lastRenderedPageBreak/>
        <w:t xml:space="preserve">Dyson, B., Landi, D., y Gordin, B. (2018). </w:t>
      </w:r>
      <w:r w:rsidRPr="0051709F">
        <w:rPr>
          <w:rFonts w:asciiTheme="minorHAnsi" w:hAnsiTheme="minorHAnsi" w:cstheme="minorHAnsi"/>
          <w:lang w:val="en-GB"/>
        </w:rPr>
        <w:t>Redesign of PE in Aotearoa New Zealand. En H. A. Lawson (Ed),</w:t>
      </w:r>
      <w:r w:rsidRPr="0051709F">
        <w:rPr>
          <w:rStyle w:val="html-italic"/>
          <w:rFonts w:asciiTheme="minorHAnsi" w:eastAsiaTheme="majorEastAsia" w:hAnsiTheme="minorHAnsi" w:cstheme="minorHAnsi"/>
          <w:lang w:val="en-GB"/>
        </w:rPr>
        <w:t xml:space="preserve"> Redesigning Physical Education. An Equity Agenda in which Every Child Matters</w:t>
      </w:r>
      <w:r w:rsidRPr="0051709F">
        <w:rPr>
          <w:rFonts w:asciiTheme="minorHAnsi" w:hAnsiTheme="minorHAnsi" w:cstheme="minorHAnsi"/>
          <w:lang w:val="en-GB"/>
        </w:rPr>
        <w:t xml:space="preserve"> (pp. 182-195). </w:t>
      </w:r>
      <w:r w:rsidRPr="0051709F">
        <w:rPr>
          <w:rFonts w:asciiTheme="minorHAnsi" w:hAnsiTheme="minorHAnsi" w:cstheme="minorHAnsi"/>
        </w:rPr>
        <w:t xml:space="preserve">Routledge: </w:t>
      </w:r>
    </w:p>
    <w:p w14:paraId="53259E9E"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lang w:val="en-US"/>
        </w:rPr>
        <w:t xml:space="preserve">Dzewaltowski, D., Ryan, G., y Rosenkranz, R. (2008). Parental bonding may moderate the relationship between parent physical activity and youth physical activity after school. </w:t>
      </w:r>
      <w:r w:rsidRPr="0051709F">
        <w:rPr>
          <w:rFonts w:asciiTheme="minorHAnsi" w:hAnsiTheme="minorHAnsi" w:cstheme="minorHAnsi"/>
          <w:i/>
          <w:iCs/>
          <w:lang w:val="en-US"/>
        </w:rPr>
        <w:t>Psychology of Sport and Exercise, 9</w:t>
      </w:r>
      <w:r w:rsidRPr="0051709F">
        <w:rPr>
          <w:rFonts w:asciiTheme="minorHAnsi" w:hAnsiTheme="minorHAnsi" w:cstheme="minorHAnsi"/>
          <w:lang w:val="en-US"/>
        </w:rPr>
        <w:t xml:space="preserve">, 848-854. </w:t>
      </w:r>
    </w:p>
    <w:p w14:paraId="5B489EB5"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Edwards, P., &amp; Tsouros, A. D. (2006). </w:t>
      </w:r>
      <w:r w:rsidRPr="0051709F">
        <w:rPr>
          <w:rFonts w:asciiTheme="minorHAnsi" w:hAnsiTheme="minorHAnsi" w:cstheme="minorHAnsi"/>
          <w:i/>
          <w:iCs/>
          <w:sz w:val="24"/>
          <w:szCs w:val="24"/>
          <w:lang w:val="en-US"/>
        </w:rPr>
        <w:t>Promoting Physical Activity and Active Living in Urban Environments: The Role of Local Governments</w:t>
      </w:r>
      <w:r w:rsidRPr="0051709F">
        <w:rPr>
          <w:rFonts w:asciiTheme="minorHAnsi" w:hAnsiTheme="minorHAnsi" w:cstheme="minorHAnsi"/>
          <w:sz w:val="24"/>
          <w:szCs w:val="24"/>
          <w:lang w:val="en-US"/>
        </w:rPr>
        <w:t>. World Health Organization. Regional Office Europe.</w:t>
      </w:r>
    </w:p>
    <w:p w14:paraId="0BFD6A9C"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Edwards, P., &amp; Tsouros, A. D. (2008). </w:t>
      </w:r>
      <w:r w:rsidRPr="0051709F">
        <w:rPr>
          <w:rFonts w:asciiTheme="minorHAnsi" w:hAnsiTheme="minorHAnsi" w:cstheme="minorHAnsi"/>
          <w:i/>
          <w:iCs/>
          <w:sz w:val="24"/>
          <w:szCs w:val="24"/>
          <w:lang w:val="en-US"/>
        </w:rPr>
        <w:t>A healthy city is an active city: A physical activity planning guide</w:t>
      </w:r>
      <w:r w:rsidRPr="0051709F">
        <w:rPr>
          <w:rFonts w:asciiTheme="minorHAnsi" w:hAnsiTheme="minorHAnsi" w:cstheme="minorHAnsi"/>
          <w:sz w:val="24"/>
          <w:szCs w:val="24"/>
          <w:lang w:val="en-US"/>
        </w:rPr>
        <w:t>. Kopenhagen: World Health Organization.</w:t>
      </w:r>
    </w:p>
    <w:p w14:paraId="1A659EB0"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Eitler, T. W., McMahon, E., &amp; Thoerig, T. (2013). </w:t>
      </w:r>
      <w:r w:rsidRPr="0051709F">
        <w:rPr>
          <w:rFonts w:asciiTheme="minorHAnsi" w:hAnsiTheme="minorHAnsi" w:cstheme="minorHAnsi"/>
          <w:i/>
          <w:iCs/>
          <w:sz w:val="24"/>
          <w:szCs w:val="24"/>
          <w:lang w:val="en-US"/>
        </w:rPr>
        <w:t>Ten principles for building healthy places</w:t>
      </w:r>
      <w:r w:rsidRPr="0051709F">
        <w:rPr>
          <w:rFonts w:asciiTheme="minorHAnsi" w:hAnsiTheme="minorHAnsi" w:cstheme="minorHAnsi"/>
          <w:sz w:val="24"/>
          <w:szCs w:val="24"/>
          <w:lang w:val="en-US"/>
        </w:rPr>
        <w:t>. Washington, DC: Urban Land Institute.</w:t>
      </w:r>
    </w:p>
    <w:p w14:paraId="6542F84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Epstein, L. H., Beecher, M. D., Graf, J. L., y Roemmich, J. N. (2007). Choice of interactive dance and bicycle games in overweight and non-overweight youth. </w:t>
      </w:r>
      <w:r w:rsidRPr="0051709F">
        <w:rPr>
          <w:rFonts w:asciiTheme="minorHAnsi" w:hAnsiTheme="minorHAnsi" w:cstheme="minorHAnsi"/>
          <w:i/>
          <w:sz w:val="24"/>
          <w:szCs w:val="24"/>
        </w:rPr>
        <w:t>Annals of Behavioral Medicine, 33</w:t>
      </w:r>
      <w:r w:rsidRPr="0051709F">
        <w:rPr>
          <w:rFonts w:asciiTheme="minorHAnsi" w:hAnsiTheme="minorHAnsi" w:cstheme="minorHAnsi"/>
          <w:sz w:val="24"/>
          <w:szCs w:val="24"/>
        </w:rPr>
        <w:t>, 124-131.</w:t>
      </w:r>
    </w:p>
    <w:p w14:paraId="553A9BD2"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Ernst, M. P., y Pangrazi, R. P. (1999). </w:t>
      </w:r>
      <w:r w:rsidRPr="0051709F">
        <w:rPr>
          <w:rFonts w:asciiTheme="minorHAnsi" w:hAnsiTheme="minorHAnsi" w:cstheme="minorHAnsi"/>
          <w:sz w:val="24"/>
          <w:szCs w:val="24"/>
        </w:rPr>
        <w:t xml:space="preserve">Effects of a physical activity program on children’s activity levels and attraction to physical activity. </w:t>
      </w:r>
      <w:r w:rsidRPr="0051709F">
        <w:rPr>
          <w:rFonts w:asciiTheme="minorHAnsi" w:hAnsiTheme="minorHAnsi" w:cstheme="minorHAnsi"/>
          <w:i/>
          <w:sz w:val="24"/>
          <w:szCs w:val="24"/>
        </w:rPr>
        <w:t>Pediatric Exercise Science, 11(4)</w:t>
      </w:r>
      <w:r w:rsidRPr="0051709F">
        <w:rPr>
          <w:rFonts w:asciiTheme="minorHAnsi" w:hAnsiTheme="minorHAnsi" w:cstheme="minorHAnsi"/>
          <w:sz w:val="24"/>
          <w:szCs w:val="24"/>
        </w:rPr>
        <w:t>, 393-405.</w:t>
      </w:r>
    </w:p>
    <w:p w14:paraId="4478A8B2"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Escalante, Y., Backx, K., Saavedra, J. M., García-Hermoso, A., y Domínguez, A. M. (2012). </w:t>
      </w:r>
      <w:r w:rsidRPr="0051709F">
        <w:rPr>
          <w:rFonts w:asciiTheme="minorHAnsi" w:hAnsiTheme="minorHAnsi" w:cstheme="minorHAnsi"/>
          <w:sz w:val="24"/>
          <w:szCs w:val="24"/>
        </w:rPr>
        <w:t xml:space="preserve">Play area and physical activity in recess in primary schools. </w:t>
      </w:r>
      <w:r w:rsidRPr="0051709F">
        <w:rPr>
          <w:rFonts w:asciiTheme="minorHAnsi" w:hAnsiTheme="minorHAnsi" w:cstheme="minorHAnsi"/>
          <w:i/>
          <w:sz w:val="24"/>
          <w:szCs w:val="24"/>
        </w:rPr>
        <w:t>International Journal of Fundamental and Applied Kinesiology, 42</w:t>
      </w:r>
      <w:r w:rsidRPr="0051709F">
        <w:rPr>
          <w:rFonts w:asciiTheme="minorHAnsi" w:hAnsiTheme="minorHAnsi" w:cstheme="minorHAnsi"/>
          <w:sz w:val="24"/>
          <w:szCs w:val="24"/>
        </w:rPr>
        <w:t xml:space="preserve">, 123-129. </w:t>
      </w:r>
    </w:p>
    <w:p w14:paraId="4EF98665" w14:textId="319D27D7"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Espada, M.; Martín, M.; Jiménez, V.; Moscoso, D.; Jiménez-Beatty, J.E.; Rivero, A. (2018). </w:t>
      </w:r>
      <w:r w:rsidRPr="0051709F">
        <w:rPr>
          <w:rFonts w:asciiTheme="minorHAnsi" w:hAnsiTheme="minorHAnsi" w:cstheme="minorHAnsi"/>
          <w:noProof/>
          <w:sz w:val="24"/>
          <w:szCs w:val="24"/>
        </w:rPr>
        <w:t xml:space="preserve">Leisure sports habits in Spanish adults: Gender and social differences. </w:t>
      </w:r>
      <w:r w:rsidRPr="0051709F">
        <w:rPr>
          <w:rFonts w:asciiTheme="minorHAnsi" w:hAnsiTheme="minorHAnsi" w:cstheme="minorHAnsi"/>
          <w:i/>
          <w:noProof/>
          <w:sz w:val="24"/>
          <w:szCs w:val="24"/>
        </w:rPr>
        <w:t>OBETS. Revista de Ciencias Sociales</w:t>
      </w:r>
      <w:r w:rsidRPr="0051709F">
        <w:rPr>
          <w:rFonts w:asciiTheme="minorHAnsi" w:hAnsiTheme="minorHAnsi" w:cstheme="minorHAnsi"/>
          <w:noProof/>
          <w:sz w:val="24"/>
          <w:szCs w:val="24"/>
        </w:rPr>
        <w:t>, 13(2), 495-513.</w:t>
      </w:r>
    </w:p>
    <w:p w14:paraId="5D13B1C9"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European Commission. (2013). </w:t>
      </w:r>
      <w:r w:rsidRPr="0051709F">
        <w:rPr>
          <w:rFonts w:asciiTheme="minorHAnsi" w:hAnsiTheme="minorHAnsi" w:cstheme="minorHAnsi"/>
          <w:i/>
          <w:iCs/>
          <w:noProof/>
          <w:sz w:val="24"/>
          <w:szCs w:val="24"/>
        </w:rPr>
        <w:t>Comission staff working document. A monitoring framework for the implementation of policies to promote health enhancing physical activity (HEPA)</w:t>
      </w:r>
      <w:r w:rsidRPr="0051709F">
        <w:rPr>
          <w:rFonts w:asciiTheme="minorHAnsi" w:hAnsiTheme="minorHAnsi" w:cstheme="minorHAnsi"/>
          <w:noProof/>
          <w:sz w:val="24"/>
          <w:szCs w:val="24"/>
        </w:rPr>
        <w:t>. European Commission. https://eur-lex.europa.eu/legal-content/EN/TXT/?uri=CELEX:52013SC0310</w:t>
      </w:r>
    </w:p>
    <w:p w14:paraId="298ACAB3"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Ferguson YL, Kasser T, Jahng S. Differences in life satisfaction and school satisfaction among adolescents from three nations: The role of perceived autonomy support. J Res Adolesc. 2011. </w:t>
      </w:r>
      <w:hyperlink r:id="rId114" w:history="1">
        <w:r w:rsidRPr="0051709F">
          <w:rPr>
            <w:rStyle w:val="Hipervnculo"/>
            <w:rFonts w:asciiTheme="minorHAnsi" w:hAnsiTheme="minorHAnsi" w:cstheme="minorHAnsi"/>
            <w:color w:val="auto"/>
            <w:sz w:val="24"/>
            <w:szCs w:val="24"/>
            <w:shd w:val="clear" w:color="auto" w:fill="FFFFFF"/>
          </w:rPr>
          <w:t>https://doi.org/10.1111/j.1532-7795.2010.00698.x</w:t>
        </w:r>
      </w:hyperlink>
      <w:r w:rsidRPr="0051709F">
        <w:rPr>
          <w:rFonts w:asciiTheme="minorHAnsi" w:hAnsiTheme="minorHAnsi" w:cstheme="minorHAnsi"/>
          <w:sz w:val="24"/>
          <w:szCs w:val="24"/>
          <w:shd w:val="clear" w:color="auto" w:fill="FFFFFF"/>
        </w:rPr>
        <w:t>.</w:t>
      </w:r>
    </w:p>
    <w:p w14:paraId="4C8EF3E4"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Finnerty, T., Reeves, S., Dabinett, J., Jeanes, Y. M., y Vögele, C. (2010). Effects of peer influence on dietary intake and physical activity in schoolchildren. </w:t>
      </w:r>
      <w:r w:rsidRPr="0051709F">
        <w:rPr>
          <w:rFonts w:asciiTheme="minorHAnsi" w:hAnsiTheme="minorHAnsi" w:cstheme="minorHAnsi"/>
          <w:i/>
          <w:sz w:val="24"/>
          <w:szCs w:val="24"/>
        </w:rPr>
        <w:t>Public Health Nutrition, 13</w:t>
      </w:r>
      <w:r w:rsidRPr="0051709F">
        <w:rPr>
          <w:rFonts w:asciiTheme="minorHAnsi" w:hAnsiTheme="minorHAnsi" w:cstheme="minorHAnsi"/>
          <w:sz w:val="24"/>
          <w:szCs w:val="24"/>
        </w:rPr>
        <w:t xml:space="preserve">, 376-83. </w:t>
      </w:r>
    </w:p>
    <w:p w14:paraId="232F5AE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Fisher, A., Saxton, J., Hill, C., Webber, L., Purslow, L., y Wardle, J. (2011). Psychosocial correlates of objectively measured physical activity in children. </w:t>
      </w:r>
      <w:r w:rsidRPr="0051709F">
        <w:rPr>
          <w:rFonts w:asciiTheme="minorHAnsi" w:hAnsiTheme="minorHAnsi" w:cstheme="minorHAnsi"/>
          <w:i/>
          <w:sz w:val="24"/>
          <w:szCs w:val="24"/>
        </w:rPr>
        <w:t>European Journal of Public Health, 21</w:t>
      </w:r>
      <w:r w:rsidRPr="0051709F">
        <w:rPr>
          <w:rFonts w:asciiTheme="minorHAnsi" w:hAnsiTheme="minorHAnsi" w:cstheme="minorHAnsi"/>
          <w:sz w:val="24"/>
          <w:szCs w:val="24"/>
        </w:rPr>
        <w:t xml:space="preserve">, 145-50. </w:t>
      </w:r>
    </w:p>
    <w:p w14:paraId="6ABE368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Fox, K. R., Cooper, A., y McKenna, J. (2004). The school and promotion of children’s health-enhancing physical activity: perspectives from the United Kingdom. </w:t>
      </w:r>
      <w:r w:rsidRPr="0051709F">
        <w:rPr>
          <w:rFonts w:asciiTheme="minorHAnsi" w:hAnsiTheme="minorHAnsi" w:cstheme="minorHAnsi"/>
          <w:i/>
          <w:sz w:val="24"/>
          <w:szCs w:val="24"/>
        </w:rPr>
        <w:t>Journal of School Health, 23</w:t>
      </w:r>
      <w:r w:rsidRPr="0051709F">
        <w:rPr>
          <w:rFonts w:asciiTheme="minorHAnsi" w:hAnsiTheme="minorHAnsi" w:cstheme="minorHAnsi"/>
          <w:sz w:val="24"/>
          <w:szCs w:val="24"/>
        </w:rPr>
        <w:t xml:space="preserve">, 338-58. </w:t>
      </w:r>
    </w:p>
    <w:p w14:paraId="1E3F2CF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Fox, K. R., y Harris, J. (2003). Promoting physical activity through schools. En J. McKenna y C. Riddoch (Eds.), </w:t>
      </w:r>
      <w:r w:rsidRPr="0051709F">
        <w:rPr>
          <w:rFonts w:asciiTheme="minorHAnsi" w:hAnsiTheme="minorHAnsi" w:cstheme="minorHAnsi"/>
          <w:i/>
          <w:sz w:val="24"/>
          <w:szCs w:val="24"/>
        </w:rPr>
        <w:t xml:space="preserve">Perspectives on health and exercise </w:t>
      </w:r>
      <w:r w:rsidRPr="0051709F">
        <w:rPr>
          <w:rFonts w:asciiTheme="minorHAnsi" w:hAnsiTheme="minorHAnsi" w:cstheme="minorHAnsi"/>
          <w:sz w:val="24"/>
          <w:szCs w:val="24"/>
        </w:rPr>
        <w:t>(pp. 87-98). Basingstoke: Palgrave-Macmillan.</w:t>
      </w:r>
    </w:p>
    <w:p w14:paraId="3F2CBAAA" w14:textId="77777777" w:rsidR="00482DA9" w:rsidRPr="0051709F" w:rsidRDefault="00482DA9"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lastRenderedPageBreak/>
        <w:t xml:space="preserve">Frank, L. D., Andresen, M. A., &amp; Schmid, T. L. (2004). Obesity relationships with community design, physical activity, and time spent in cars. </w:t>
      </w:r>
      <w:r w:rsidRPr="0051709F">
        <w:rPr>
          <w:rFonts w:asciiTheme="minorHAnsi" w:hAnsiTheme="minorHAnsi" w:cstheme="minorHAnsi"/>
          <w:i/>
          <w:iCs/>
          <w:sz w:val="24"/>
          <w:szCs w:val="24"/>
          <w:lang w:val="en-US"/>
        </w:rPr>
        <w:t>American Journal of Preventive Medicine</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27</w:t>
      </w:r>
      <w:r w:rsidRPr="0051709F">
        <w:rPr>
          <w:rFonts w:asciiTheme="minorHAnsi" w:hAnsiTheme="minorHAnsi" w:cstheme="minorHAnsi"/>
          <w:sz w:val="24"/>
          <w:szCs w:val="24"/>
          <w:lang w:val="en-US"/>
        </w:rPr>
        <w:t>(2), 87–96. https://doi.org/10.1016/j.amepre.2004.04.011</w:t>
      </w:r>
    </w:p>
    <w:p w14:paraId="78ABE719"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Fredricks, J. A., y Eccles, J. S. (2002). </w:t>
      </w:r>
      <w:r w:rsidRPr="0051709F">
        <w:rPr>
          <w:rFonts w:asciiTheme="minorHAnsi" w:hAnsiTheme="minorHAnsi" w:cstheme="minorHAnsi"/>
          <w:sz w:val="24"/>
          <w:szCs w:val="24"/>
        </w:rPr>
        <w:t xml:space="preserve">Children’s competence and value beliefs from childhood through adolescence: Growth trajectories in two male-sex-typed domains. </w:t>
      </w:r>
      <w:r w:rsidRPr="0051709F">
        <w:rPr>
          <w:rFonts w:asciiTheme="minorHAnsi" w:hAnsiTheme="minorHAnsi" w:cstheme="minorHAnsi"/>
          <w:i/>
          <w:sz w:val="24"/>
          <w:szCs w:val="24"/>
        </w:rPr>
        <w:t>Developmental Psychology, 38</w:t>
      </w:r>
      <w:r w:rsidRPr="0051709F">
        <w:rPr>
          <w:rFonts w:asciiTheme="minorHAnsi" w:hAnsiTheme="minorHAnsi" w:cstheme="minorHAnsi"/>
          <w:sz w:val="24"/>
          <w:szCs w:val="24"/>
        </w:rPr>
        <w:t>, 519-533.</w:t>
      </w:r>
    </w:p>
    <w:p w14:paraId="75CDAA3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Fredricks, J. A., y Eccles, J. S. (2005). </w:t>
      </w:r>
      <w:r w:rsidRPr="0051709F">
        <w:rPr>
          <w:rFonts w:asciiTheme="minorHAnsi" w:hAnsiTheme="minorHAnsi" w:cstheme="minorHAnsi"/>
          <w:sz w:val="24"/>
          <w:szCs w:val="24"/>
        </w:rPr>
        <w:t xml:space="preserve">Family Socialization, Gender, and Sport Motivation and Involvement. </w:t>
      </w:r>
      <w:r w:rsidRPr="0051709F">
        <w:rPr>
          <w:rFonts w:asciiTheme="minorHAnsi" w:hAnsiTheme="minorHAnsi" w:cstheme="minorHAnsi"/>
          <w:i/>
          <w:sz w:val="24"/>
          <w:szCs w:val="24"/>
        </w:rPr>
        <w:t>Journal of Sport &amp; Exercise Psychology, 27(1),</w:t>
      </w:r>
      <w:r w:rsidRPr="0051709F">
        <w:rPr>
          <w:rFonts w:asciiTheme="minorHAnsi" w:hAnsiTheme="minorHAnsi" w:cstheme="minorHAnsi"/>
          <w:sz w:val="24"/>
          <w:szCs w:val="24"/>
        </w:rPr>
        <w:t xml:space="preserve"> 3-31.</w:t>
      </w:r>
    </w:p>
    <w:p w14:paraId="3E4B0619"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Galea, G., Vogel Kielgast, L., Tsay, S., Jewell, J., Breda, J., &amp; Racioppi, F. (2017). </w:t>
      </w:r>
      <w:r w:rsidRPr="0051709F">
        <w:rPr>
          <w:rFonts w:asciiTheme="minorHAnsi" w:hAnsiTheme="minorHAnsi" w:cstheme="minorHAnsi"/>
          <w:i/>
          <w:iCs/>
          <w:sz w:val="24"/>
          <w:szCs w:val="24"/>
          <w:lang w:val="en-US"/>
        </w:rPr>
        <w:t>Towards More Physical Activity in Cities. Transforming public spaces to promote physical activity—A key contributor to achieving the Sustainable Development Goals in Europe</w:t>
      </w:r>
      <w:r w:rsidRPr="0051709F">
        <w:rPr>
          <w:rFonts w:asciiTheme="minorHAnsi" w:hAnsiTheme="minorHAnsi" w:cstheme="minorHAnsi"/>
          <w:sz w:val="24"/>
          <w:szCs w:val="24"/>
          <w:lang w:val="en-US"/>
        </w:rPr>
        <w:t>. World Health Organization. Regional Office for Europe. Retrieved from World Health Organization. Regional Office for Europe. website: https://www.euro.who.int/__data/assets/pdf_file/0018/353043/2017_WHO_Report_FINAL_WEB.pdf</w:t>
      </w:r>
    </w:p>
    <w:p w14:paraId="6E07A47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Gao, Z. (2009). Students’ motivation, engagement, satisfaction, and cardiorespiratory fitness in physical education. </w:t>
      </w:r>
      <w:r w:rsidRPr="0051709F">
        <w:rPr>
          <w:rFonts w:asciiTheme="minorHAnsi" w:hAnsiTheme="minorHAnsi" w:cstheme="minorHAnsi"/>
          <w:i/>
          <w:sz w:val="24"/>
          <w:szCs w:val="24"/>
        </w:rPr>
        <w:t>Journal of Applied Sport Psychology, 21</w:t>
      </w:r>
      <w:r w:rsidRPr="0051709F">
        <w:rPr>
          <w:rFonts w:asciiTheme="minorHAnsi" w:hAnsiTheme="minorHAnsi" w:cstheme="minorHAnsi"/>
          <w:sz w:val="24"/>
          <w:szCs w:val="24"/>
        </w:rPr>
        <w:t xml:space="preserve">, S102-S115. </w:t>
      </w:r>
    </w:p>
    <w:p w14:paraId="363D7B1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Gao, Z., Podlog, L., y Huang, C. (2013). </w:t>
      </w:r>
      <w:r w:rsidRPr="0051709F">
        <w:rPr>
          <w:rFonts w:asciiTheme="minorHAnsi" w:hAnsiTheme="minorHAnsi" w:cstheme="minorHAnsi"/>
          <w:sz w:val="24"/>
          <w:szCs w:val="24"/>
        </w:rPr>
        <w:t xml:space="preserve">Associations among children’s situational motivation, physical activity participation, and enjoyment in an interactive dance game. </w:t>
      </w:r>
      <w:r w:rsidRPr="0051709F">
        <w:rPr>
          <w:rFonts w:asciiTheme="minorHAnsi" w:hAnsiTheme="minorHAnsi" w:cstheme="minorHAnsi"/>
          <w:i/>
          <w:sz w:val="24"/>
          <w:szCs w:val="24"/>
        </w:rPr>
        <w:t>Journal of Sport and Health Science, 2</w:t>
      </w:r>
      <w:r w:rsidRPr="0051709F">
        <w:rPr>
          <w:rFonts w:asciiTheme="minorHAnsi" w:hAnsiTheme="minorHAnsi" w:cstheme="minorHAnsi"/>
          <w:sz w:val="24"/>
          <w:szCs w:val="24"/>
        </w:rPr>
        <w:t>, 122-128.</w:t>
      </w:r>
    </w:p>
    <w:p w14:paraId="24A5B56F" w14:textId="7B476AC6"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Gasol Foundation. (2019). </w:t>
      </w:r>
      <w:r w:rsidRPr="0051709F">
        <w:rPr>
          <w:rFonts w:asciiTheme="minorHAnsi" w:eastAsia="Times New Roman" w:hAnsiTheme="minorHAnsi" w:cstheme="minorHAnsi"/>
          <w:i/>
          <w:iCs/>
          <w:sz w:val="24"/>
          <w:szCs w:val="24"/>
        </w:rPr>
        <w:t>Estudio PASOS - Physical Activity, Sedentarism and Obesity of Spain youth</w:t>
      </w:r>
      <w:r w:rsidRPr="0051709F">
        <w:rPr>
          <w:rFonts w:asciiTheme="minorHAnsi" w:eastAsia="Times New Roman" w:hAnsiTheme="minorHAnsi" w:cstheme="minorHAnsi"/>
          <w:sz w:val="24"/>
          <w:szCs w:val="24"/>
        </w:rPr>
        <w:t>.</w:t>
      </w:r>
    </w:p>
    <w:p w14:paraId="57985511"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Gelius, P., Messing, S., Tcymbal, A., Whiting, S., Breda, J., &amp; Abu-Omar, K. (2022). Policy instruments for health promotion: a comparison of WHO policy guidance for tobacco, alcohol, nutrition and physical activity. </w:t>
      </w:r>
      <w:r w:rsidRPr="0051709F">
        <w:rPr>
          <w:rFonts w:asciiTheme="minorHAnsi" w:hAnsiTheme="minorHAnsi" w:cstheme="minorHAnsi"/>
          <w:i/>
          <w:iCs/>
          <w:noProof/>
          <w:sz w:val="24"/>
          <w:szCs w:val="24"/>
        </w:rPr>
        <w:t>International Journal of Health Policy and Management</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11</w:t>
      </w:r>
      <w:r w:rsidRPr="0051709F">
        <w:rPr>
          <w:rFonts w:asciiTheme="minorHAnsi" w:hAnsiTheme="minorHAnsi" w:cstheme="minorHAnsi"/>
          <w:noProof/>
          <w:sz w:val="24"/>
          <w:szCs w:val="24"/>
        </w:rPr>
        <w:t>(9), 1863–1873. https://doi.org/10.34172/IJHPM.2021.95</w:t>
      </w:r>
    </w:p>
    <w:p w14:paraId="1AE11B60"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Gil-Quintana, J., Sáenz-Macana, A. M., López-Cañada, E., Úbeda-Colomer, J., &amp; Pereira-García, S. (2022). </w:t>
      </w:r>
      <w:r w:rsidRPr="0051709F">
        <w:rPr>
          <w:rFonts w:asciiTheme="minorHAnsi" w:eastAsia="Times New Roman" w:hAnsiTheme="minorHAnsi" w:cstheme="minorHAnsi"/>
          <w:sz w:val="24"/>
          <w:szCs w:val="24"/>
        </w:rPr>
        <w:t xml:space="preserve">LGBTQ people in physical activity and sport in Spain. In </w:t>
      </w:r>
      <w:r w:rsidRPr="0051709F">
        <w:rPr>
          <w:rFonts w:asciiTheme="minorHAnsi" w:eastAsia="Times New Roman" w:hAnsiTheme="minorHAnsi" w:cstheme="minorHAnsi"/>
          <w:i/>
          <w:iCs/>
          <w:sz w:val="24"/>
          <w:szCs w:val="24"/>
        </w:rPr>
        <w:t>Sport, Identity and Inclusion in Europe</w:t>
      </w:r>
      <w:r w:rsidRPr="0051709F">
        <w:rPr>
          <w:rFonts w:asciiTheme="minorHAnsi" w:eastAsia="Times New Roman" w:hAnsiTheme="minorHAnsi" w:cstheme="minorHAnsi"/>
          <w:sz w:val="24"/>
          <w:szCs w:val="24"/>
        </w:rPr>
        <w:t xml:space="preserve"> (pp. 128–139). Routledge. https://doi.org/10.4324/9781003196761-13</w:t>
      </w:r>
    </w:p>
    <w:p w14:paraId="60548667"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Giráldez, M., Tarducci, O. La prevención de los efectos sobre la salud derivados del trabajo sedentario en jóvenes asociado a las nuevas tecnologías.</w:t>
      </w:r>
      <w:r w:rsidRPr="0051709F">
        <w:rPr>
          <w:rFonts w:asciiTheme="minorHAnsi" w:hAnsiTheme="minorHAnsi" w:cstheme="minorHAnsi"/>
          <w:b/>
          <w:bCs/>
          <w:sz w:val="24"/>
          <w:szCs w:val="24"/>
          <w:lang w:val="es-ES"/>
        </w:rPr>
        <w:t xml:space="preserve"> </w:t>
      </w:r>
      <w:r w:rsidRPr="0051709F">
        <w:rPr>
          <w:rFonts w:asciiTheme="minorHAnsi" w:hAnsiTheme="minorHAnsi" w:cstheme="minorHAnsi"/>
          <w:sz w:val="24"/>
          <w:szCs w:val="24"/>
          <w:lang w:val="es-ES"/>
        </w:rPr>
        <w:t>Instituto Nacional de Seguridad y Salud en el Trabajo (INSST), Madrid, 2018.</w:t>
      </w:r>
    </w:p>
    <w:p w14:paraId="620A090D"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Glanz, K., y Bishop, D. B. (2010). The role of behavioral science theory in development and implementation of public health interventions. </w:t>
      </w:r>
      <w:r w:rsidRPr="0051709F">
        <w:rPr>
          <w:rFonts w:asciiTheme="minorHAnsi" w:hAnsiTheme="minorHAnsi" w:cstheme="minorHAnsi"/>
          <w:sz w:val="24"/>
          <w:szCs w:val="24"/>
        </w:rPr>
        <w:t>A</w:t>
      </w:r>
      <w:r w:rsidRPr="0051709F">
        <w:rPr>
          <w:rFonts w:asciiTheme="minorHAnsi" w:hAnsiTheme="minorHAnsi" w:cstheme="minorHAnsi"/>
          <w:i/>
          <w:iCs/>
          <w:sz w:val="24"/>
          <w:szCs w:val="24"/>
        </w:rPr>
        <w:t>nnual Review of Public Health</w:t>
      </w:r>
      <w:r w:rsidRPr="0051709F">
        <w:rPr>
          <w:rFonts w:asciiTheme="minorHAnsi" w:hAnsiTheme="minorHAnsi" w:cstheme="minorHAnsi"/>
          <w:sz w:val="24"/>
          <w:szCs w:val="24"/>
          <w:shd w:val="clear" w:color="auto" w:fill="FFFFFF"/>
        </w:rPr>
        <w:t>. </w:t>
      </w:r>
      <w:hyperlink r:id="rId115" w:history="1">
        <w:r w:rsidRPr="0051709F">
          <w:rPr>
            <w:rStyle w:val="Hipervnculo"/>
            <w:rFonts w:asciiTheme="minorHAnsi" w:hAnsiTheme="minorHAnsi" w:cstheme="minorHAnsi"/>
            <w:color w:val="auto"/>
            <w:sz w:val="24"/>
            <w:szCs w:val="24"/>
            <w:shd w:val="clear" w:color="auto" w:fill="FFFFFF"/>
          </w:rPr>
          <w:t>https://doi.org/10.1146/annurev.publhealth.012809.103604</w:t>
        </w:r>
      </w:hyperlink>
      <w:r w:rsidRPr="0051709F">
        <w:rPr>
          <w:rFonts w:asciiTheme="minorHAnsi" w:hAnsiTheme="minorHAnsi" w:cstheme="minorHAnsi"/>
          <w:sz w:val="24"/>
          <w:szCs w:val="24"/>
          <w:shd w:val="clear" w:color="auto" w:fill="FFFFFF"/>
        </w:rPr>
        <w:t>.</w:t>
      </w:r>
    </w:p>
    <w:p w14:paraId="1A65C9C9"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Global Active City Label. (n.d.). Retrieved January 14, 2023, from Active Well-being Initiative website: http://activewellbeing.org/global-active-city/</w:t>
      </w:r>
    </w:p>
    <w:p w14:paraId="360A1B9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Graf, D. L., Pratt, L. V., Hester, C. N., y Short, K. R. (2009). Playing active video games increases energy expenditure in children. </w:t>
      </w:r>
      <w:r w:rsidRPr="0051709F">
        <w:rPr>
          <w:rFonts w:asciiTheme="minorHAnsi" w:hAnsiTheme="minorHAnsi" w:cstheme="minorHAnsi"/>
          <w:i/>
          <w:sz w:val="24"/>
          <w:szCs w:val="24"/>
        </w:rPr>
        <w:t>Pediatrics, 124</w:t>
      </w:r>
      <w:r w:rsidRPr="0051709F">
        <w:rPr>
          <w:rFonts w:asciiTheme="minorHAnsi" w:hAnsiTheme="minorHAnsi" w:cstheme="minorHAnsi"/>
          <w:sz w:val="24"/>
          <w:szCs w:val="24"/>
        </w:rPr>
        <w:t>, 534-540.</w:t>
      </w:r>
    </w:p>
    <w:p w14:paraId="1DBF105C"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lang w:val="es-ES"/>
        </w:rPr>
      </w:pPr>
      <w:r w:rsidRPr="0051709F">
        <w:rPr>
          <w:rFonts w:asciiTheme="minorHAnsi" w:eastAsia="Times New Roman" w:hAnsiTheme="minorHAnsi" w:cstheme="minorHAnsi"/>
          <w:sz w:val="24"/>
          <w:szCs w:val="24"/>
          <w:lang w:val="es-ES"/>
        </w:rPr>
        <w:t xml:space="preserve">Gobierno de España. (2023). </w:t>
      </w:r>
      <w:r w:rsidRPr="0051709F">
        <w:rPr>
          <w:rFonts w:asciiTheme="minorHAnsi" w:eastAsia="Times New Roman" w:hAnsiTheme="minorHAnsi" w:cstheme="minorHAnsi"/>
          <w:i/>
          <w:iCs/>
          <w:sz w:val="24"/>
          <w:szCs w:val="24"/>
          <w:lang w:val="es-ES"/>
        </w:rPr>
        <w:t>PLAN ESTRATÉGICO NACIONAL PARA LA REDUCCIÓN DE LA OBESIDAD INFANTIL (2022-2030) Resumen ejecutivo</w:t>
      </w:r>
      <w:r w:rsidRPr="0051709F">
        <w:rPr>
          <w:rFonts w:asciiTheme="minorHAnsi" w:eastAsia="Times New Roman" w:hAnsiTheme="minorHAnsi" w:cstheme="minorHAnsi"/>
          <w:sz w:val="24"/>
          <w:szCs w:val="24"/>
          <w:lang w:val="es-ES"/>
        </w:rPr>
        <w:t>.</w:t>
      </w:r>
    </w:p>
    <w:p w14:paraId="78984786"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lastRenderedPageBreak/>
        <w:t xml:space="preserve">Gómez, S. F. (2017). </w:t>
      </w:r>
      <w:r w:rsidRPr="0051709F">
        <w:rPr>
          <w:rFonts w:asciiTheme="minorHAnsi" w:eastAsia="Times New Roman" w:hAnsiTheme="minorHAnsi" w:cstheme="minorHAnsi"/>
          <w:i/>
          <w:iCs/>
          <w:sz w:val="24"/>
          <w:szCs w:val="24"/>
          <w:lang w:val="es-ES"/>
        </w:rPr>
        <w:t>Prevalencia, determinantes y prevención de la obesidad infantil</w:t>
      </w:r>
      <w:r w:rsidRPr="0051709F">
        <w:rPr>
          <w:rFonts w:asciiTheme="minorHAnsi" w:eastAsia="Times New Roman" w:hAnsiTheme="minorHAnsi" w:cstheme="minorHAnsi"/>
          <w:sz w:val="24"/>
          <w:szCs w:val="24"/>
          <w:lang w:val="es-ES"/>
        </w:rPr>
        <w:t xml:space="preserve"> [Higiene y salud pública]. </w:t>
      </w:r>
      <w:r w:rsidRPr="0051709F">
        <w:rPr>
          <w:rFonts w:asciiTheme="minorHAnsi" w:eastAsia="Times New Roman" w:hAnsiTheme="minorHAnsi" w:cstheme="minorHAnsi"/>
          <w:sz w:val="24"/>
          <w:szCs w:val="24"/>
        </w:rPr>
        <w:t>Universitat Pompeu Fabra.</w:t>
      </w:r>
    </w:p>
    <w:p w14:paraId="3CD1C1A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Graves, L. E., Ridgers, N. D., y Stratton, G. (2008). The contribution of upper limb and total body movement to adolescents’ energy expenditure whilst playing Nintendo Wii. European </w:t>
      </w:r>
      <w:r w:rsidRPr="0051709F">
        <w:rPr>
          <w:rFonts w:asciiTheme="minorHAnsi" w:hAnsiTheme="minorHAnsi" w:cstheme="minorHAnsi"/>
          <w:i/>
          <w:sz w:val="24"/>
          <w:szCs w:val="24"/>
        </w:rPr>
        <w:t>Journal of Applied PhysiolOgy, 104</w:t>
      </w:r>
      <w:r w:rsidRPr="0051709F">
        <w:rPr>
          <w:rFonts w:asciiTheme="minorHAnsi" w:hAnsiTheme="minorHAnsi" w:cstheme="minorHAnsi"/>
          <w:sz w:val="24"/>
          <w:szCs w:val="24"/>
        </w:rPr>
        <w:t xml:space="preserve">, 617-623. </w:t>
      </w:r>
    </w:p>
    <w:p w14:paraId="55FF1449"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b/>
          <w:bCs/>
        </w:rPr>
      </w:pPr>
      <w:r w:rsidRPr="0051709F">
        <w:rPr>
          <w:rFonts w:asciiTheme="minorHAnsi" w:hAnsiTheme="minorHAnsi" w:cstheme="minorHAnsi"/>
          <w:lang w:val="en-GB"/>
        </w:rPr>
        <w:t xml:space="preserve">Gray, S., Hooper, O., Hardley, S., Sandford, R., Aldous, D., Stirrup, J., Carse, N., y Bryant, A. (2022). A health(y) subject? Examining discourses of health in physical education curricula across the UK. </w:t>
      </w:r>
      <w:r w:rsidRPr="0051709F">
        <w:rPr>
          <w:rFonts w:asciiTheme="minorHAnsi" w:hAnsiTheme="minorHAnsi" w:cstheme="minorHAnsi"/>
          <w:i/>
          <w:iCs/>
        </w:rPr>
        <w:t>British Educational Research Journal, </w:t>
      </w:r>
      <w:r w:rsidRPr="0051709F">
        <w:rPr>
          <w:rStyle w:val="html-italic"/>
          <w:rFonts w:asciiTheme="minorHAnsi" w:eastAsiaTheme="majorEastAsia" w:hAnsiTheme="minorHAnsi" w:cstheme="minorHAnsi"/>
        </w:rPr>
        <w:t>48</w:t>
      </w:r>
      <w:r w:rsidRPr="0051709F">
        <w:rPr>
          <w:rFonts w:asciiTheme="minorHAnsi" w:hAnsiTheme="minorHAnsi" w:cstheme="minorHAnsi"/>
        </w:rPr>
        <w:t>, 1161-1182.</w:t>
      </w:r>
    </w:p>
    <w:p w14:paraId="35BA0E96" w14:textId="77777777" w:rsidR="00BA190E" w:rsidRPr="00C13402"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b/>
          <w:bCs/>
          <w:lang w:val="de-DE"/>
        </w:rPr>
      </w:pPr>
      <w:r w:rsidRPr="0051709F">
        <w:rPr>
          <w:rFonts w:asciiTheme="minorHAnsi" w:hAnsiTheme="minorHAnsi" w:cstheme="minorHAnsi"/>
          <w:lang w:val="en-GB"/>
        </w:rPr>
        <w:t>Green, K. (2009). Exploring the everyday ‘philosophies’ of physical education teachers from a sociological perspective. En R. Bailey y D. Kirk (Eds),</w:t>
      </w:r>
      <w:r w:rsidRPr="0051709F">
        <w:rPr>
          <w:rStyle w:val="html-italic"/>
          <w:rFonts w:asciiTheme="minorHAnsi" w:eastAsiaTheme="majorEastAsia" w:hAnsiTheme="minorHAnsi" w:cstheme="minorHAnsi"/>
          <w:lang w:val="en-GB"/>
        </w:rPr>
        <w:t xml:space="preserve"> The Routledge Physical Education Reader</w:t>
      </w:r>
      <w:r w:rsidRPr="0051709F">
        <w:rPr>
          <w:rFonts w:asciiTheme="minorHAnsi" w:hAnsiTheme="minorHAnsi" w:cstheme="minorHAnsi"/>
          <w:lang w:val="en-GB"/>
        </w:rPr>
        <w:t xml:space="preserve"> (pp. 183-206). </w:t>
      </w:r>
      <w:r w:rsidRPr="00C13402">
        <w:rPr>
          <w:rFonts w:asciiTheme="minorHAnsi" w:hAnsiTheme="minorHAnsi" w:cstheme="minorHAnsi"/>
          <w:lang w:val="de-DE"/>
        </w:rPr>
        <w:t>Routledge.</w:t>
      </w:r>
    </w:p>
    <w:p w14:paraId="3DCE50B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Grolnick, W. S., y Ryan, R. M. (1989). </w:t>
      </w:r>
      <w:r w:rsidRPr="0051709F">
        <w:rPr>
          <w:rFonts w:asciiTheme="minorHAnsi" w:hAnsiTheme="minorHAnsi" w:cstheme="minorHAnsi"/>
          <w:sz w:val="24"/>
          <w:szCs w:val="24"/>
        </w:rPr>
        <w:t xml:space="preserve">Parent styles associated with children’s selfregulation and competence in school. </w:t>
      </w:r>
      <w:r w:rsidRPr="0051709F">
        <w:rPr>
          <w:rFonts w:asciiTheme="minorHAnsi" w:hAnsiTheme="minorHAnsi" w:cstheme="minorHAnsi"/>
          <w:i/>
          <w:sz w:val="24"/>
          <w:szCs w:val="24"/>
        </w:rPr>
        <w:t>Journal of Educational Psychology, 81</w:t>
      </w:r>
      <w:r w:rsidRPr="0051709F">
        <w:rPr>
          <w:rFonts w:asciiTheme="minorHAnsi" w:hAnsiTheme="minorHAnsi" w:cstheme="minorHAnsi"/>
          <w:sz w:val="24"/>
          <w:szCs w:val="24"/>
        </w:rPr>
        <w:t>, 143-154.</w:t>
      </w:r>
    </w:p>
    <w:p w14:paraId="2EFAFCC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Gunter, B. (2005). Psychological effects of video games. En J. Raessens y F. Goldstein (Eds.), </w:t>
      </w:r>
      <w:r w:rsidRPr="0051709F">
        <w:rPr>
          <w:rFonts w:asciiTheme="minorHAnsi" w:hAnsiTheme="minorHAnsi" w:cstheme="minorHAnsi"/>
          <w:i/>
          <w:sz w:val="24"/>
          <w:szCs w:val="24"/>
        </w:rPr>
        <w:t>Handbook of computer game studies</w:t>
      </w:r>
      <w:r w:rsidRPr="0051709F">
        <w:rPr>
          <w:rFonts w:asciiTheme="minorHAnsi" w:hAnsiTheme="minorHAnsi" w:cstheme="minorHAnsi"/>
          <w:sz w:val="24"/>
          <w:szCs w:val="24"/>
        </w:rPr>
        <w:t xml:space="preserve"> (pp. 145-160). Cambridge: MIT Press.</w:t>
      </w:r>
    </w:p>
    <w:p w14:paraId="6DC0540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Gurney, P. W. (1987). The use of operant techniques to raise self-steem in maladjusted children. </w:t>
      </w:r>
      <w:r w:rsidRPr="0051709F">
        <w:rPr>
          <w:rFonts w:asciiTheme="minorHAnsi" w:hAnsiTheme="minorHAnsi" w:cstheme="minorHAnsi"/>
          <w:i/>
          <w:sz w:val="24"/>
          <w:szCs w:val="24"/>
        </w:rPr>
        <w:t>British Journal of Educational Psychology, 57(1),</w:t>
      </w:r>
      <w:r w:rsidRPr="0051709F">
        <w:rPr>
          <w:rFonts w:asciiTheme="minorHAnsi" w:hAnsiTheme="minorHAnsi" w:cstheme="minorHAnsi"/>
          <w:sz w:val="24"/>
          <w:szCs w:val="24"/>
        </w:rPr>
        <w:t xml:space="preserve"> 87-94.</w:t>
      </w:r>
    </w:p>
    <w:p w14:paraId="04D5FA66" w14:textId="77777777" w:rsidR="00A4777B" w:rsidRPr="0051709F" w:rsidRDefault="00A4777B"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color w:val="222222"/>
          <w:sz w:val="24"/>
          <w:szCs w:val="24"/>
          <w:shd w:val="clear" w:color="auto" w:fill="FFFFFF"/>
        </w:rPr>
        <w:t>Guthold, R., Stevens, G. A., Riley, L. M., &amp; Bull, F. C. (2018). Worldwide trends in insufficient physical activity from 2001 to 2016: a pooled analysis of 358 population-based surveys with 1· 9 million participants. </w:t>
      </w:r>
      <w:r w:rsidRPr="0051709F">
        <w:rPr>
          <w:rFonts w:asciiTheme="minorHAnsi" w:hAnsiTheme="minorHAnsi" w:cstheme="minorHAnsi"/>
          <w:i/>
          <w:iCs/>
          <w:color w:val="222222"/>
          <w:sz w:val="24"/>
          <w:szCs w:val="24"/>
          <w:shd w:val="clear" w:color="auto" w:fill="FFFFFF"/>
        </w:rPr>
        <w:t>The lancet global health</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6</w:t>
      </w:r>
      <w:r w:rsidRPr="0051709F">
        <w:rPr>
          <w:rFonts w:asciiTheme="minorHAnsi" w:hAnsiTheme="minorHAnsi" w:cstheme="minorHAnsi"/>
          <w:color w:val="222222"/>
          <w:sz w:val="24"/>
          <w:szCs w:val="24"/>
          <w:shd w:val="clear" w:color="auto" w:fill="FFFFFF"/>
        </w:rPr>
        <w:t>(10), e1077-e1086.</w:t>
      </w:r>
    </w:p>
    <w:p w14:paraId="066391EB" w14:textId="1FF3C34B"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Hagger, M. S., Chatzisarantis, N. L., Culverhouse, T., y Biddle, S. J. (2003). The processes by which perceived autonomy support in physical education promotes leisure-time physical activity intentions and behavior: a trans-contextual model. </w:t>
      </w:r>
      <w:r w:rsidRPr="0051709F">
        <w:rPr>
          <w:rFonts w:asciiTheme="minorHAnsi" w:hAnsiTheme="minorHAnsi" w:cstheme="minorHAnsi"/>
          <w:i/>
          <w:iCs/>
          <w:sz w:val="24"/>
          <w:szCs w:val="24"/>
        </w:rPr>
        <w:t>Journal of Educational Psychology</w:t>
      </w:r>
      <w:r w:rsidRPr="0051709F">
        <w:rPr>
          <w:rFonts w:asciiTheme="minorHAnsi" w:hAnsiTheme="minorHAnsi" w:cstheme="minorHAnsi"/>
          <w:i/>
          <w:iCs/>
          <w:sz w:val="24"/>
          <w:szCs w:val="24"/>
          <w:shd w:val="clear" w:color="auto" w:fill="FFFFFF"/>
        </w:rPr>
        <w:t>.</w:t>
      </w:r>
      <w:r w:rsidRPr="0051709F">
        <w:rPr>
          <w:rFonts w:asciiTheme="minorHAnsi" w:hAnsiTheme="minorHAnsi" w:cstheme="minorHAnsi"/>
          <w:sz w:val="24"/>
          <w:szCs w:val="24"/>
          <w:shd w:val="clear" w:color="auto" w:fill="FFFFFF"/>
        </w:rPr>
        <w:t> </w:t>
      </w:r>
      <w:hyperlink r:id="rId116" w:history="1">
        <w:r w:rsidRPr="0051709F">
          <w:rPr>
            <w:rStyle w:val="Hipervnculo"/>
            <w:rFonts w:asciiTheme="minorHAnsi" w:hAnsiTheme="minorHAnsi" w:cstheme="minorHAnsi"/>
            <w:color w:val="auto"/>
            <w:sz w:val="24"/>
            <w:szCs w:val="24"/>
            <w:shd w:val="clear" w:color="auto" w:fill="FFFFFF"/>
          </w:rPr>
          <w:t>https://doi.org/10.1037/0022-0663.95.4.784</w:t>
        </w:r>
      </w:hyperlink>
      <w:r w:rsidRPr="0051709F">
        <w:rPr>
          <w:rFonts w:asciiTheme="minorHAnsi" w:hAnsiTheme="minorHAnsi" w:cstheme="minorHAnsi"/>
          <w:sz w:val="24"/>
          <w:szCs w:val="24"/>
          <w:shd w:val="clear" w:color="auto" w:fill="FFFFFF"/>
        </w:rPr>
        <w:t>.</w:t>
      </w:r>
    </w:p>
    <w:p w14:paraId="34E1990C"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(2016). </w:t>
      </w:r>
      <w:r w:rsidRPr="0051709F">
        <w:rPr>
          <w:rFonts w:asciiTheme="minorHAnsi" w:hAnsiTheme="minorHAnsi" w:cstheme="minorHAnsi"/>
          <w:sz w:val="24"/>
          <w:szCs w:val="24"/>
          <w:shd w:val="clear" w:color="auto" w:fill="FFFFFF"/>
        </w:rPr>
        <w:t xml:space="preserve">The trans-contextual model of autonomous motivation in education: conceptual and empirical issues and meta-analysis. </w:t>
      </w:r>
      <w:r w:rsidRPr="0051709F">
        <w:rPr>
          <w:rFonts w:asciiTheme="minorHAnsi" w:hAnsiTheme="minorHAnsi" w:cstheme="minorHAnsi"/>
          <w:i/>
          <w:iCs/>
          <w:sz w:val="24"/>
          <w:szCs w:val="24"/>
        </w:rPr>
        <w:t>Review of Educational Research</w:t>
      </w:r>
      <w:r w:rsidRPr="0051709F">
        <w:rPr>
          <w:rFonts w:asciiTheme="minorHAnsi" w:hAnsiTheme="minorHAnsi" w:cstheme="minorHAnsi"/>
          <w:sz w:val="24"/>
          <w:szCs w:val="24"/>
          <w:shd w:val="clear" w:color="auto" w:fill="FFFFFF"/>
        </w:rPr>
        <w:t>. </w:t>
      </w:r>
      <w:hyperlink r:id="rId117" w:history="1">
        <w:r w:rsidRPr="0051709F">
          <w:rPr>
            <w:rStyle w:val="Hipervnculo"/>
            <w:rFonts w:asciiTheme="minorHAnsi" w:hAnsiTheme="minorHAnsi" w:cstheme="minorHAnsi"/>
            <w:color w:val="auto"/>
            <w:sz w:val="24"/>
            <w:szCs w:val="24"/>
            <w:shd w:val="clear" w:color="auto" w:fill="FFFFFF"/>
          </w:rPr>
          <w:t>https://doi.org/10.3102/0034654315585005</w:t>
        </w:r>
      </w:hyperlink>
      <w:r w:rsidRPr="0051709F">
        <w:rPr>
          <w:rFonts w:asciiTheme="minorHAnsi" w:hAnsiTheme="minorHAnsi" w:cstheme="minorHAnsi"/>
          <w:sz w:val="24"/>
          <w:szCs w:val="24"/>
          <w:shd w:val="clear" w:color="auto" w:fill="FFFFFF"/>
        </w:rPr>
        <w:t>.</w:t>
      </w:r>
    </w:p>
    <w:p w14:paraId="4DB92F6F"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(2016). </w:t>
      </w:r>
      <w:r w:rsidRPr="0051709F">
        <w:rPr>
          <w:rFonts w:asciiTheme="minorHAnsi" w:hAnsiTheme="minorHAnsi" w:cstheme="minorHAnsi"/>
          <w:sz w:val="24"/>
          <w:szCs w:val="24"/>
          <w:shd w:val="clear" w:color="auto" w:fill="FFFFFF"/>
        </w:rPr>
        <w:t xml:space="preserve">The trans-contextual model of autonomous motivation in education: conceptual and empirical issues and meta-analysis. </w:t>
      </w:r>
      <w:r w:rsidRPr="0051709F">
        <w:rPr>
          <w:rFonts w:asciiTheme="minorHAnsi" w:hAnsiTheme="minorHAnsi" w:cstheme="minorHAnsi"/>
          <w:i/>
          <w:iCs/>
          <w:sz w:val="24"/>
          <w:szCs w:val="24"/>
        </w:rPr>
        <w:t>Review of Educational Research</w:t>
      </w:r>
      <w:r w:rsidRPr="0051709F">
        <w:rPr>
          <w:rFonts w:asciiTheme="minorHAnsi" w:hAnsiTheme="minorHAnsi" w:cstheme="minorHAnsi"/>
          <w:i/>
          <w:iCs/>
          <w:sz w:val="24"/>
          <w:szCs w:val="24"/>
          <w:shd w:val="clear" w:color="auto" w:fill="FFFFFF"/>
        </w:rPr>
        <w:t>.</w:t>
      </w:r>
      <w:r w:rsidRPr="0051709F">
        <w:rPr>
          <w:rFonts w:asciiTheme="minorHAnsi" w:hAnsiTheme="minorHAnsi" w:cstheme="minorHAnsi"/>
          <w:sz w:val="24"/>
          <w:szCs w:val="24"/>
          <w:shd w:val="clear" w:color="auto" w:fill="FFFFFF"/>
        </w:rPr>
        <w:t> </w:t>
      </w:r>
      <w:hyperlink r:id="rId118" w:history="1">
        <w:r w:rsidRPr="0051709F">
          <w:rPr>
            <w:rStyle w:val="Hipervnculo"/>
            <w:rFonts w:asciiTheme="minorHAnsi" w:hAnsiTheme="minorHAnsi" w:cstheme="minorHAnsi"/>
            <w:color w:val="auto"/>
            <w:sz w:val="24"/>
            <w:szCs w:val="24"/>
            <w:shd w:val="clear" w:color="auto" w:fill="FFFFFF"/>
          </w:rPr>
          <w:t>https://doi.org/10.3102/0034654315585005</w:t>
        </w:r>
      </w:hyperlink>
      <w:r w:rsidRPr="0051709F">
        <w:rPr>
          <w:rFonts w:asciiTheme="minorHAnsi" w:hAnsiTheme="minorHAnsi" w:cstheme="minorHAnsi"/>
          <w:sz w:val="24"/>
          <w:szCs w:val="24"/>
          <w:shd w:val="clear" w:color="auto" w:fill="FFFFFF"/>
        </w:rPr>
        <w:t>.</w:t>
      </w:r>
    </w:p>
    <w:p w14:paraId="545D9981"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D. (2015). </w:t>
      </w:r>
      <w:r w:rsidRPr="0051709F">
        <w:rPr>
          <w:rFonts w:asciiTheme="minorHAnsi" w:hAnsiTheme="minorHAnsi" w:cstheme="minorHAnsi"/>
          <w:sz w:val="24"/>
          <w:szCs w:val="24"/>
          <w:shd w:val="clear" w:color="auto" w:fill="FFFFFF"/>
        </w:rPr>
        <w:t xml:space="preserve">Self-determination theory. En M. T. Conner y P. Norman (Eds.), </w:t>
      </w:r>
      <w:r w:rsidRPr="0051709F">
        <w:rPr>
          <w:rFonts w:asciiTheme="minorHAnsi" w:hAnsiTheme="minorHAnsi" w:cstheme="minorHAnsi"/>
          <w:i/>
          <w:iCs/>
          <w:sz w:val="24"/>
          <w:szCs w:val="24"/>
          <w:shd w:val="clear" w:color="auto" w:fill="FFFFFF"/>
        </w:rPr>
        <w:t xml:space="preserve">Predicting and changing health behaviour: research and practice with social cognition models </w:t>
      </w:r>
      <w:r w:rsidRPr="0051709F">
        <w:rPr>
          <w:rFonts w:asciiTheme="minorHAnsi" w:hAnsiTheme="minorHAnsi" w:cstheme="minorHAnsi"/>
          <w:sz w:val="24"/>
          <w:szCs w:val="24"/>
          <w:shd w:val="clear" w:color="auto" w:fill="FFFFFF"/>
        </w:rPr>
        <w:t>(p</w:t>
      </w:r>
      <w:r w:rsidRPr="0051709F">
        <w:rPr>
          <w:rFonts w:asciiTheme="minorHAnsi" w:hAnsiTheme="minorHAnsi" w:cstheme="minorHAnsi"/>
          <w:sz w:val="24"/>
          <w:szCs w:val="24"/>
        </w:rPr>
        <w:t>p. 107-141).</w:t>
      </w:r>
      <w:r w:rsidRPr="0051709F">
        <w:rPr>
          <w:rFonts w:asciiTheme="minorHAnsi" w:hAnsiTheme="minorHAnsi" w:cstheme="minorHAnsi"/>
          <w:sz w:val="24"/>
          <w:szCs w:val="24"/>
          <w:shd w:val="clear" w:color="auto" w:fill="FFFFFF"/>
        </w:rPr>
        <w:t xml:space="preserve"> Open University Press. </w:t>
      </w:r>
    </w:p>
    <w:p w14:paraId="25D6BE16"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Hagger, M., Chatzisarantis, N. L., Hein, V., Soós, I., Karsai, I., Lintunen, T., y Leemans, S. (2009). Teacher, peer and parent autonomy support in physical education and leisure-time physical activity: A trans-contextual model of motivation in four nations. </w:t>
      </w:r>
      <w:r w:rsidRPr="0051709F">
        <w:rPr>
          <w:rFonts w:asciiTheme="minorHAnsi" w:hAnsiTheme="minorHAnsi" w:cstheme="minorHAnsi"/>
          <w:i/>
          <w:sz w:val="24"/>
          <w:szCs w:val="24"/>
        </w:rPr>
        <w:t>Psychology &amp; Health, 24(6)</w:t>
      </w:r>
      <w:r w:rsidRPr="0051709F">
        <w:rPr>
          <w:rFonts w:asciiTheme="minorHAnsi" w:hAnsiTheme="minorHAnsi" w:cstheme="minorHAnsi"/>
          <w:sz w:val="24"/>
          <w:szCs w:val="24"/>
        </w:rPr>
        <w:t>, 689-711.</w:t>
      </w:r>
    </w:p>
    <w:p w14:paraId="31E4000B"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Hammerschmidt, S., Cohen, A., Hayes, G., Institute, U. L., Leadership, R. C. for P., &amp; National League of Cities. (2016). </w:t>
      </w:r>
      <w:r w:rsidRPr="0051709F">
        <w:rPr>
          <w:rFonts w:asciiTheme="minorHAnsi" w:hAnsiTheme="minorHAnsi" w:cstheme="minorHAnsi"/>
          <w:i/>
          <w:iCs/>
          <w:sz w:val="24"/>
          <w:szCs w:val="24"/>
          <w:lang w:val="en-US"/>
        </w:rPr>
        <w:t xml:space="preserve">Building Healthy Corridors: Transforming </w:t>
      </w:r>
      <w:r w:rsidRPr="0051709F">
        <w:rPr>
          <w:rFonts w:asciiTheme="minorHAnsi" w:hAnsiTheme="minorHAnsi" w:cstheme="minorHAnsi"/>
          <w:i/>
          <w:iCs/>
          <w:sz w:val="24"/>
          <w:szCs w:val="24"/>
          <w:lang w:val="en-US"/>
        </w:rPr>
        <w:lastRenderedPageBreak/>
        <w:t>Urban and Suburban Arterials Into Thriving Places</w:t>
      </w:r>
      <w:r w:rsidRPr="0051709F">
        <w:rPr>
          <w:rFonts w:asciiTheme="minorHAnsi" w:hAnsiTheme="minorHAnsi" w:cstheme="minorHAnsi"/>
          <w:sz w:val="24"/>
          <w:szCs w:val="24"/>
          <w:lang w:val="en-US"/>
        </w:rPr>
        <w:t>. Urban Land Institute. Retrieved from https://books.google.es/books?id=zmCJvgAACAAJ</w:t>
      </w:r>
    </w:p>
    <w:p w14:paraId="3A470BC3"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Haug, E., Torsheim, T., y Samdal, O. (2008). Physical environmental characteristics and individual interests as correlates of physical activity in Norwegian secondary schools: the health behaviour in school-aged children study. </w:t>
      </w:r>
      <w:r w:rsidRPr="0051709F">
        <w:rPr>
          <w:rFonts w:asciiTheme="minorHAnsi" w:hAnsiTheme="minorHAnsi" w:cstheme="minorHAnsi"/>
          <w:i/>
          <w:sz w:val="24"/>
          <w:szCs w:val="24"/>
        </w:rPr>
        <w:t>International Journal of Behavioral Nutrition and Physical Activity, 5</w:t>
      </w:r>
      <w:r w:rsidRPr="0051709F">
        <w:rPr>
          <w:rFonts w:asciiTheme="minorHAnsi" w:hAnsiTheme="minorHAnsi" w:cstheme="minorHAnsi"/>
          <w:sz w:val="24"/>
          <w:szCs w:val="24"/>
        </w:rPr>
        <w:t>, 47.</w:t>
      </w:r>
    </w:p>
    <w:p w14:paraId="529B1367"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Heitzler, C. D., Martin, S. L., Duke, J., y Huhman, M. (2006). Correlates of physical activity in a national simple of children aged 9-13 years. </w:t>
      </w:r>
      <w:r w:rsidRPr="0051709F">
        <w:rPr>
          <w:rFonts w:asciiTheme="minorHAnsi" w:hAnsiTheme="minorHAnsi" w:cstheme="minorHAnsi"/>
          <w:i/>
          <w:sz w:val="24"/>
          <w:szCs w:val="24"/>
        </w:rPr>
        <w:t>Preventive Medicine, 42</w:t>
      </w:r>
      <w:r w:rsidRPr="0051709F">
        <w:rPr>
          <w:rFonts w:asciiTheme="minorHAnsi" w:hAnsiTheme="minorHAnsi" w:cstheme="minorHAnsi"/>
          <w:sz w:val="24"/>
          <w:szCs w:val="24"/>
        </w:rPr>
        <w:t>, 254-260.</w:t>
      </w:r>
    </w:p>
    <w:p w14:paraId="2A3A842B"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Held C, Iqbal R, Lear SA, Rosengren A, Islam S, Mathew J, et al. Physical activity levels, ownership of goods promoting sedentary behaviour and risk of myocardial infarction: results of the INTERHEART study. Eur Hear J Adv. 2012;33(2):452–66.</w:t>
      </w:r>
    </w:p>
    <w:p w14:paraId="22442EE9" w14:textId="77777777" w:rsidR="00BA190E" w:rsidRPr="0051709F" w:rsidRDefault="00BA190E" w:rsidP="00E6399B">
      <w:pPr>
        <w:pStyle w:val="Prrafodelista"/>
        <w:numPr>
          <w:ilvl w:val="0"/>
          <w:numId w:val="78"/>
        </w:numPr>
        <w:jc w:val="both"/>
        <w:rPr>
          <w:rFonts w:asciiTheme="minorHAnsi" w:eastAsia="Calibri" w:hAnsiTheme="minorHAnsi" w:cstheme="minorHAnsi"/>
          <w:sz w:val="24"/>
          <w:szCs w:val="24"/>
          <w:lang w:val="es-ES"/>
        </w:rPr>
      </w:pPr>
      <w:r w:rsidRPr="00C13402">
        <w:rPr>
          <w:rFonts w:asciiTheme="minorHAnsi" w:hAnsiTheme="minorHAnsi" w:cstheme="minorHAnsi"/>
          <w:sz w:val="24"/>
          <w:szCs w:val="24"/>
          <w:lang w:val="de-DE"/>
        </w:rPr>
        <w:t xml:space="preserve">Hernaiz-Sánchez, A., y Bäder-Gilabert, A. (2023). </w:t>
      </w:r>
      <w:r w:rsidRPr="0051709F">
        <w:rPr>
          <w:rFonts w:asciiTheme="minorHAnsi" w:eastAsia="Calibri" w:hAnsiTheme="minorHAnsi" w:cstheme="minorHAnsi"/>
          <w:sz w:val="24"/>
          <w:szCs w:val="24"/>
          <w:lang w:val="es-ES"/>
        </w:rPr>
        <w:t xml:space="preserve">Influencia de la Educación Física en los niveles de actividad física en la adolescencia. Una revisión sistemática. </w:t>
      </w:r>
      <w:r w:rsidRPr="0051709F">
        <w:rPr>
          <w:rFonts w:asciiTheme="minorHAnsi" w:eastAsia="Calibri" w:hAnsiTheme="minorHAnsi" w:cstheme="minorHAnsi"/>
          <w:i/>
          <w:iCs/>
          <w:sz w:val="24"/>
          <w:szCs w:val="24"/>
          <w:lang w:val="es-ES"/>
        </w:rPr>
        <w:t>Revista de Educación, 401</w:t>
      </w:r>
      <w:r w:rsidRPr="0051709F">
        <w:rPr>
          <w:rFonts w:asciiTheme="minorHAnsi" w:eastAsia="Calibri" w:hAnsiTheme="minorHAnsi" w:cstheme="minorHAnsi"/>
          <w:sz w:val="24"/>
          <w:szCs w:val="24"/>
          <w:lang w:val="es-ES"/>
        </w:rPr>
        <w:t>, 129-154. https://doi.org/10.4438/1988-592X-RE-2023-401-586</w:t>
      </w:r>
    </w:p>
    <w:p w14:paraId="49A3DC1A" w14:textId="77777777" w:rsidR="002F2A2B" w:rsidRPr="0051709F" w:rsidRDefault="002F2A2B" w:rsidP="00E6399B">
      <w:pPr>
        <w:pStyle w:val="Prrafodelista"/>
        <w:numPr>
          <w:ilvl w:val="0"/>
          <w:numId w:val="78"/>
        </w:numPr>
        <w:jc w:val="both"/>
        <w:rPr>
          <w:rFonts w:asciiTheme="minorHAnsi" w:hAnsiTheme="minorHAnsi" w:cstheme="minorHAnsi"/>
          <w:color w:val="33312F"/>
          <w:sz w:val="24"/>
          <w:szCs w:val="24"/>
        </w:rPr>
      </w:pPr>
      <w:r w:rsidRPr="0051709F">
        <w:rPr>
          <w:rFonts w:asciiTheme="minorHAnsi" w:hAnsiTheme="minorHAnsi" w:cstheme="minorHAnsi"/>
          <w:sz w:val="24"/>
          <w:szCs w:val="24"/>
          <w:lang w:val="es-ES"/>
        </w:rPr>
        <w:t xml:space="preserve">Hill Consulting 2018. Cómo promover un buen uso de la bicicleta. BIO Banco Internacional de Desarrollo y Universidad de los Andes. </w:t>
      </w:r>
      <w:r w:rsidRPr="0051709F">
        <w:rPr>
          <w:rFonts w:asciiTheme="minorHAnsi" w:hAnsiTheme="minorHAnsi" w:cstheme="minorHAnsi"/>
          <w:sz w:val="24"/>
          <w:szCs w:val="24"/>
        </w:rPr>
        <w:t>Producto del Bien Público</w:t>
      </w:r>
      <w:r w:rsidRPr="0051709F">
        <w:rPr>
          <w:rFonts w:asciiTheme="minorHAnsi" w:hAnsiTheme="minorHAnsi" w:cstheme="minorHAnsi"/>
          <w:color w:val="33312F"/>
          <w:sz w:val="24"/>
          <w:szCs w:val="24"/>
        </w:rPr>
        <w:t xml:space="preserve"> RG-T2219</w:t>
      </w:r>
    </w:p>
    <w:p w14:paraId="43D27A64"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Hirano, A., Suzuki, Y., Kuzuya, M., Onishi, J., Hasegawa, J., Ban, N., &amp; Umegaki, H. (2011). </w:t>
      </w:r>
      <w:r w:rsidRPr="0051709F">
        <w:rPr>
          <w:rFonts w:asciiTheme="minorHAnsi" w:eastAsia="Times New Roman" w:hAnsiTheme="minorHAnsi" w:cstheme="minorHAnsi"/>
          <w:sz w:val="24"/>
          <w:szCs w:val="24"/>
        </w:rPr>
        <w:t xml:space="preserve">Association between the caregiver’s burden and physical activity in community-dwelling caregivers of dementia patients. </w:t>
      </w:r>
      <w:r w:rsidRPr="0051709F">
        <w:rPr>
          <w:rFonts w:asciiTheme="minorHAnsi" w:eastAsia="Times New Roman" w:hAnsiTheme="minorHAnsi" w:cstheme="minorHAnsi"/>
          <w:i/>
          <w:iCs/>
          <w:sz w:val="24"/>
          <w:szCs w:val="24"/>
        </w:rPr>
        <w:t>Archives of Gerontology and Geriatrics</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52</w:t>
      </w:r>
      <w:r w:rsidRPr="0051709F">
        <w:rPr>
          <w:rFonts w:asciiTheme="minorHAnsi" w:eastAsia="Times New Roman" w:hAnsiTheme="minorHAnsi" w:cstheme="minorHAnsi"/>
          <w:sz w:val="24"/>
          <w:szCs w:val="24"/>
        </w:rPr>
        <w:t>(3), 295–298. https://doi.org/10.1016/J.ARCHGER.2010.04.011</w:t>
      </w:r>
    </w:p>
    <w:p w14:paraId="2CC867F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Hoehner, C. M., Soares, J., Parra, P. D., Ribeiro, I. C., Joshu, C. E., Pratt, M., Legetic, B. D., Malta, D. C., Matsudo, V. R., Ramos, L. R., Simoes, E. J., y Brownson, R. C. (2008). </w:t>
      </w:r>
      <w:r w:rsidRPr="0051709F">
        <w:rPr>
          <w:rFonts w:asciiTheme="minorHAnsi" w:hAnsiTheme="minorHAnsi" w:cstheme="minorHAnsi"/>
          <w:sz w:val="24"/>
          <w:szCs w:val="24"/>
        </w:rPr>
        <w:t xml:space="preserve">Physical activity interventions in Latin America: a systematic review. </w:t>
      </w:r>
      <w:r w:rsidRPr="0051709F">
        <w:rPr>
          <w:rFonts w:asciiTheme="minorHAnsi" w:hAnsiTheme="minorHAnsi" w:cstheme="minorHAnsi"/>
          <w:i/>
          <w:sz w:val="24"/>
          <w:szCs w:val="24"/>
        </w:rPr>
        <w:t>American Journal of Preventive Medicine, 34</w:t>
      </w:r>
      <w:r w:rsidRPr="0051709F">
        <w:rPr>
          <w:rFonts w:asciiTheme="minorHAnsi" w:hAnsiTheme="minorHAnsi" w:cstheme="minorHAnsi"/>
          <w:sz w:val="24"/>
          <w:szCs w:val="24"/>
        </w:rPr>
        <w:t xml:space="preserve">, 224-33. </w:t>
      </w:r>
    </w:p>
    <w:p w14:paraId="1F49B8A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Hohepa, M., Scragg, R., Schofield, G., Kolt, G. S., y Schaaf, D. (2007). Social support for youth physical activity: Importance of siblings, parents, friends and school support across a segmented school day.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xml:space="preserve">, 54. </w:t>
      </w:r>
    </w:p>
    <w:p w14:paraId="6A3E193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Huberty, J., Siahpush, M., y Beighle, A. (2011). Ready for Recess: a pilot study to increase the physical activity in elementary school children. </w:t>
      </w:r>
      <w:r w:rsidRPr="0051709F">
        <w:rPr>
          <w:rFonts w:asciiTheme="minorHAnsi" w:hAnsiTheme="minorHAnsi" w:cstheme="minorHAnsi"/>
          <w:i/>
          <w:sz w:val="24"/>
          <w:szCs w:val="24"/>
        </w:rPr>
        <w:t>Journal of School Health, 81</w:t>
      </w:r>
      <w:r w:rsidRPr="0051709F">
        <w:rPr>
          <w:rFonts w:asciiTheme="minorHAnsi" w:hAnsiTheme="minorHAnsi" w:cstheme="minorHAnsi"/>
          <w:sz w:val="24"/>
          <w:szCs w:val="24"/>
        </w:rPr>
        <w:t xml:space="preserve">, 251-257. </w:t>
      </w:r>
    </w:p>
    <w:p w14:paraId="0F55129C" w14:textId="77777777" w:rsidR="00014F20" w:rsidRPr="0051709F" w:rsidRDefault="00014F20"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Hupin, D., Raffin, J., Barth, N., Berger, M., Garet, M., Stampone, K., . . . Roche, F. (2019). Even a Previous Light-Active Physical Activity at Work Still Reduces Late Myocardial Infarction and Stroke in Retired Adults Aged&gt;65 Years by 32%: The PROOF Cohort Study. Front Public Health, 7, 51. doi:10.3389/fpubh.2019.00051</w:t>
      </w:r>
    </w:p>
    <w:p w14:paraId="6B5B1DF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Ickes, M., Erwin, H., y Beighle, A. (2012). Systematic review of recess interventions to increase physical activity. </w:t>
      </w:r>
      <w:r w:rsidRPr="0051709F">
        <w:rPr>
          <w:rFonts w:asciiTheme="minorHAnsi" w:hAnsiTheme="minorHAnsi" w:cstheme="minorHAnsi"/>
          <w:i/>
          <w:sz w:val="24"/>
          <w:szCs w:val="24"/>
        </w:rPr>
        <w:t>Journal of Physical Activity and Health, 10(6),</w:t>
      </w:r>
      <w:r w:rsidRPr="0051709F">
        <w:rPr>
          <w:rFonts w:asciiTheme="minorHAnsi" w:hAnsiTheme="minorHAnsi" w:cstheme="minorHAnsi"/>
          <w:sz w:val="24"/>
          <w:szCs w:val="24"/>
        </w:rPr>
        <w:t xml:space="preserve"> 910-26.</w:t>
      </w:r>
    </w:p>
    <w:p w14:paraId="11C0FC8A"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Instituto Nacional de Seguridad e Higiene en el Trabajo (INSHT). Encuesta Nacional de Condiciones de Trabajo. 2015.6a/EWCS España. Madrid, 2017.</w:t>
      </w:r>
    </w:p>
    <w:p w14:paraId="0A8F7F8C" w14:textId="77777777" w:rsidR="00650961" w:rsidRPr="0051709F" w:rsidRDefault="00650961"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Instituto Nacional de Seguridad y Salud en el Trabajo (INSST). </w:t>
      </w:r>
      <w:r w:rsidRPr="0051709F">
        <w:rPr>
          <w:rFonts w:asciiTheme="minorHAnsi" w:hAnsiTheme="minorHAnsi" w:cstheme="minorHAnsi"/>
          <w:i/>
          <w:iCs/>
          <w:sz w:val="24"/>
          <w:szCs w:val="24"/>
          <w:lang w:val="es-ES"/>
        </w:rPr>
        <w:t xml:space="preserve">ESENER (Encuesta europea de empresas sobre riesgos nuevos y emergentes) 2019, Datos de </w:t>
      </w:r>
      <w:r w:rsidRPr="0051709F">
        <w:rPr>
          <w:rFonts w:asciiTheme="minorHAnsi" w:hAnsiTheme="minorHAnsi" w:cstheme="minorHAnsi"/>
          <w:i/>
          <w:iCs/>
          <w:sz w:val="24"/>
          <w:szCs w:val="24"/>
          <w:lang w:val="es-ES"/>
        </w:rPr>
        <w:lastRenderedPageBreak/>
        <w:t>España</w:t>
      </w:r>
      <w:r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rPr>
        <w:t xml:space="preserve">Madrid, Octubre 2020. </w:t>
      </w:r>
      <w:hyperlink r:id="rId119" w:history="1">
        <w:r w:rsidRPr="0051709F">
          <w:rPr>
            <w:rStyle w:val="Hipervnculo"/>
            <w:rFonts w:asciiTheme="minorHAnsi" w:hAnsiTheme="minorHAnsi" w:cstheme="minorHAnsi"/>
            <w:sz w:val="24"/>
            <w:szCs w:val="24"/>
          </w:rPr>
          <w:t>https://www.insst.es/documentacion/catalogo-de-publicaciones/esener-2019-datos-de-espana</w:t>
        </w:r>
      </w:hyperlink>
    </w:p>
    <w:p w14:paraId="219865CB"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Janssen, I., y LeBlanc, A. G. (2010). </w:t>
      </w:r>
      <w:r w:rsidRPr="0051709F">
        <w:rPr>
          <w:rFonts w:asciiTheme="minorHAnsi" w:hAnsiTheme="minorHAnsi" w:cstheme="minorHAnsi"/>
          <w:sz w:val="24"/>
          <w:szCs w:val="24"/>
          <w:shd w:val="clear" w:color="auto" w:fill="FFFFFF"/>
        </w:rPr>
        <w:t xml:space="preserve">Systematic review of the health benefits of physical activity and fitness in school-aged children and youth. </w:t>
      </w:r>
      <w:r w:rsidRPr="0051709F">
        <w:rPr>
          <w:rFonts w:asciiTheme="minorHAnsi" w:hAnsiTheme="minorHAnsi" w:cstheme="minorHAnsi"/>
          <w:sz w:val="24"/>
          <w:szCs w:val="24"/>
        </w:rPr>
        <w:t xml:space="preserve">International </w:t>
      </w:r>
      <w:r w:rsidRPr="0051709F">
        <w:rPr>
          <w:rFonts w:asciiTheme="minorHAnsi" w:hAnsiTheme="minorHAnsi" w:cstheme="minorHAnsi"/>
          <w:i/>
          <w:iCs/>
          <w:sz w:val="24"/>
          <w:szCs w:val="24"/>
        </w:rPr>
        <w:t>Journal of Behavioral Nutrition and Physical Activity</w:t>
      </w:r>
      <w:r w:rsidRPr="0051709F">
        <w:rPr>
          <w:rFonts w:asciiTheme="minorHAnsi" w:hAnsiTheme="minorHAnsi" w:cstheme="minorHAnsi"/>
          <w:sz w:val="24"/>
          <w:szCs w:val="24"/>
          <w:shd w:val="clear" w:color="auto" w:fill="FFFFFF"/>
        </w:rPr>
        <w:t>. </w:t>
      </w:r>
      <w:hyperlink r:id="rId120" w:history="1">
        <w:r w:rsidRPr="0051709F">
          <w:rPr>
            <w:rStyle w:val="Hipervnculo"/>
            <w:rFonts w:asciiTheme="minorHAnsi" w:hAnsiTheme="minorHAnsi" w:cstheme="minorHAnsi"/>
            <w:color w:val="auto"/>
            <w:sz w:val="24"/>
            <w:szCs w:val="24"/>
            <w:shd w:val="clear" w:color="auto" w:fill="FFFFFF"/>
          </w:rPr>
          <w:t>https://doi.org/10.1186/1479-5868-7-40</w:t>
        </w:r>
      </w:hyperlink>
      <w:r w:rsidRPr="0051709F">
        <w:rPr>
          <w:rFonts w:asciiTheme="minorHAnsi" w:hAnsiTheme="minorHAnsi" w:cstheme="minorHAnsi"/>
          <w:sz w:val="24"/>
          <w:szCs w:val="24"/>
          <w:shd w:val="clear" w:color="auto" w:fill="FFFFFF"/>
        </w:rPr>
        <w:t>.</w:t>
      </w:r>
    </w:p>
    <w:p w14:paraId="6E85DBE8"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Jess, M., McMillan, P., y Carse, N. (2023). </w:t>
      </w:r>
      <w:r w:rsidRPr="0051709F">
        <w:rPr>
          <w:rFonts w:asciiTheme="minorHAnsi" w:hAnsiTheme="minorHAnsi" w:cstheme="minorHAnsi"/>
          <w:lang w:val="en-GB"/>
        </w:rPr>
        <w:t xml:space="preserve">Physical education and health: A bright future? En L. Cale y J. Harris (Eds.), </w:t>
      </w:r>
      <w:r w:rsidRPr="0051709F">
        <w:rPr>
          <w:rFonts w:asciiTheme="minorHAnsi" w:hAnsiTheme="minorHAnsi" w:cstheme="minorHAnsi"/>
          <w:i/>
          <w:iCs/>
          <w:lang w:val="en-GB"/>
        </w:rPr>
        <w:t>Physical</w:t>
      </w:r>
      <w:r w:rsidRPr="0051709F">
        <w:rPr>
          <w:rStyle w:val="html-italic"/>
          <w:rFonts w:asciiTheme="minorHAnsi" w:eastAsiaTheme="majorEastAsia" w:hAnsiTheme="minorHAnsi" w:cstheme="minorHAnsi"/>
          <w:lang w:val="en-GB"/>
        </w:rPr>
        <w:t xml:space="preserve"> Education Pedagogies for Health</w:t>
      </w:r>
      <w:r w:rsidRPr="0051709F">
        <w:rPr>
          <w:rFonts w:asciiTheme="minorHAnsi" w:hAnsiTheme="minorHAnsi" w:cstheme="minorHAnsi"/>
          <w:lang w:val="en-GB"/>
        </w:rPr>
        <w:t xml:space="preserve"> (pp. 109-122). </w:t>
      </w:r>
      <w:r w:rsidRPr="0051709F">
        <w:rPr>
          <w:rFonts w:asciiTheme="minorHAnsi" w:hAnsiTheme="minorHAnsi" w:cstheme="minorHAnsi"/>
        </w:rPr>
        <w:t>Routledge.</w:t>
      </w:r>
    </w:p>
    <w:p w14:paraId="64F94C62"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Jirathananuwat A, Pongpirul K. Promoting physical activity in the workplace: a systematic meta-review. J Occup Health. 2017;59(5):385–93.</w:t>
      </w:r>
    </w:p>
    <w:p w14:paraId="4AF448E2" w14:textId="77777777" w:rsidR="007643C6" w:rsidRPr="0051709F" w:rsidRDefault="007643C6"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333333"/>
          <w:sz w:val="24"/>
          <w:szCs w:val="24"/>
        </w:rPr>
        <w:t>Jones D, Molitor D, Reif  J. What do workplace wellness programs do? evidence from the Illinois Workplace Wellness Study. NBER Working Paper Series. 2018; 24229.</w:t>
      </w:r>
    </w:p>
    <w:p w14:paraId="2052583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Jordan, M., Donne, B., y Fletcher, D. (2011). </w:t>
      </w:r>
      <w:r w:rsidRPr="0051709F">
        <w:rPr>
          <w:rFonts w:asciiTheme="minorHAnsi" w:hAnsiTheme="minorHAnsi" w:cstheme="minorHAnsi"/>
          <w:sz w:val="24"/>
          <w:szCs w:val="24"/>
        </w:rPr>
        <w:t xml:space="preserve">Only lower limb controlled interactive computer gaming enables an effective increase in energy expenditure. </w:t>
      </w:r>
      <w:r w:rsidRPr="0051709F">
        <w:rPr>
          <w:rFonts w:asciiTheme="minorHAnsi" w:hAnsiTheme="minorHAnsi" w:cstheme="minorHAnsi"/>
          <w:i/>
          <w:sz w:val="24"/>
          <w:szCs w:val="24"/>
        </w:rPr>
        <w:t>European Jiurnal of Applied Physiology, 111</w:t>
      </w:r>
      <w:r w:rsidRPr="0051709F">
        <w:rPr>
          <w:rFonts w:asciiTheme="minorHAnsi" w:hAnsiTheme="minorHAnsi" w:cstheme="minorHAnsi"/>
          <w:sz w:val="24"/>
          <w:szCs w:val="24"/>
        </w:rPr>
        <w:t>, 1465-1472.</w:t>
      </w:r>
    </w:p>
    <w:p w14:paraId="0CDD5FB2" w14:textId="77777777" w:rsidR="002F2A2B" w:rsidRPr="0051709F" w:rsidRDefault="002F2A2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222222"/>
          <w:sz w:val="24"/>
          <w:szCs w:val="24"/>
          <w:shd w:val="clear" w:color="auto" w:fill="FFFFFF"/>
          <w:lang w:val="es-ES"/>
        </w:rPr>
        <w:t>Jordi, M. (2017). Estudio de percepciones sobre la salud en usuarios de la bicicleta como medio de transporte. </w:t>
      </w:r>
      <w:r w:rsidRPr="0051709F">
        <w:rPr>
          <w:rFonts w:asciiTheme="minorHAnsi" w:hAnsiTheme="minorHAnsi" w:cstheme="minorHAnsi"/>
          <w:i/>
          <w:iCs/>
          <w:color w:val="222222"/>
          <w:sz w:val="24"/>
          <w:szCs w:val="24"/>
          <w:shd w:val="clear" w:color="auto" w:fill="FFFFFF"/>
        </w:rPr>
        <w:t>Salud colectiva</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13</w:t>
      </w:r>
      <w:r w:rsidRPr="0051709F">
        <w:rPr>
          <w:rFonts w:asciiTheme="minorHAnsi" w:hAnsiTheme="minorHAnsi" w:cstheme="minorHAnsi"/>
          <w:color w:val="222222"/>
          <w:sz w:val="24"/>
          <w:szCs w:val="24"/>
          <w:shd w:val="clear" w:color="auto" w:fill="FFFFFF"/>
        </w:rPr>
        <w:t>, 307-320.</w:t>
      </w:r>
    </w:p>
    <w:p w14:paraId="120EA5B9" w14:textId="23ACFA4B"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Kahn, E. B., Ramsey, L. T., Brownson, R. C., Heath, G. W., Howze, E. H., Powell, K. E., Stone, E. J., Rajab, M. W., Corso, P., y the Task Force on Community Preventive Services (2002). The effectiveness of interventions to increase physical activity: a systematic review. </w:t>
      </w:r>
      <w:r w:rsidRPr="0051709F">
        <w:rPr>
          <w:rFonts w:asciiTheme="minorHAnsi" w:hAnsiTheme="minorHAnsi" w:cstheme="minorHAnsi"/>
          <w:i/>
          <w:sz w:val="24"/>
          <w:szCs w:val="24"/>
        </w:rPr>
        <w:t>American Journal of Preventive Medicine, 22</w:t>
      </w:r>
      <w:r w:rsidRPr="0051709F">
        <w:rPr>
          <w:rFonts w:asciiTheme="minorHAnsi" w:hAnsiTheme="minorHAnsi" w:cstheme="minorHAnsi"/>
          <w:sz w:val="24"/>
          <w:szCs w:val="24"/>
        </w:rPr>
        <w:t>, 73-107.</w:t>
      </w:r>
    </w:p>
    <w:p w14:paraId="4340E432" w14:textId="77777777" w:rsidR="00993CD3" w:rsidRPr="0051709F" w:rsidRDefault="00993CD3"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Khan KM, Thompsom AM, Blaire SN, Sallis JF, Powell KE, Bull FC, Bauman AE. Physical activity, exercise and sport: their role in the health of nations. Lancet. 2012;380:59–64</w:t>
      </w:r>
    </w:p>
    <w:p w14:paraId="5F7768D0"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n-GB"/>
        </w:rPr>
        <w:t xml:space="preserve">Kann L, McManus T, Harris WA, Shari L. Shanklin, &amp; Katherine H. Flint. </w:t>
      </w:r>
      <w:r w:rsidRPr="0051709F">
        <w:rPr>
          <w:rFonts w:asciiTheme="minorHAnsi" w:eastAsia="Times New Roman" w:hAnsiTheme="minorHAnsi" w:cstheme="minorHAnsi"/>
          <w:sz w:val="24"/>
          <w:szCs w:val="24"/>
        </w:rPr>
        <w:t xml:space="preserve">(2018). Youth Risk Behavior Surveillance . </w:t>
      </w:r>
      <w:r w:rsidRPr="0051709F">
        <w:rPr>
          <w:rFonts w:asciiTheme="minorHAnsi" w:eastAsia="Times New Roman" w:hAnsiTheme="minorHAnsi" w:cstheme="minorHAnsi"/>
          <w:i/>
          <w:iCs/>
          <w:sz w:val="24"/>
          <w:szCs w:val="24"/>
        </w:rPr>
        <w:t xml:space="preserve">United States, 2017 MMWR Surveill Summ </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67</w:t>
      </w:r>
      <w:r w:rsidRPr="0051709F">
        <w:rPr>
          <w:rFonts w:asciiTheme="minorHAnsi" w:eastAsia="Times New Roman" w:hAnsiTheme="minorHAnsi" w:cstheme="minorHAnsi"/>
          <w:sz w:val="24"/>
          <w:szCs w:val="24"/>
        </w:rPr>
        <w:t>, 1–114.</w:t>
      </w:r>
    </w:p>
    <w:p w14:paraId="56F87416"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Kimiecik, J. (2002). </w:t>
      </w:r>
      <w:r w:rsidRPr="0051709F">
        <w:rPr>
          <w:rFonts w:asciiTheme="minorHAnsi" w:hAnsiTheme="minorHAnsi" w:cstheme="minorHAnsi"/>
          <w:i/>
          <w:sz w:val="24"/>
          <w:szCs w:val="24"/>
        </w:rPr>
        <w:t>The intrinsic exerciser: Discovering the joy of exercise</w:t>
      </w:r>
      <w:r w:rsidRPr="0051709F">
        <w:rPr>
          <w:rFonts w:asciiTheme="minorHAnsi" w:hAnsiTheme="minorHAnsi" w:cstheme="minorHAnsi"/>
          <w:sz w:val="24"/>
          <w:szCs w:val="24"/>
        </w:rPr>
        <w:t>. Boston, MA: Houghton Mifflin.</w:t>
      </w:r>
    </w:p>
    <w:p w14:paraId="148A4D9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Kimiecik, J. C., Horn, T. S., y Shurin, C. S. (1996). Relationships among children’s beliefs, perceptions of their parents’ beliefs, and their moderate-to-vigorous physical activity. </w:t>
      </w:r>
      <w:r w:rsidRPr="0051709F">
        <w:rPr>
          <w:rFonts w:asciiTheme="minorHAnsi" w:hAnsiTheme="minorHAnsi" w:cstheme="minorHAnsi"/>
          <w:i/>
          <w:sz w:val="24"/>
          <w:szCs w:val="24"/>
        </w:rPr>
        <w:t>Research Quarterly for Exercise and Sport, 67</w:t>
      </w:r>
      <w:r w:rsidRPr="0051709F">
        <w:rPr>
          <w:rFonts w:asciiTheme="minorHAnsi" w:hAnsiTheme="minorHAnsi" w:cstheme="minorHAnsi"/>
          <w:sz w:val="24"/>
          <w:szCs w:val="24"/>
        </w:rPr>
        <w:t>, 324-336.</w:t>
      </w:r>
    </w:p>
    <w:p w14:paraId="0309A7D5"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KING’S CROSS CENTRAL LIMITED PARTNERSHIP. (2022). </w:t>
      </w:r>
      <w:r w:rsidRPr="0051709F">
        <w:rPr>
          <w:rFonts w:asciiTheme="minorHAnsi" w:hAnsiTheme="minorHAnsi" w:cstheme="minorHAnsi"/>
          <w:i/>
          <w:iCs/>
          <w:sz w:val="24"/>
          <w:szCs w:val="24"/>
          <w:lang w:val="en-US"/>
        </w:rPr>
        <w:t>X King´s Cross Overview</w:t>
      </w:r>
      <w:r w:rsidRPr="0051709F">
        <w:rPr>
          <w:rFonts w:asciiTheme="minorHAnsi" w:hAnsiTheme="minorHAnsi" w:cstheme="minorHAnsi"/>
          <w:sz w:val="24"/>
          <w:szCs w:val="24"/>
          <w:lang w:val="en-US"/>
        </w:rPr>
        <w:t>. London.</w:t>
      </w:r>
    </w:p>
    <w:p w14:paraId="18CEFB96"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 xml:space="preserve">Kirk, D. (2010). Four relational issues and the bigger picture. En D. Kirk (Ed), </w:t>
      </w:r>
      <w:r w:rsidRPr="0051709F">
        <w:rPr>
          <w:rStyle w:val="html-italic"/>
          <w:rFonts w:asciiTheme="minorHAnsi" w:eastAsiaTheme="majorEastAsia" w:hAnsiTheme="minorHAnsi" w:cstheme="minorHAnsi"/>
          <w:lang w:val="en-GB"/>
        </w:rPr>
        <w:t>Physical Education Futures</w:t>
      </w:r>
      <w:r w:rsidRPr="0051709F">
        <w:rPr>
          <w:rFonts w:asciiTheme="minorHAnsi" w:hAnsiTheme="minorHAnsi" w:cstheme="minorHAnsi"/>
          <w:lang w:val="en-GB"/>
        </w:rPr>
        <w:t xml:space="preserve"> (pp. 97-120). </w:t>
      </w:r>
      <w:r w:rsidRPr="0051709F">
        <w:rPr>
          <w:rFonts w:asciiTheme="minorHAnsi" w:hAnsiTheme="minorHAnsi" w:cstheme="minorHAnsi"/>
        </w:rPr>
        <w:t>Routledge.</w:t>
      </w:r>
    </w:p>
    <w:p w14:paraId="579674A5"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shd w:val="clear" w:color="auto" w:fill="FFFFFF"/>
        </w:rPr>
      </w:pPr>
      <w:r w:rsidRPr="0051709F">
        <w:rPr>
          <w:rFonts w:asciiTheme="minorHAnsi" w:hAnsiTheme="minorHAnsi" w:cstheme="minorHAnsi"/>
          <w:shd w:val="clear" w:color="auto" w:fill="FFFFFF"/>
          <w:lang w:val="en-GB"/>
        </w:rPr>
        <w:t xml:space="preserve">Kirk, D., Bardid, F., Lamb, C. A., Miller, J. D., &amp; Teraoka, E. (2018). Redesigning physical education in Scotland. In H. A. Lawson (Ed.), </w:t>
      </w:r>
      <w:r w:rsidRPr="0051709F">
        <w:rPr>
          <w:rFonts w:asciiTheme="minorHAnsi" w:hAnsiTheme="minorHAnsi" w:cstheme="minorHAnsi"/>
          <w:i/>
          <w:iCs/>
          <w:shd w:val="clear" w:color="auto" w:fill="FFFFFF"/>
          <w:lang w:val="en-GB"/>
        </w:rPr>
        <w:t xml:space="preserve">Redesigning Physical Education: An Equity Agenda in Which Every Child Matters Milton Park. </w:t>
      </w:r>
      <w:r w:rsidRPr="0051709F">
        <w:rPr>
          <w:rFonts w:asciiTheme="minorHAnsi" w:hAnsiTheme="minorHAnsi" w:cstheme="minorHAnsi"/>
          <w:shd w:val="clear" w:color="auto" w:fill="FFFFFF"/>
        </w:rPr>
        <w:t>Routledge.</w:t>
      </w:r>
    </w:p>
    <w:p w14:paraId="54AA8737" w14:textId="77777777" w:rsidR="00F15C40" w:rsidRPr="0051709F" w:rsidRDefault="00F15C40"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rPr>
        <w:t>Klepac Pogrmilovic B, O’Sullivan G, Milton K, Biddle SJH, Bauman A, Bellew W, et al. The development of the Comprehensive Analysis of Policy on Physical Activity (CAPPA) framework. Int J Behav Nutr Phys Act. 2019;16(1):1–15.</w:t>
      </w:r>
    </w:p>
    <w:p w14:paraId="4205BEE6" w14:textId="2D1228F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Kriemler, S., Meyer, U., Martin, E., Van Sluijs, E. M. F., Andersen, L. B., y Martin, B. W. (2011). Effect of school-based interventions on physical activity and fitness </w:t>
      </w:r>
      <w:r w:rsidRPr="0051709F">
        <w:rPr>
          <w:rFonts w:asciiTheme="minorHAnsi" w:hAnsiTheme="minorHAnsi" w:cstheme="minorHAnsi"/>
          <w:sz w:val="24"/>
          <w:szCs w:val="24"/>
        </w:rPr>
        <w:lastRenderedPageBreak/>
        <w:t xml:space="preserve">in children and adolescents: a review of reviews and systematic update. </w:t>
      </w:r>
      <w:r w:rsidRPr="0051709F">
        <w:rPr>
          <w:rFonts w:asciiTheme="minorHAnsi" w:hAnsiTheme="minorHAnsi" w:cstheme="minorHAnsi"/>
          <w:i/>
          <w:sz w:val="24"/>
          <w:szCs w:val="24"/>
        </w:rPr>
        <w:t>British Journal of Sports Medicine, 45</w:t>
      </w:r>
      <w:r w:rsidRPr="0051709F">
        <w:rPr>
          <w:rFonts w:asciiTheme="minorHAnsi" w:hAnsiTheme="minorHAnsi" w:cstheme="minorHAnsi"/>
          <w:sz w:val="24"/>
          <w:szCs w:val="24"/>
        </w:rPr>
        <w:t xml:space="preserve">, 923-930. </w:t>
      </w:r>
    </w:p>
    <w:p w14:paraId="7179590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Kriemler, S., Meyer, U., Martin, E., Van Sluijs, E. M., Andersen, L. B., y Martin, B. W., (2011). Effect of school-based interventions on physical activity and fitness in children and adolescents: a review of reviews and systematic update. </w:t>
      </w:r>
      <w:r w:rsidRPr="0051709F">
        <w:rPr>
          <w:rFonts w:asciiTheme="minorHAnsi" w:hAnsiTheme="minorHAnsi" w:cstheme="minorHAnsi"/>
          <w:i/>
          <w:sz w:val="24"/>
          <w:szCs w:val="24"/>
        </w:rPr>
        <w:t>British Journal of Sports Medicine, 45</w:t>
      </w:r>
      <w:r w:rsidRPr="0051709F">
        <w:rPr>
          <w:rFonts w:asciiTheme="minorHAnsi" w:hAnsiTheme="minorHAnsi" w:cstheme="minorHAnsi"/>
          <w:sz w:val="24"/>
          <w:szCs w:val="24"/>
        </w:rPr>
        <w:t>, 923-930.</w:t>
      </w:r>
    </w:p>
    <w:p w14:paraId="152CE583" w14:textId="3C8A3177" w:rsidR="004D689C" w:rsidRPr="0051709F" w:rsidRDefault="004D689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L</w:t>
      </w:r>
      <w:r w:rsidR="00B8052F" w:rsidRPr="0051709F">
        <w:rPr>
          <w:rFonts w:asciiTheme="minorHAnsi" w:hAnsiTheme="minorHAnsi" w:cstheme="minorHAnsi"/>
          <w:noProof/>
          <w:sz w:val="24"/>
          <w:szCs w:val="24"/>
          <w:lang w:val="es-ES"/>
        </w:rPr>
        <w:t>agardera</w:t>
      </w:r>
      <w:r w:rsidRPr="0051709F">
        <w:rPr>
          <w:rFonts w:asciiTheme="minorHAnsi" w:hAnsiTheme="minorHAnsi" w:cstheme="minorHAnsi"/>
          <w:noProof/>
          <w:sz w:val="24"/>
          <w:szCs w:val="24"/>
          <w:lang w:val="es-ES"/>
        </w:rPr>
        <w:t xml:space="preserve">, F. (1992). El deporte moderno visto desde la sociología histórica. </w:t>
      </w:r>
      <w:r w:rsidRPr="0051709F">
        <w:rPr>
          <w:rFonts w:asciiTheme="minorHAnsi" w:hAnsiTheme="minorHAnsi" w:cstheme="minorHAnsi"/>
          <w:i/>
          <w:noProof/>
          <w:sz w:val="24"/>
          <w:szCs w:val="24"/>
          <w:lang w:val="es-ES"/>
        </w:rPr>
        <w:t xml:space="preserve">Actas del I Encuentro UNISPORT sobre sociología del deporte «El hecho deportivo: aspectos sociológicos, culturales y económicos» </w:t>
      </w:r>
      <w:r w:rsidRPr="0051709F">
        <w:rPr>
          <w:rFonts w:asciiTheme="minorHAnsi" w:hAnsiTheme="minorHAnsi" w:cstheme="minorHAnsi"/>
          <w:noProof/>
          <w:sz w:val="24"/>
          <w:szCs w:val="24"/>
          <w:lang w:val="es-ES"/>
        </w:rPr>
        <w:t xml:space="preserve">(1-38). </w:t>
      </w:r>
      <w:r w:rsidRPr="0051709F">
        <w:rPr>
          <w:rFonts w:asciiTheme="minorHAnsi" w:hAnsiTheme="minorHAnsi" w:cstheme="minorHAnsi"/>
          <w:noProof/>
          <w:sz w:val="24"/>
          <w:szCs w:val="24"/>
        </w:rPr>
        <w:t>Apuntes nº. 256: Málaga, UNISPORT Andalucía.</w:t>
      </w:r>
    </w:p>
    <w:p w14:paraId="0B9D1650" w14:textId="246DB609" w:rsidR="005F46AB" w:rsidRPr="0051709F" w:rsidRDefault="005F46AB" w:rsidP="00E6399B">
      <w:pPr>
        <w:pStyle w:val="Bibliografa"/>
        <w:numPr>
          <w:ilvl w:val="0"/>
          <w:numId w:val="78"/>
        </w:numPr>
        <w:jc w:val="both"/>
        <w:rPr>
          <w:rFonts w:asciiTheme="minorHAnsi" w:hAnsiTheme="minorHAnsi" w:cstheme="minorHAnsi"/>
          <w:sz w:val="24"/>
          <w:szCs w:val="24"/>
          <w:lang w:val="it-IT"/>
        </w:rPr>
      </w:pPr>
      <w:r w:rsidRPr="0051709F">
        <w:rPr>
          <w:rFonts w:asciiTheme="minorHAnsi" w:hAnsiTheme="minorHAnsi" w:cstheme="minorHAnsi"/>
          <w:sz w:val="24"/>
          <w:szCs w:val="24"/>
        </w:rPr>
        <w:t xml:space="preserve">Lahoz, C. F., &amp; Blasco, J. A. (2023a). </w:t>
      </w:r>
      <w:r w:rsidRPr="0051709F">
        <w:rPr>
          <w:rFonts w:asciiTheme="minorHAnsi" w:hAnsiTheme="minorHAnsi" w:cstheme="minorHAnsi"/>
          <w:sz w:val="24"/>
          <w:szCs w:val="24"/>
          <w:lang w:val="en-US"/>
        </w:rPr>
        <w:t xml:space="preserve">Hamburg at the Forefront of the Active Cities. In </w:t>
      </w:r>
      <w:r w:rsidRPr="0051709F">
        <w:rPr>
          <w:rFonts w:asciiTheme="minorHAnsi" w:hAnsiTheme="minorHAnsi" w:cstheme="minorHAnsi"/>
          <w:i/>
          <w:iCs/>
          <w:sz w:val="24"/>
          <w:szCs w:val="24"/>
          <w:lang w:val="en-US"/>
        </w:rPr>
        <w:t>Intersecting Health, Livability, and Human Behavior in Urban Environments</w:t>
      </w:r>
      <w:r w:rsidRPr="0051709F">
        <w:rPr>
          <w:rFonts w:asciiTheme="minorHAnsi" w:hAnsiTheme="minorHAnsi" w:cstheme="minorHAnsi"/>
          <w:sz w:val="24"/>
          <w:szCs w:val="24"/>
          <w:lang w:val="en-US"/>
        </w:rPr>
        <w:t xml:space="preserve"> (pp. 59–82). </w:t>
      </w:r>
      <w:r w:rsidRPr="0051709F">
        <w:rPr>
          <w:rFonts w:asciiTheme="minorHAnsi" w:hAnsiTheme="minorHAnsi" w:cstheme="minorHAnsi"/>
          <w:sz w:val="24"/>
          <w:szCs w:val="24"/>
          <w:lang w:val="it-IT"/>
        </w:rPr>
        <w:t>IGI Global. https://doi.org/10.4018/978-1-6684-6924-8.ch004</w:t>
      </w:r>
    </w:p>
    <w:p w14:paraId="68DCEEAA"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it-IT"/>
        </w:rPr>
        <w:t xml:space="preserve">Lahoz, C. F., &amp; Blasco, J. A. (2023b). </w:t>
      </w:r>
      <w:r w:rsidRPr="0051709F">
        <w:rPr>
          <w:rFonts w:asciiTheme="minorHAnsi" w:hAnsiTheme="minorHAnsi" w:cstheme="minorHAnsi"/>
          <w:sz w:val="24"/>
          <w:szCs w:val="24"/>
          <w:lang w:val="en-US"/>
        </w:rPr>
        <w:t xml:space="preserve">Healthy Cities in the 21st Century: Toward the Active City. In </w:t>
      </w:r>
      <w:r w:rsidRPr="0051709F">
        <w:rPr>
          <w:rFonts w:asciiTheme="minorHAnsi" w:hAnsiTheme="minorHAnsi" w:cstheme="minorHAnsi"/>
          <w:i/>
          <w:iCs/>
          <w:sz w:val="24"/>
          <w:szCs w:val="24"/>
          <w:lang w:val="en-US"/>
        </w:rPr>
        <w:t>Green Research, Developments, and Programs</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Sustainable and Healthy Building Environments</w:t>
      </w:r>
      <w:r w:rsidRPr="0051709F">
        <w:rPr>
          <w:rFonts w:asciiTheme="minorHAnsi" w:hAnsiTheme="minorHAnsi" w:cstheme="minorHAnsi"/>
          <w:sz w:val="24"/>
          <w:szCs w:val="24"/>
          <w:lang w:val="en-US"/>
        </w:rPr>
        <w:t xml:space="preserve"> (Roberto Alonso González Lezcano, pp. 75–98). New York: Nova Science Publishers. https://doi.org/10.52305/TKOH1520</w:t>
      </w:r>
    </w:p>
    <w:p w14:paraId="098BC494"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Lane, C., McCrabb, S., Nathan, N., Naylor, P. J., Bauman, A. et al. (2021). How effective are physical activity interventions when they are scaled-up: a systematic review. </w:t>
      </w:r>
      <w:r w:rsidRPr="0051709F">
        <w:rPr>
          <w:rFonts w:asciiTheme="minorHAnsi" w:hAnsiTheme="minorHAnsi" w:cstheme="minorHAnsi"/>
          <w:i/>
          <w:iCs/>
          <w:sz w:val="24"/>
          <w:szCs w:val="24"/>
        </w:rPr>
        <w:t xml:space="preserve">International Journal of Behavioral Nutrition and Physical Activity, </w:t>
      </w:r>
      <w:r w:rsidRPr="0051709F">
        <w:rPr>
          <w:rFonts w:asciiTheme="minorHAnsi" w:hAnsiTheme="minorHAnsi" w:cstheme="minorHAnsi"/>
          <w:i/>
          <w:iCs/>
          <w:sz w:val="24"/>
          <w:szCs w:val="24"/>
          <w:shd w:val="clear" w:color="auto" w:fill="FFFFFF"/>
        </w:rPr>
        <w:t>18</w:t>
      </w:r>
      <w:r w:rsidRPr="0051709F">
        <w:rPr>
          <w:rFonts w:asciiTheme="minorHAnsi" w:hAnsiTheme="minorHAnsi" w:cstheme="minorHAnsi"/>
          <w:sz w:val="24"/>
          <w:szCs w:val="24"/>
          <w:shd w:val="clear" w:color="auto" w:fill="FFFFFF"/>
        </w:rPr>
        <w:t>(1), 16.</w:t>
      </w:r>
    </w:p>
    <w:p w14:paraId="5201126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Lanningham-Foster, L., Jensen, T. B., Foster, R. C., Redmond, A. B., Walker, B. A., Heinz, D., y Levine, J. A. (2006). Energy expenditure of sedentary screen time compared with active screen time for children. </w:t>
      </w:r>
      <w:r w:rsidRPr="0051709F">
        <w:rPr>
          <w:rFonts w:asciiTheme="minorHAnsi" w:hAnsiTheme="minorHAnsi" w:cstheme="minorHAnsi"/>
          <w:i/>
          <w:sz w:val="24"/>
          <w:szCs w:val="24"/>
        </w:rPr>
        <w:t>Pediatrics, 118(6),</w:t>
      </w:r>
      <w:r w:rsidRPr="0051709F">
        <w:rPr>
          <w:rFonts w:asciiTheme="minorHAnsi" w:hAnsiTheme="minorHAnsi" w:cstheme="minorHAnsi"/>
          <w:sz w:val="24"/>
          <w:szCs w:val="24"/>
        </w:rPr>
        <w:t xml:space="preserve"> 1831-1835. </w:t>
      </w:r>
    </w:p>
    <w:p w14:paraId="29E4C159"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Lastovkova A, Carder M, Rasmussen HM, Sjoberg L, De GGJ, Sauni R, et al. Burnout syndrome as an occupational disease in the European Union: an exploratory study. Ind Health. 2018;56(1):160–5.</w:t>
      </w:r>
    </w:p>
    <w:p w14:paraId="3ADDE38C" w14:textId="77777777" w:rsidR="00482DA9" w:rsidRPr="0051709F" w:rsidRDefault="00482DA9"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Lee, S. M., Sallis, J. F., y Biddle, S. J. H. (2010). Active communities for youth and families: using research to create momentum for change. </w:t>
      </w:r>
      <w:r w:rsidRPr="0051709F">
        <w:rPr>
          <w:rFonts w:asciiTheme="minorHAnsi" w:hAnsiTheme="minorHAnsi" w:cstheme="minorHAnsi"/>
          <w:i/>
          <w:sz w:val="24"/>
          <w:szCs w:val="24"/>
        </w:rPr>
        <w:t>Preventive Medicine, 50(Suppl.),</w:t>
      </w:r>
      <w:r w:rsidRPr="0051709F">
        <w:rPr>
          <w:rFonts w:asciiTheme="minorHAnsi" w:hAnsiTheme="minorHAnsi" w:cstheme="minorHAnsi"/>
          <w:sz w:val="24"/>
          <w:szCs w:val="24"/>
        </w:rPr>
        <w:t xml:space="preserve"> S3-S5.</w:t>
      </w:r>
    </w:p>
    <w:p w14:paraId="02D67EEA" w14:textId="3BF04298" w:rsidR="000C66BC" w:rsidRPr="0051709F"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Lee, I-M, Shiroma EJ, Lobelo F, Puska P, Blair SN, Katzmarzyk PT, et al. Effect of physical inactivity on major non-communicable diseases worldwide: an analysis of burden of disease and life expectancy. Lancet. 2012;380:219–29.</w:t>
      </w:r>
    </w:p>
    <w:p w14:paraId="4857C0E2" w14:textId="77777777" w:rsidR="00993CD3" w:rsidRPr="0051709F" w:rsidRDefault="00993CD3"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Lindsey I, Chapman T. Enhancing the contribution of sport to the Sustainable Development Goals. London: Commonwealth Secretariat; 2017.</w:t>
      </w:r>
    </w:p>
    <w:p w14:paraId="1AAB85D8" w14:textId="77777777" w:rsidR="00A4777B" w:rsidRPr="0051709F" w:rsidRDefault="00A4777B" w:rsidP="00E6399B">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Lion A, Vuillemin A, Thornton JS, Theisen D, Stranges S, Ward M. Physical activity promotion in primary care: a Utopian quest? </w:t>
      </w:r>
      <w:r w:rsidRPr="0051709F">
        <w:rPr>
          <w:rFonts w:asciiTheme="minorHAnsi" w:eastAsia="Calibri" w:hAnsiTheme="minorHAnsi" w:cstheme="minorHAnsi"/>
          <w:sz w:val="24"/>
          <w:szCs w:val="24"/>
        </w:rPr>
        <w:t>Health Promot Int. 2018. 1;34(4):877-886</w:t>
      </w:r>
    </w:p>
    <w:p w14:paraId="7E3CA611"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Litman, T. (2007). Developing Indicators for Comprehensive and Sustainable Transport Planning. </w:t>
      </w:r>
      <w:r w:rsidRPr="0051709F">
        <w:rPr>
          <w:rFonts w:asciiTheme="minorHAnsi" w:hAnsiTheme="minorHAnsi" w:cstheme="minorHAnsi"/>
          <w:i/>
          <w:iCs/>
          <w:sz w:val="24"/>
          <w:szCs w:val="24"/>
          <w:lang w:val="en-US"/>
        </w:rPr>
        <w:t>Transportation Research Record</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2017</w:t>
      </w:r>
      <w:r w:rsidRPr="0051709F">
        <w:rPr>
          <w:rFonts w:asciiTheme="minorHAnsi" w:hAnsiTheme="minorHAnsi" w:cstheme="minorHAnsi"/>
          <w:sz w:val="24"/>
          <w:szCs w:val="24"/>
          <w:lang w:val="en-US"/>
        </w:rPr>
        <w:t>(1), 10–15. https://doi.org/10.3141/2017-02</w:t>
      </w:r>
    </w:p>
    <w:p w14:paraId="3354AE6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Lubans, D. R., Morgan, P. J., Aguiar, E. J., y Callister, R. (2011). </w:t>
      </w:r>
      <w:r w:rsidRPr="0051709F">
        <w:rPr>
          <w:rFonts w:asciiTheme="minorHAnsi" w:hAnsiTheme="minorHAnsi" w:cstheme="minorHAnsi"/>
          <w:sz w:val="24"/>
          <w:szCs w:val="24"/>
        </w:rPr>
        <w:t xml:space="preserve">Randomized controlled trial of the Physical Activity Leaders (PALs) program for adolescent boys from disadvantaged secondary schools. </w:t>
      </w:r>
      <w:r w:rsidRPr="0051709F">
        <w:rPr>
          <w:rFonts w:asciiTheme="minorHAnsi" w:hAnsiTheme="minorHAnsi" w:cstheme="minorHAnsi"/>
          <w:i/>
          <w:sz w:val="24"/>
          <w:szCs w:val="24"/>
        </w:rPr>
        <w:t>Preventive Medicine, 52</w:t>
      </w:r>
      <w:r w:rsidRPr="0051709F">
        <w:rPr>
          <w:rFonts w:asciiTheme="minorHAnsi" w:hAnsiTheme="minorHAnsi" w:cstheme="minorHAnsi"/>
          <w:sz w:val="24"/>
          <w:szCs w:val="24"/>
        </w:rPr>
        <w:t xml:space="preserve">, 239-246. </w:t>
      </w:r>
    </w:p>
    <w:p w14:paraId="52B2896B"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Lubans, D. R., Morgan, P. J., Dewar, D., Collins, C. E., Plotnikoff, R. C., Okely, A. D., Batterham, M. J., Finn, T., y Callister, R. (2010). The Nutrition and Enjoyable </w:t>
      </w:r>
      <w:r w:rsidRPr="0051709F">
        <w:rPr>
          <w:rFonts w:asciiTheme="minorHAnsi" w:hAnsiTheme="minorHAnsi" w:cstheme="minorHAnsi"/>
          <w:sz w:val="24"/>
          <w:szCs w:val="24"/>
        </w:rPr>
        <w:lastRenderedPageBreak/>
        <w:t xml:space="preserve">Activity for Teen Girls (NEAT girls) randomized controlled trial for adolescent girls from disadvantaged secondary schools: rationale, study protocol, and baseline results. </w:t>
      </w:r>
      <w:r w:rsidRPr="0051709F">
        <w:rPr>
          <w:rFonts w:asciiTheme="minorHAnsi" w:hAnsiTheme="minorHAnsi" w:cstheme="minorHAnsi"/>
          <w:i/>
          <w:sz w:val="24"/>
          <w:szCs w:val="24"/>
        </w:rPr>
        <w:t>BMC Public Health, 10</w:t>
      </w:r>
      <w:r w:rsidRPr="0051709F">
        <w:rPr>
          <w:rFonts w:asciiTheme="minorHAnsi" w:hAnsiTheme="minorHAnsi" w:cstheme="minorHAnsi"/>
          <w:sz w:val="24"/>
          <w:szCs w:val="24"/>
        </w:rPr>
        <w:t xml:space="preserve">, 652. </w:t>
      </w:r>
    </w:p>
    <w:p w14:paraId="598CEB08" w14:textId="2669C941" w:rsidR="00BA190E" w:rsidRPr="0051709F" w:rsidRDefault="00BA190E"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sz w:val="24"/>
          <w:szCs w:val="24"/>
        </w:rPr>
        <w:t xml:space="preserve">Lubans, D.R., Foster, C., y Biddle, S.J.H. (2008). A review of mediators of behavior in interventions to promote physical activity among children and adolescents. </w:t>
      </w:r>
      <w:r w:rsidRPr="0051709F">
        <w:rPr>
          <w:rFonts w:asciiTheme="minorHAnsi" w:hAnsiTheme="minorHAnsi" w:cstheme="minorHAnsi"/>
          <w:i/>
          <w:sz w:val="24"/>
          <w:szCs w:val="24"/>
        </w:rPr>
        <w:t>Preventive Medicine, 47</w:t>
      </w:r>
      <w:r w:rsidRPr="0051709F">
        <w:rPr>
          <w:rFonts w:asciiTheme="minorHAnsi" w:hAnsiTheme="minorHAnsi" w:cstheme="minorHAnsi"/>
          <w:sz w:val="24"/>
          <w:szCs w:val="24"/>
        </w:rPr>
        <w:t>, 463-470.</w:t>
      </w:r>
    </w:p>
    <w:p w14:paraId="36EAABCA" w14:textId="45F4DA1F" w:rsidR="00A4777B" w:rsidRPr="0051709F" w:rsidRDefault="00C32E99" w:rsidP="00E6399B">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Lucí</w:t>
      </w:r>
      <w:r w:rsidR="00A4777B" w:rsidRPr="0051709F">
        <w:rPr>
          <w:rFonts w:asciiTheme="minorHAnsi" w:eastAsia="Calibri" w:hAnsiTheme="minorHAnsi" w:cstheme="minorHAnsi"/>
          <w:sz w:val="24"/>
          <w:szCs w:val="24"/>
          <w:lang w:val="en-GB"/>
        </w:rPr>
        <w:t xml:space="preserve">a A, Nogales-Gadea G, Pérez M, Martín MA, Andreu AL, Arenas J. McArdle disease: what do neurologists need to know? </w:t>
      </w:r>
      <w:r w:rsidR="00A4777B" w:rsidRPr="0051709F">
        <w:rPr>
          <w:rFonts w:asciiTheme="minorHAnsi" w:eastAsia="Calibri" w:hAnsiTheme="minorHAnsi" w:cstheme="minorHAnsi"/>
          <w:sz w:val="24"/>
          <w:szCs w:val="24"/>
        </w:rPr>
        <w:t>Nat Clin Pract Neurol. 2008 Oct;4(10):568-77. doi: 10.1038/ncpneuro0913. PMID: 18833216.</w:t>
      </w:r>
    </w:p>
    <w:p w14:paraId="0A92AFD0" w14:textId="77777777" w:rsidR="00CE5BB3" w:rsidRPr="0051709F" w:rsidRDefault="00CE5BB3"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MacCallum, L., Howson, N., &amp; Gopu, N. (2016). </w:t>
      </w:r>
      <w:r w:rsidRPr="0051709F">
        <w:rPr>
          <w:rFonts w:asciiTheme="minorHAnsi" w:hAnsiTheme="minorHAnsi" w:cstheme="minorHAnsi"/>
          <w:i/>
          <w:iCs/>
          <w:sz w:val="24"/>
          <w:szCs w:val="24"/>
          <w:lang w:val="en-US"/>
        </w:rPr>
        <w:t>Design to move. A Physical Activity Action Agenda. A Guide for City Leaders</w:t>
      </w:r>
      <w:r w:rsidRPr="0051709F">
        <w:rPr>
          <w:rFonts w:asciiTheme="minorHAnsi" w:hAnsiTheme="minorHAnsi" w:cstheme="minorHAnsi"/>
          <w:sz w:val="24"/>
          <w:szCs w:val="24"/>
          <w:lang w:val="en-US"/>
        </w:rPr>
        <w:t>. The American College of Sports Medicine (ACSM). NIKE, Inc. The International Council of Sport Science and Physical Education (ICSSPE).</w:t>
      </w:r>
    </w:p>
    <w:p w14:paraId="2A08A8FE" w14:textId="77777777" w:rsidR="00993CD3" w:rsidRPr="0051709F" w:rsidRDefault="00993CD3"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Malm, C., Jackobson, J., Isaksson, A. Physical Activity and Sports—Real Health Benefits: A Review with Insight into the Public Health of Sweden. </w:t>
      </w:r>
      <w:r w:rsidRPr="0051709F">
        <w:rPr>
          <w:rFonts w:asciiTheme="minorHAnsi" w:hAnsiTheme="minorHAnsi" w:cstheme="minorHAnsi"/>
          <w:i/>
          <w:iCs/>
          <w:sz w:val="24"/>
          <w:szCs w:val="24"/>
        </w:rPr>
        <w:t>Sports</w:t>
      </w:r>
      <w:r w:rsidRPr="0051709F">
        <w:rPr>
          <w:rFonts w:asciiTheme="minorHAnsi" w:hAnsiTheme="minorHAnsi" w:cstheme="minorHAnsi"/>
          <w:sz w:val="24"/>
          <w:szCs w:val="24"/>
        </w:rPr>
        <w:t xml:space="preserve"> 2019, 7, 127; doi:10.3390/sports7050127</w:t>
      </w:r>
    </w:p>
    <w:p w14:paraId="015BB28F" w14:textId="77777777" w:rsidR="007643C6" w:rsidRPr="0051709F" w:rsidRDefault="007643C6"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Manttiri S, Oksa J, Lusa S, Korkiakangas E, Punakallio A, Oksanen T, et al. Interventions to promote work ability by increasing physical activity among workers with physically strenuous jobs: a scoping review. Scand J Public Health. 2021;49(2):206–18.</w:t>
      </w:r>
    </w:p>
    <w:p w14:paraId="737F4B31" w14:textId="77777777" w:rsidR="00C3227B" w:rsidRPr="0051709F" w:rsidRDefault="00C3227B" w:rsidP="00E6399B">
      <w:pPr>
        <w:pStyle w:val="Prrafodelista"/>
        <w:numPr>
          <w:ilvl w:val="0"/>
          <w:numId w:val="78"/>
        </w:numPr>
        <w:jc w:val="both"/>
        <w:rPr>
          <w:rFonts w:asciiTheme="minorHAnsi" w:hAnsiTheme="minorHAnsi" w:cstheme="minorHAnsi"/>
          <w:color w:val="333333"/>
          <w:sz w:val="24"/>
          <w:szCs w:val="24"/>
          <w:shd w:val="clear" w:color="auto" w:fill="FFFFFF"/>
        </w:rPr>
      </w:pPr>
      <w:r w:rsidRPr="0051709F">
        <w:rPr>
          <w:rFonts w:asciiTheme="minorHAnsi" w:hAnsiTheme="minorHAnsi" w:cstheme="minorHAnsi"/>
          <w:color w:val="333333"/>
          <w:sz w:val="24"/>
          <w:szCs w:val="24"/>
          <w:shd w:val="clear" w:color="auto" w:fill="FFFFFF"/>
        </w:rPr>
        <w:t>Marin-Farrona, M., Wipfli, B., Thosar, S.S. </w:t>
      </w:r>
      <w:r w:rsidRPr="0051709F">
        <w:rPr>
          <w:rFonts w:asciiTheme="minorHAnsi" w:hAnsiTheme="minorHAnsi" w:cstheme="minorHAnsi"/>
          <w:i/>
          <w:iCs/>
          <w:color w:val="333333"/>
          <w:sz w:val="24"/>
          <w:szCs w:val="24"/>
          <w:shd w:val="clear" w:color="auto" w:fill="FFFFFF"/>
        </w:rPr>
        <w:t>et al.</w:t>
      </w:r>
      <w:r w:rsidRPr="0051709F">
        <w:rPr>
          <w:rFonts w:asciiTheme="minorHAnsi" w:hAnsiTheme="minorHAnsi" w:cstheme="minorHAnsi"/>
          <w:color w:val="333333"/>
          <w:sz w:val="24"/>
          <w:szCs w:val="24"/>
          <w:shd w:val="clear" w:color="auto" w:fill="FFFFFF"/>
        </w:rPr>
        <w:t> Effectiveness of worksite wellness programs based on physical activity to improve workers’ health and productivity: a systematic review. </w:t>
      </w:r>
      <w:r w:rsidRPr="0051709F">
        <w:rPr>
          <w:rFonts w:asciiTheme="minorHAnsi" w:hAnsiTheme="minorHAnsi" w:cstheme="minorHAnsi"/>
          <w:i/>
          <w:iCs/>
          <w:color w:val="333333"/>
          <w:sz w:val="24"/>
          <w:szCs w:val="24"/>
          <w:shd w:val="clear" w:color="auto" w:fill="FFFFFF"/>
        </w:rPr>
        <w:t>Syst Rev</w:t>
      </w:r>
      <w:r w:rsidRPr="0051709F">
        <w:rPr>
          <w:rFonts w:asciiTheme="minorHAnsi" w:hAnsiTheme="minorHAnsi" w:cstheme="minorHAnsi"/>
          <w:color w:val="333333"/>
          <w:sz w:val="24"/>
          <w:szCs w:val="24"/>
          <w:shd w:val="clear" w:color="auto" w:fill="FFFFFF"/>
        </w:rPr>
        <w:t> </w:t>
      </w:r>
      <w:r w:rsidRPr="0051709F">
        <w:rPr>
          <w:rFonts w:asciiTheme="minorHAnsi" w:hAnsiTheme="minorHAnsi" w:cstheme="minorHAnsi"/>
          <w:b/>
          <w:bCs/>
          <w:color w:val="333333"/>
          <w:sz w:val="24"/>
          <w:szCs w:val="24"/>
          <w:shd w:val="clear" w:color="auto" w:fill="FFFFFF"/>
        </w:rPr>
        <w:t>12</w:t>
      </w:r>
      <w:r w:rsidRPr="0051709F">
        <w:rPr>
          <w:rFonts w:asciiTheme="minorHAnsi" w:hAnsiTheme="minorHAnsi" w:cstheme="minorHAnsi"/>
          <w:color w:val="333333"/>
          <w:sz w:val="24"/>
          <w:szCs w:val="24"/>
          <w:shd w:val="clear" w:color="auto" w:fill="FFFFFF"/>
        </w:rPr>
        <w:t xml:space="preserve">, 87 (2023). </w:t>
      </w:r>
      <w:hyperlink r:id="rId121" w:history="1">
        <w:r w:rsidRPr="0051709F">
          <w:rPr>
            <w:rStyle w:val="Hipervnculo"/>
            <w:rFonts w:asciiTheme="minorHAnsi" w:hAnsiTheme="minorHAnsi" w:cstheme="minorHAnsi"/>
            <w:sz w:val="24"/>
            <w:szCs w:val="24"/>
            <w:shd w:val="clear" w:color="auto" w:fill="FFFFFF"/>
          </w:rPr>
          <w:t>https://doi.org/10.1186/s13643-023-02258-6</w:t>
        </w:r>
      </w:hyperlink>
    </w:p>
    <w:p w14:paraId="4D46D164" w14:textId="77777777"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Martín, M., Moscoso, D.; Pedrajas, N. (2013). </w:t>
      </w:r>
      <w:r w:rsidRPr="0051709F">
        <w:rPr>
          <w:rFonts w:asciiTheme="minorHAnsi" w:hAnsiTheme="minorHAnsi" w:cstheme="minorHAnsi"/>
          <w:noProof/>
          <w:sz w:val="24"/>
          <w:szCs w:val="24"/>
        </w:rPr>
        <w:t xml:space="preserve">Gender differences in motivations to practice to physical activity and sport in old age. </w:t>
      </w:r>
      <w:r w:rsidRPr="0051709F">
        <w:rPr>
          <w:rFonts w:asciiTheme="minorHAnsi" w:hAnsiTheme="minorHAnsi" w:cstheme="minorHAnsi"/>
          <w:i/>
          <w:noProof/>
          <w:sz w:val="24"/>
          <w:szCs w:val="24"/>
          <w:lang w:val="es-ES"/>
        </w:rPr>
        <w:t>Revista Internacional de Medicina y Ciencias de la Actividad Física y el Deporte</w:t>
      </w:r>
      <w:r w:rsidRPr="0051709F">
        <w:rPr>
          <w:rFonts w:asciiTheme="minorHAnsi" w:hAnsiTheme="minorHAnsi" w:cstheme="minorHAnsi"/>
          <w:noProof/>
          <w:sz w:val="24"/>
          <w:szCs w:val="24"/>
          <w:lang w:val="es-ES"/>
        </w:rPr>
        <w:t>, 13(49), 121-129.</w:t>
      </w:r>
    </w:p>
    <w:p w14:paraId="05EF27F1" w14:textId="77777777" w:rsidR="00A4777B" w:rsidRPr="0051709F" w:rsidRDefault="00A4777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Martin-Borras C, Gine-Garriga M, Puig-Ribera A, Martin C, Sola M, CuestaVargas AI. </w:t>
      </w:r>
      <w:r w:rsidRPr="0051709F">
        <w:rPr>
          <w:rFonts w:asciiTheme="minorHAnsi" w:hAnsiTheme="minorHAnsi" w:cstheme="minorHAnsi"/>
          <w:sz w:val="24"/>
          <w:szCs w:val="24"/>
        </w:rPr>
        <w:t xml:space="preserve">A new model of exercise referral scheme in primary care: is the effect on adherence to physical activity sustainable in the long term? A 15-month randomised controlled trial. BMJ open. 2018;8(3):e017211.  </w:t>
      </w:r>
    </w:p>
    <w:p w14:paraId="2A8E677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Martin, K., Sinden, A., y Fleming, J. (2000). </w:t>
      </w:r>
      <w:r w:rsidRPr="0051709F">
        <w:rPr>
          <w:rFonts w:asciiTheme="minorHAnsi" w:hAnsiTheme="minorHAnsi" w:cstheme="minorHAnsi"/>
          <w:sz w:val="24"/>
          <w:szCs w:val="24"/>
        </w:rPr>
        <w:t xml:space="preserve">Inactivity may be hazardous to your image: the ef- fects of exercise participation on impression formation. </w:t>
      </w:r>
      <w:r w:rsidRPr="0051709F">
        <w:rPr>
          <w:rFonts w:asciiTheme="minorHAnsi" w:hAnsiTheme="minorHAnsi" w:cstheme="minorHAnsi"/>
          <w:i/>
          <w:sz w:val="24"/>
          <w:szCs w:val="24"/>
        </w:rPr>
        <w:t>Journal of Sport &amp; Exercise Psychology, 22</w:t>
      </w:r>
      <w:r w:rsidRPr="0051709F">
        <w:rPr>
          <w:rFonts w:asciiTheme="minorHAnsi" w:hAnsiTheme="minorHAnsi" w:cstheme="minorHAnsi"/>
          <w:sz w:val="24"/>
          <w:szCs w:val="24"/>
        </w:rPr>
        <w:t>, 283-291.</w:t>
      </w:r>
    </w:p>
    <w:p w14:paraId="76F096E1" w14:textId="77777777" w:rsidR="000C66BC" w:rsidRPr="0051709F"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Mayo X, Del Villar F, Jiménez A. Termómetro del sedentarismo en España: Informe sobre la inactividad física y el sedentarismo en la población adulta española. Madrid, España: Fundación España Activa; 2017.</w:t>
      </w:r>
    </w:p>
    <w:p w14:paraId="44265D55" w14:textId="77777777" w:rsidR="00F15C40" w:rsidRPr="0051709F" w:rsidRDefault="00F15C40"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rPr>
        <w:t>Mayo X, Del Villar F, Iglesias-Soler E, Liguori G, Mann S, Jimenez A. A retrospective analysis of policy development on compliance with World Health Organization’s physical activity recommendations between 2002 and 2005 in European Union adults: closing the gap between research and policy. BMC Public Health [Internet]. 2018 Aug 31;18(1):1081. Available from: http://www.ncbi.nlm.nih.gov/pubmed/30165825</w:t>
      </w:r>
    </w:p>
    <w:p w14:paraId="53E46727" w14:textId="0ED75E99" w:rsidR="00F15C40" w:rsidRPr="0051709F" w:rsidRDefault="00F15C40"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lang w:val="es-ES"/>
        </w:rPr>
        <w:t xml:space="preserve">Mayo X, Liguori G, Iglesias-Soler E, Copeland RJ, Clavel San Emeterio I, Lowe A, et al. </w:t>
      </w:r>
      <w:r w:rsidRPr="0051709F">
        <w:rPr>
          <w:rFonts w:asciiTheme="minorHAnsi" w:hAnsiTheme="minorHAnsi" w:cstheme="minorHAnsi"/>
          <w:noProof/>
          <w:sz w:val="24"/>
          <w:szCs w:val="24"/>
        </w:rPr>
        <w:t xml:space="preserve">The active living gender’s gap challenge: 2013–2017 Eurobarometers physical inactivity data show constant higher prevalence in women with no progress towards global reduction goals. BMC Public Health [Internet]. 2019 Dec </w:t>
      </w:r>
      <w:r w:rsidRPr="0051709F">
        <w:rPr>
          <w:rFonts w:asciiTheme="minorHAnsi" w:hAnsiTheme="minorHAnsi" w:cstheme="minorHAnsi"/>
          <w:noProof/>
          <w:sz w:val="24"/>
          <w:szCs w:val="24"/>
        </w:rPr>
        <w:lastRenderedPageBreak/>
        <w:t>12;19(1):1677. Available from: http://www.ncbi.nlm.nih.gov/pubmed/31830956</w:t>
      </w:r>
    </w:p>
    <w:p w14:paraId="2B95DF15" w14:textId="7C562060"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Mayorga-Vega, D., Montoro-Escaño, J., Merino-Marban, R., &amp; Viciana, J. (2016). </w:t>
      </w:r>
      <w:r w:rsidRPr="0051709F">
        <w:rPr>
          <w:rFonts w:asciiTheme="minorHAnsi" w:hAnsiTheme="minorHAnsi" w:cstheme="minorHAnsi"/>
          <w:sz w:val="24"/>
          <w:szCs w:val="24"/>
        </w:rPr>
        <w:t xml:space="preserve">Effects of a physical education-based programme on health-related physical fitness and its maintenance in high school students: A clusterrandomized controlled trial. </w:t>
      </w:r>
      <w:r w:rsidRPr="0051709F">
        <w:rPr>
          <w:rFonts w:asciiTheme="minorHAnsi" w:hAnsiTheme="minorHAnsi" w:cstheme="minorHAnsi"/>
          <w:i/>
          <w:iCs/>
          <w:sz w:val="24"/>
          <w:szCs w:val="24"/>
        </w:rPr>
        <w:t>European Physical Education Review, 22</w:t>
      </w:r>
      <w:r w:rsidRPr="0051709F">
        <w:rPr>
          <w:rFonts w:asciiTheme="minorHAnsi" w:hAnsiTheme="minorHAnsi" w:cstheme="minorHAnsi"/>
          <w:sz w:val="24"/>
          <w:szCs w:val="24"/>
        </w:rPr>
        <w:t>(2), 243–259. doi:10.1177/</w:t>
      </w:r>
    </w:p>
    <w:p w14:paraId="08068263" w14:textId="48F1F7D6" w:rsidR="00905DCC"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McCurdy L. E., Winterbottom K. E., Mehta S. S., y Roberts J. R. (2010). Using Nature and Outdoor Activity to Improve Children’s Health. </w:t>
      </w:r>
      <w:r w:rsidRPr="0051709F">
        <w:rPr>
          <w:rFonts w:asciiTheme="minorHAnsi" w:hAnsiTheme="minorHAnsi" w:cstheme="minorHAnsi"/>
          <w:i/>
          <w:iCs/>
          <w:sz w:val="24"/>
          <w:szCs w:val="24"/>
        </w:rPr>
        <w:t>Current Problems in Pediatric and Adolescent Health Care, 5</w:t>
      </w:r>
      <w:r w:rsidRPr="0051709F">
        <w:rPr>
          <w:rFonts w:asciiTheme="minorHAnsi" w:hAnsiTheme="minorHAnsi" w:cstheme="minorHAnsi"/>
          <w:sz w:val="24"/>
          <w:szCs w:val="24"/>
        </w:rPr>
        <w:t>, 102-117.</w:t>
      </w:r>
    </w:p>
    <w:p w14:paraId="7CC4B7C0" w14:textId="77777777" w:rsidR="00905DCC" w:rsidRPr="0051709F" w:rsidRDefault="00905DCC"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McCrady, S. K., &amp; Levine, J. A. (2009). Sedentariness at work: how much do we really sit? Obesity (Silver Spring), 17(11), 2103- 2105. doi:10.1038/oby.2009.117</w:t>
      </w:r>
    </w:p>
    <w:p w14:paraId="6447749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McKenzie, T. L., Sallis, J. F., Elder, J. P., Berry, C. C., Hoy, P. L., Nader, P. R., Zive, M. M., y Broyles, S. L. (1997). Physical activity levels and prompts in young children at recess: a two-year study of a bi-ethnic sample. </w:t>
      </w:r>
      <w:r w:rsidRPr="0051709F">
        <w:rPr>
          <w:rFonts w:asciiTheme="minorHAnsi" w:hAnsiTheme="minorHAnsi" w:cstheme="minorHAnsi"/>
          <w:i/>
          <w:sz w:val="24"/>
          <w:szCs w:val="24"/>
        </w:rPr>
        <w:t>Research Quarterly for Exercise and Sport, 68(3),</w:t>
      </w:r>
      <w:r w:rsidRPr="0051709F">
        <w:rPr>
          <w:rFonts w:asciiTheme="minorHAnsi" w:hAnsiTheme="minorHAnsi" w:cstheme="minorHAnsi"/>
          <w:sz w:val="24"/>
          <w:szCs w:val="24"/>
        </w:rPr>
        <w:t xml:space="preserve"> 195-202. </w:t>
      </w:r>
    </w:p>
    <w:p w14:paraId="2EA94123"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 xml:space="preserve">Mehrdad R, Abbasi M. Metabolic syndrome : a common problem among. Shiraz Univ Med Sci. 2015;6(1):34–40. Available from: </w:t>
      </w:r>
      <w:r w:rsidRPr="0051709F">
        <w:rPr>
          <w:rFonts w:asciiTheme="minorHAnsi" w:hAnsiTheme="minorHAnsi" w:cstheme="minorHAnsi"/>
          <w:color w:val="0000FF"/>
          <w:sz w:val="24"/>
          <w:szCs w:val="24"/>
        </w:rPr>
        <w:t>https:// doi. org/ 10.15171/ ijoem. 2015. 492</w:t>
      </w:r>
      <w:r w:rsidRPr="0051709F">
        <w:rPr>
          <w:rFonts w:asciiTheme="minorHAnsi" w:hAnsiTheme="minorHAnsi" w:cstheme="minorHAnsi"/>
          <w:color w:val="000000"/>
          <w:sz w:val="24"/>
          <w:szCs w:val="24"/>
        </w:rPr>
        <w:t>.</w:t>
      </w:r>
    </w:p>
    <w:p w14:paraId="24513647"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Messing, S., Rutten, A., Abu-Omar, K., Ungerer-Rohrich, U., Goodwin, L. et al. (2019). How Can Physical Activity Be Promoted Among Children and Adolescents? A Systematic Review of Reviews Across Settings. </w:t>
      </w:r>
      <w:r w:rsidRPr="0051709F">
        <w:rPr>
          <w:rFonts w:asciiTheme="minorHAnsi" w:hAnsiTheme="minorHAnsi" w:cstheme="minorHAnsi"/>
          <w:i/>
          <w:iCs/>
          <w:sz w:val="24"/>
          <w:szCs w:val="24"/>
        </w:rPr>
        <w:t>Frontiers in Public Health,</w:t>
      </w:r>
      <w:r w:rsidRPr="0051709F">
        <w:rPr>
          <w:rFonts w:asciiTheme="minorHAnsi" w:hAnsiTheme="minorHAnsi" w:cstheme="minorHAnsi"/>
          <w:i/>
          <w:iCs/>
          <w:sz w:val="24"/>
          <w:szCs w:val="24"/>
          <w:shd w:val="clear" w:color="auto" w:fill="FFFFFF"/>
        </w:rPr>
        <w:t xml:space="preserve"> 7</w:t>
      </w:r>
      <w:r w:rsidRPr="0051709F">
        <w:rPr>
          <w:rFonts w:asciiTheme="minorHAnsi" w:hAnsiTheme="minorHAnsi" w:cstheme="minorHAnsi"/>
          <w:sz w:val="24"/>
          <w:szCs w:val="24"/>
          <w:shd w:val="clear" w:color="auto" w:fill="FFFFFF"/>
        </w:rPr>
        <w:t>, 55.</w:t>
      </w:r>
    </w:p>
    <w:p w14:paraId="754D151F" w14:textId="03E02D9A" w:rsidR="00993CD3" w:rsidRPr="00963270" w:rsidRDefault="000C66BC"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shd w:val="clear" w:color="auto" w:fill="FFFFFF"/>
          <w:lang w:val="en-GB"/>
        </w:rPr>
        <w:t>Milton K, Bauman A, Faulkner G, et al. </w:t>
      </w:r>
      <w:r w:rsidRPr="0051709F">
        <w:rPr>
          <w:rFonts w:asciiTheme="minorHAnsi" w:hAnsiTheme="minorHAnsi" w:cstheme="minorHAnsi"/>
          <w:sz w:val="24"/>
          <w:szCs w:val="24"/>
          <w:shd w:val="clear" w:color="auto" w:fill="FFFFFF"/>
          <w:lang w:val="en-US"/>
        </w:rPr>
        <w:t>Maximising the impact of global and national physical activity guidelines—the critical role of communication strategies. </w:t>
      </w:r>
      <w:r w:rsidRPr="0051709F">
        <w:rPr>
          <w:rFonts w:asciiTheme="minorHAnsi" w:hAnsiTheme="minorHAnsi" w:cstheme="minorHAnsi"/>
          <w:i/>
          <w:iCs/>
          <w:sz w:val="24"/>
          <w:szCs w:val="24"/>
          <w:shd w:val="clear" w:color="auto" w:fill="FFFFFF"/>
          <w:lang w:val="en-US"/>
        </w:rPr>
        <w:t>Br J Sports Med</w:t>
      </w:r>
      <w:r w:rsidRPr="0051709F">
        <w:rPr>
          <w:rFonts w:asciiTheme="minorHAnsi" w:hAnsiTheme="minorHAnsi" w:cstheme="minorHAnsi"/>
          <w:sz w:val="24"/>
          <w:szCs w:val="24"/>
          <w:shd w:val="clear" w:color="auto" w:fill="FFFFFF"/>
          <w:lang w:val="en-US"/>
        </w:rPr>
        <w:t>. 2020;54(24):1463–1467. doi:10.1136/bjsports-2020-102324</w:t>
      </w:r>
    </w:p>
    <w:p w14:paraId="29303382" w14:textId="77777777" w:rsidR="00993CD3" w:rsidRPr="0051709F" w:rsidRDefault="00993CD3"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000000" w:themeColor="text1"/>
          <w:sz w:val="24"/>
          <w:szCs w:val="24"/>
          <w:shd w:val="clear" w:color="auto" w:fill="FFFFFF"/>
        </w:rPr>
        <w:t>Milton K, Cavill N, Chalkley A, Foster C, Gomersall S, Hagstromer M, Kelly P, Kolbe-Alexander T, Mair J, McLaughlin M, Nobles J, Reece L, Shilton T, Smith BJ, Schipperijn J. Eight Investments That Work for Physical Activity. J Phys Act Health. 2021 May 14;18(6):625-630. doi: 10.1123/jpah.2021-0112  </w:t>
      </w:r>
    </w:p>
    <w:p w14:paraId="59EE91E4" w14:textId="6EC1FF15" w:rsidR="000C66BC" w:rsidRPr="0051709F" w:rsidRDefault="000C66BC" w:rsidP="00E6399B">
      <w:pPr>
        <w:pStyle w:val="Textonotapie"/>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Ministerio de Sanidad SS e I. Actividad física para la salud y reducción del sedentarismo: Recomendaciones para la población. Madrid: Ministerio de Sanidad, Servicios Sociales e Igualdad; 2015.</w:t>
      </w:r>
    </w:p>
    <w:p w14:paraId="5783BE1C" w14:textId="6E2A1AB7" w:rsidR="002F2A2B" w:rsidRPr="0051709F" w:rsidRDefault="002F2A2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Ministerio para la transición ecológica y reto demográfico. Plan Nacional de Adaptación al cambio climático 2021-2030. </w:t>
      </w:r>
      <w:r w:rsidRPr="0051709F">
        <w:rPr>
          <w:rFonts w:asciiTheme="minorHAnsi" w:hAnsiTheme="minorHAnsi" w:cstheme="minorHAnsi"/>
          <w:sz w:val="24"/>
          <w:szCs w:val="24"/>
        </w:rPr>
        <w:t>MITECO ISNB: 978-84 18508-32-5</w:t>
      </w:r>
    </w:p>
    <w:p w14:paraId="6F20610B" w14:textId="77777777" w:rsidR="002F2A2B" w:rsidRPr="0051709F" w:rsidRDefault="002F2A2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Ministerio para la transición ecológica y reto demográfico 2021. Guía metodología para la identificación de los elementos de infraestructura verde en España. </w:t>
      </w:r>
      <w:r w:rsidRPr="0051709F">
        <w:rPr>
          <w:rFonts w:asciiTheme="minorHAnsi" w:hAnsiTheme="minorHAnsi" w:cstheme="minorHAnsi"/>
          <w:sz w:val="24"/>
          <w:szCs w:val="24"/>
        </w:rPr>
        <w:t>MITECO</w:t>
      </w:r>
    </w:p>
    <w:p w14:paraId="31EC4E54" w14:textId="77777777" w:rsidR="003B675E" w:rsidRPr="0051709F" w:rsidRDefault="003B675E"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Ministry of Health. Spanish strategy for nutrition, physical activity and prevention of obesity. Madrid: Ministry of Health; 2005.</w:t>
      </w:r>
    </w:p>
    <w:p w14:paraId="5185CCF3" w14:textId="77777777" w:rsidR="003B675E" w:rsidRPr="0051709F" w:rsidRDefault="003B675E"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Ministry of Social Affairs and Health. (2020). </w:t>
      </w:r>
      <w:r w:rsidRPr="0051709F">
        <w:rPr>
          <w:rFonts w:asciiTheme="minorHAnsi" w:eastAsia="Times New Roman" w:hAnsiTheme="minorHAnsi" w:cstheme="minorHAnsi"/>
          <w:i/>
          <w:iCs/>
          <w:sz w:val="24"/>
          <w:szCs w:val="24"/>
        </w:rPr>
        <w:t>ON THE MOVE National strategy for physical activity promoting health and wellbeing 2020</w:t>
      </w:r>
      <w:r w:rsidRPr="0051709F">
        <w:rPr>
          <w:rFonts w:asciiTheme="minorHAnsi" w:eastAsia="Times New Roman" w:hAnsiTheme="minorHAnsi" w:cstheme="minorHAnsi"/>
          <w:sz w:val="24"/>
          <w:szCs w:val="24"/>
        </w:rPr>
        <w:t>. www.stm.fiwww.minedu.fihttp://urn.fi/</w:t>
      </w:r>
    </w:p>
    <w:p w14:paraId="40E425FB"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Moreno, J. A., y Cervelló, E. (2010). </w:t>
      </w:r>
      <w:r w:rsidRPr="0051709F">
        <w:rPr>
          <w:rFonts w:asciiTheme="minorHAnsi" w:hAnsiTheme="minorHAnsi" w:cstheme="minorHAnsi"/>
          <w:i/>
          <w:sz w:val="24"/>
          <w:szCs w:val="24"/>
          <w:lang w:val="es-ES"/>
        </w:rPr>
        <w:t>Motivación en la actividad física y el deporte</w:t>
      </w:r>
      <w:r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rPr>
        <w:t>Sevilla: Wanceulen.</w:t>
      </w:r>
    </w:p>
    <w:p w14:paraId="1D622469" w14:textId="77777777" w:rsidR="00993CD3" w:rsidRPr="0051709F" w:rsidRDefault="00993CD3" w:rsidP="00E6399B">
      <w:pPr>
        <w:pStyle w:val="Prrafodelista"/>
        <w:numPr>
          <w:ilvl w:val="0"/>
          <w:numId w:val="78"/>
        </w:numPr>
        <w:jc w:val="both"/>
        <w:rPr>
          <w:rFonts w:asciiTheme="minorHAnsi" w:hAnsiTheme="minorHAnsi" w:cstheme="minorHAnsi"/>
          <w:color w:val="000000" w:themeColor="text1"/>
          <w:sz w:val="24"/>
          <w:szCs w:val="24"/>
        </w:rPr>
      </w:pPr>
      <w:r w:rsidRPr="0051709F">
        <w:rPr>
          <w:rFonts w:asciiTheme="minorHAnsi" w:hAnsiTheme="minorHAnsi" w:cstheme="minorHAnsi"/>
          <w:color w:val="000000" w:themeColor="text1"/>
          <w:sz w:val="24"/>
          <w:szCs w:val="24"/>
          <w:shd w:val="clear" w:color="auto" w:fill="FFFFFF"/>
        </w:rPr>
        <w:lastRenderedPageBreak/>
        <w:t>Morris JN. Exercise in the prevention of coronary heart disease: today’s best buy in public health. Med Sci Sports Exerc. 1994;26:807–14.</w:t>
      </w:r>
    </w:p>
    <w:p w14:paraId="55AD61DF" w14:textId="06D927C8" w:rsidR="00366472" w:rsidRPr="0051709F" w:rsidRDefault="00366472"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Moscoso, D. (2013). “El sueño olímpico y la brecha deportiva”, El País, 21-09-2013. </w:t>
      </w:r>
    </w:p>
    <w:p w14:paraId="3D604C39" w14:textId="70485147" w:rsidR="00366472" w:rsidRPr="0051709F" w:rsidRDefault="00366472"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Moscoso, D. (2012). “Del pódium al banquillo”, El País, 10-08-2012</w:t>
      </w:r>
    </w:p>
    <w:p w14:paraId="0A93FB35" w14:textId="77777777" w:rsidR="001C7FED" w:rsidRPr="001C7FED" w:rsidRDefault="001C7FED"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1C7FED">
        <w:rPr>
          <w:rFonts w:ascii="Calibri" w:hAnsi="Calibri" w:cs="Calibri"/>
          <w:color w:val="212121"/>
          <w:sz w:val="24"/>
          <w:szCs w:val="24"/>
          <w:lang w:val="es-ES"/>
        </w:rPr>
        <w:t>Moscoso, D. (2012a). "Los españoles y el deporte. Del podium al </w:t>
      </w:r>
      <w:r w:rsidRPr="001C7FED">
        <w:rPr>
          <w:rStyle w:val="apple-converted-space"/>
          <w:rFonts w:ascii="Calibri" w:hAnsi="Calibri" w:cs="Calibri"/>
          <w:color w:val="212121"/>
          <w:sz w:val="24"/>
          <w:szCs w:val="24"/>
          <w:lang w:val="es-ES"/>
        </w:rPr>
        <w:t> </w:t>
      </w:r>
      <w:r w:rsidRPr="001C7FED">
        <w:rPr>
          <w:rFonts w:ascii="Calibri" w:hAnsi="Calibri" w:cs="Calibri"/>
          <w:color w:val="212121"/>
          <w:sz w:val="24"/>
          <w:szCs w:val="24"/>
          <w:lang w:val="es-ES"/>
        </w:rPr>
        <w:br/>
        <w:t>banquillo". Panorama Social, 14, 110-126.</w:t>
      </w:r>
      <w:r w:rsidRPr="001C7FED">
        <w:rPr>
          <w:rFonts w:asciiTheme="minorHAnsi" w:hAnsiTheme="minorHAnsi" w:cstheme="minorHAnsi"/>
          <w:noProof/>
          <w:sz w:val="24"/>
          <w:szCs w:val="24"/>
          <w:lang w:val="es-ES"/>
        </w:rPr>
        <w:t xml:space="preserve"> </w:t>
      </w:r>
    </w:p>
    <w:p w14:paraId="7CD3E3DA" w14:textId="3C3925C4" w:rsidR="00076B4F" w:rsidRPr="001C7FED" w:rsidRDefault="00076B4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Moscoso, D., Moyano, E., Biedma, L., Fernández-Ballesteros, R., Martín, M., Ramos, C., Rodríguez-Morcillo, L. y Serrano, R. (2008). </w:t>
      </w:r>
      <w:r w:rsidRPr="001C7FED">
        <w:rPr>
          <w:rFonts w:asciiTheme="minorHAnsi" w:hAnsiTheme="minorHAnsi" w:cstheme="minorHAnsi"/>
          <w:i/>
          <w:noProof/>
          <w:sz w:val="24"/>
          <w:szCs w:val="24"/>
          <w:lang w:val="es-ES"/>
        </w:rPr>
        <w:t>Sport, health and quality of life</w:t>
      </w:r>
      <w:r w:rsidRPr="001C7FED">
        <w:rPr>
          <w:rFonts w:asciiTheme="minorHAnsi" w:hAnsiTheme="minorHAnsi" w:cstheme="minorHAnsi"/>
          <w:noProof/>
          <w:sz w:val="24"/>
          <w:szCs w:val="24"/>
          <w:lang w:val="es-ES"/>
        </w:rPr>
        <w:t>. Barcelona: Fun</w:t>
      </w:r>
      <w:r w:rsidR="004D689C" w:rsidRPr="001C7FED">
        <w:rPr>
          <w:rFonts w:asciiTheme="minorHAnsi" w:hAnsiTheme="minorHAnsi" w:cstheme="minorHAnsi"/>
          <w:noProof/>
          <w:sz w:val="24"/>
          <w:szCs w:val="24"/>
          <w:lang w:val="es-ES"/>
        </w:rPr>
        <w:t>dación Obra Social de La Caixa.</w:t>
      </w:r>
    </w:p>
    <w:p w14:paraId="25E59644" w14:textId="2AC45620"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Pinheiro, F.; Pujadas, X. (2022). </w:t>
      </w:r>
      <w:r w:rsidRPr="0051709F">
        <w:rPr>
          <w:rFonts w:asciiTheme="minorHAnsi" w:hAnsiTheme="minorHAnsi" w:cstheme="minorHAnsi"/>
          <w:noProof/>
          <w:sz w:val="24"/>
          <w:szCs w:val="24"/>
        </w:rPr>
        <w:t>Socio-cultural and historical background of sport in Spain and Portugal. Edited By J. García-Fernández, M. Grimaldi-Puyana y G. A. Bravo, Sport in the Iberian Peninsula Management, Economics and Policy. London: Routledge.</w:t>
      </w:r>
    </w:p>
    <w:p w14:paraId="040B7419" w14:textId="3EEAB214"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Piedra, J. (2019). El colectivo LGTBI en el deporte como objeto de investigación sociológica. </w:t>
      </w:r>
      <w:r w:rsidRPr="0051709F">
        <w:rPr>
          <w:rFonts w:asciiTheme="minorHAnsi" w:hAnsiTheme="minorHAnsi" w:cstheme="minorHAnsi"/>
          <w:noProof/>
          <w:sz w:val="24"/>
          <w:szCs w:val="24"/>
        </w:rPr>
        <w:t xml:space="preserve">Estado de la cuestión. </w:t>
      </w:r>
      <w:r w:rsidRPr="0051709F">
        <w:rPr>
          <w:rFonts w:asciiTheme="minorHAnsi" w:hAnsiTheme="minorHAnsi" w:cstheme="minorHAnsi"/>
          <w:i/>
          <w:noProof/>
          <w:sz w:val="24"/>
          <w:szCs w:val="24"/>
        </w:rPr>
        <w:t>Revista Española de Sociología</w:t>
      </w:r>
      <w:r w:rsidRPr="0051709F">
        <w:rPr>
          <w:rFonts w:asciiTheme="minorHAnsi" w:hAnsiTheme="minorHAnsi" w:cstheme="minorHAnsi"/>
          <w:noProof/>
          <w:sz w:val="24"/>
          <w:szCs w:val="24"/>
        </w:rPr>
        <w:t>, 28(3), 501-516.</w:t>
      </w:r>
    </w:p>
    <w:p w14:paraId="0A456124" w14:textId="77777777" w:rsidR="00AD7CFE" w:rsidRPr="00AD7CFE" w:rsidRDefault="00AD7CFE"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AD7CFE">
        <w:rPr>
          <w:rFonts w:ascii="Calibri" w:hAnsi="Calibri" w:cs="Calibri"/>
          <w:color w:val="212121"/>
          <w:sz w:val="24"/>
          <w:szCs w:val="24"/>
          <w:lang w:val="es-ES"/>
        </w:rPr>
        <w:t>Moscoso, D. y Rodríguez, A. (2019). "El sesgo de la participación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t>deportiva en España: argumentos y análisis alternativos". En Puig, N.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t>y Camps, A. (Eds.) Diálogos sobre el deporte (1975-2020) (pp.188-200).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r>
      <w:r w:rsidRPr="00AD7CFE">
        <w:rPr>
          <w:rFonts w:ascii="Calibri" w:hAnsi="Calibri" w:cs="Calibri"/>
          <w:color w:val="212121"/>
          <w:sz w:val="24"/>
          <w:szCs w:val="24"/>
        </w:rPr>
        <w:t>Barcelona: Inde.</w:t>
      </w:r>
    </w:p>
    <w:p w14:paraId="2A757369" w14:textId="056F2F2B"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Fernández, J.; Pérez, A. (2017). </w:t>
      </w:r>
      <w:r w:rsidRPr="0051709F">
        <w:rPr>
          <w:rFonts w:asciiTheme="minorHAnsi" w:hAnsiTheme="minorHAnsi" w:cstheme="minorHAnsi"/>
          <w:noProof/>
          <w:sz w:val="24"/>
          <w:szCs w:val="24"/>
        </w:rPr>
        <w:t>The media construction of the sports` elite from the European perspective. Sport in Society 20(9), 1-13.</w:t>
      </w:r>
    </w:p>
    <w:p w14:paraId="76D950EB" w14:textId="3290739E"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A.; Fernández, J. (2015). </w:t>
      </w:r>
      <w:r w:rsidRPr="0051709F">
        <w:rPr>
          <w:rFonts w:asciiTheme="minorHAnsi" w:hAnsiTheme="minorHAnsi" w:cstheme="minorHAnsi"/>
          <w:noProof/>
          <w:sz w:val="24"/>
          <w:szCs w:val="24"/>
        </w:rPr>
        <w:t xml:space="preserve">Elitist rhetoric and the sports gap. Examining the discourse and reality of sport in Spain. </w:t>
      </w:r>
      <w:r w:rsidRPr="0051709F">
        <w:rPr>
          <w:rFonts w:asciiTheme="minorHAnsi" w:hAnsiTheme="minorHAnsi" w:cstheme="minorHAnsi"/>
          <w:i/>
          <w:noProof/>
          <w:sz w:val="24"/>
          <w:szCs w:val="24"/>
        </w:rPr>
        <w:t>European Journal of Sport and Society</w:t>
      </w:r>
      <w:r w:rsidRPr="0051709F">
        <w:rPr>
          <w:rFonts w:asciiTheme="minorHAnsi" w:hAnsiTheme="minorHAnsi" w:cstheme="minorHAnsi"/>
          <w:noProof/>
          <w:sz w:val="24"/>
          <w:szCs w:val="24"/>
        </w:rPr>
        <w:t xml:space="preserve">, 12(1), 33-53. </w:t>
      </w:r>
    </w:p>
    <w:p w14:paraId="510F3C3E" w14:textId="77777777"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A.; Fernández, J. (2014). </w:t>
      </w:r>
      <w:r w:rsidRPr="0051709F">
        <w:rPr>
          <w:rFonts w:asciiTheme="minorHAnsi" w:hAnsiTheme="minorHAnsi" w:cstheme="minorHAnsi"/>
          <w:noProof/>
          <w:sz w:val="24"/>
          <w:szCs w:val="24"/>
        </w:rPr>
        <w:t xml:space="preserve">From democratization of sport to market hegemony: the european contexts and the spanish case. </w:t>
      </w:r>
      <w:r w:rsidRPr="0051709F">
        <w:rPr>
          <w:rFonts w:asciiTheme="minorHAnsi" w:hAnsiTheme="minorHAnsi" w:cstheme="minorHAnsi"/>
          <w:i/>
          <w:noProof/>
          <w:sz w:val="24"/>
          <w:szCs w:val="24"/>
        </w:rPr>
        <w:t>Movimento. Revista de Educaçâo Física</w:t>
      </w:r>
      <w:r w:rsidRPr="0051709F">
        <w:rPr>
          <w:rFonts w:asciiTheme="minorHAnsi" w:hAnsiTheme="minorHAnsi" w:cstheme="minorHAnsi"/>
          <w:noProof/>
          <w:sz w:val="24"/>
          <w:szCs w:val="24"/>
        </w:rPr>
        <w:t>, 20, 109-124.</w:t>
      </w:r>
    </w:p>
    <w:p w14:paraId="11E0026A" w14:textId="08C78B0F"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Sánchez, R.; Pedrajas, N. (2015). ¿Qué significa ser activo en una sociedad sedentaria? Paradojas de los estilos de vida y el ocio en la juventud española. </w:t>
      </w:r>
      <w:r w:rsidRPr="0051709F">
        <w:rPr>
          <w:rFonts w:asciiTheme="minorHAnsi" w:hAnsiTheme="minorHAnsi" w:cstheme="minorHAnsi"/>
          <w:i/>
          <w:noProof/>
          <w:sz w:val="24"/>
          <w:szCs w:val="24"/>
        </w:rPr>
        <w:t>Empiria. Revista de Metodología de Ciencias Sociales</w:t>
      </w:r>
      <w:r w:rsidRPr="0051709F">
        <w:rPr>
          <w:rFonts w:asciiTheme="minorHAnsi" w:hAnsiTheme="minorHAnsi" w:cstheme="minorHAnsi"/>
          <w:noProof/>
          <w:sz w:val="24"/>
          <w:szCs w:val="24"/>
        </w:rPr>
        <w:t xml:space="preserve">, 30, 77-118. </w:t>
      </w:r>
    </w:p>
    <w:p w14:paraId="1CD193EB" w14:textId="78E4C0EA"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M.; Sánchez, R.; Pedrajas, N. (2014). </w:t>
      </w:r>
      <w:r w:rsidRPr="0051709F">
        <w:rPr>
          <w:rFonts w:asciiTheme="minorHAnsi" w:hAnsiTheme="minorHAnsi" w:cstheme="minorHAnsi"/>
          <w:noProof/>
          <w:sz w:val="24"/>
          <w:szCs w:val="24"/>
        </w:rPr>
        <w:t xml:space="preserve">The normalization of the Active-Sedentary lifestyle in spanish youth, </w:t>
      </w:r>
      <w:r w:rsidRPr="0051709F">
        <w:rPr>
          <w:rFonts w:asciiTheme="minorHAnsi" w:hAnsiTheme="minorHAnsi" w:cstheme="minorHAnsi"/>
          <w:i/>
          <w:noProof/>
          <w:sz w:val="24"/>
          <w:szCs w:val="24"/>
        </w:rPr>
        <w:t>Advances in Applied Sociology</w:t>
      </w:r>
      <w:r w:rsidRPr="0051709F">
        <w:rPr>
          <w:rFonts w:asciiTheme="minorHAnsi" w:hAnsiTheme="minorHAnsi" w:cstheme="minorHAnsi"/>
          <w:noProof/>
          <w:sz w:val="24"/>
          <w:szCs w:val="24"/>
        </w:rPr>
        <w:t>, 4, 173-179.</w:t>
      </w:r>
    </w:p>
    <w:p w14:paraId="1B01145E" w14:textId="676F2862"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Sánchez, R.; Pedrajas, N. (2013). Sedentarismo activo. Ocio, actividad física y estilos de vida de la juventud española. </w:t>
      </w:r>
      <w:r w:rsidRPr="0051709F">
        <w:rPr>
          <w:rFonts w:asciiTheme="minorHAnsi" w:hAnsiTheme="minorHAnsi" w:cstheme="minorHAnsi"/>
          <w:i/>
          <w:noProof/>
          <w:sz w:val="24"/>
          <w:szCs w:val="24"/>
        </w:rPr>
        <w:t>Archivos de Medicina del Deporte</w:t>
      </w:r>
      <w:r w:rsidRPr="0051709F">
        <w:rPr>
          <w:rFonts w:asciiTheme="minorHAnsi" w:hAnsiTheme="minorHAnsi" w:cstheme="minorHAnsi"/>
          <w:noProof/>
          <w:sz w:val="24"/>
          <w:szCs w:val="24"/>
        </w:rPr>
        <w:t>, 30(6), 260-270.</w:t>
      </w:r>
    </w:p>
    <w:p w14:paraId="1377199E" w14:textId="4CD2952B"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Serrano, R.; Biedma, L. (2013). Ciudadanía sedentaria vs. ciudadanía activa. Un nuevo canon social en el acceso a la salud y el bienestar. </w:t>
      </w:r>
      <w:r w:rsidRPr="0051709F">
        <w:rPr>
          <w:rFonts w:asciiTheme="minorHAnsi" w:hAnsiTheme="minorHAnsi" w:cstheme="minorHAnsi"/>
          <w:i/>
          <w:noProof/>
          <w:sz w:val="24"/>
          <w:szCs w:val="24"/>
        </w:rPr>
        <w:t>Methaodos. Revista de Ciencias Sociales</w:t>
      </w:r>
      <w:r w:rsidRPr="0051709F">
        <w:rPr>
          <w:rFonts w:asciiTheme="minorHAnsi" w:hAnsiTheme="minorHAnsi" w:cstheme="minorHAnsi"/>
          <w:noProof/>
          <w:sz w:val="24"/>
          <w:szCs w:val="24"/>
        </w:rPr>
        <w:t>, 1(1), 122-139.</w:t>
      </w:r>
    </w:p>
    <w:p w14:paraId="5D74B662"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Muir SD, Silva SSM, Woldegiorgis MA, Rider H, Meyer D, Jayawardana MW. Predictors of success of workplace physical activity interventions: a systematic review. J Phys Act Heal. 2019;16(8):647–56.</w:t>
      </w:r>
    </w:p>
    <w:p w14:paraId="6185B2E7"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 xml:space="preserve">Mulchandani R, Chandrasekaran AM, Shivashankar R, Kondal D, Agrawal A, Panniyammakal J, et al. Effect of workplace physical activity interventions on the </w:t>
      </w:r>
      <w:r w:rsidRPr="0051709F">
        <w:rPr>
          <w:rFonts w:asciiTheme="minorHAnsi" w:hAnsiTheme="minorHAnsi" w:cstheme="minorHAnsi"/>
          <w:sz w:val="24"/>
          <w:szCs w:val="24"/>
        </w:rPr>
        <w:lastRenderedPageBreak/>
        <w:t>cardio-metabolic health of working adults : systematic review and meta-analysis. Int J Behav Nutr Phys Act. 2019;16(1):134.</w:t>
      </w:r>
    </w:p>
    <w:p w14:paraId="665BF921" w14:textId="77777777" w:rsidR="00A4777B" w:rsidRPr="0051709F" w:rsidRDefault="00A4777B"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eastAsiaTheme="minorEastAsia" w:hAnsiTheme="minorHAnsi" w:cstheme="minorHAnsi"/>
          <w:color w:val="212121"/>
          <w:sz w:val="24"/>
          <w:szCs w:val="24"/>
        </w:rPr>
        <w:t>Myers A, Quirk H, Lowe A, Crank H, Broom D, Jones N, Reid H, Speers C, Copeland R. The Active Hospital pilot: A qualitative study exploring the implementation of a Trust-wide Sport and Exercise Medicine-led physical activity intervention. PLoS One. 2021 Sep 24;16(9):e0257802. doi: 10.1371/journal.pone.0257802. PMID: 34559846; PMCID: PMC8462703</w:t>
      </w:r>
    </w:p>
    <w:p w14:paraId="6A6066A2" w14:textId="71715CFF"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Naylor, P. J., Nettlefold, L., Race, D., Hoy, C., Ashe, M. C. et al. (2015). Implementation of school based physical activity interventions: a systematic review. </w:t>
      </w:r>
      <w:r w:rsidRPr="0051709F">
        <w:rPr>
          <w:rFonts w:asciiTheme="minorHAnsi" w:hAnsiTheme="minorHAnsi" w:cstheme="minorHAnsi"/>
          <w:i/>
          <w:iCs/>
          <w:sz w:val="24"/>
          <w:szCs w:val="24"/>
          <w:shd w:val="clear" w:color="auto" w:fill="FFFFFF"/>
        </w:rPr>
        <w:t>Prevention Medicine, 72</w:t>
      </w:r>
      <w:r w:rsidRPr="0051709F">
        <w:rPr>
          <w:rFonts w:asciiTheme="minorHAnsi" w:hAnsiTheme="minorHAnsi" w:cstheme="minorHAnsi"/>
          <w:sz w:val="24"/>
          <w:szCs w:val="24"/>
          <w:shd w:val="clear" w:color="auto" w:fill="FFFFFF"/>
        </w:rPr>
        <w:t>, 95-115.</w:t>
      </w:r>
    </w:p>
    <w:p w14:paraId="0F4E43F9"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C13402">
        <w:rPr>
          <w:rFonts w:asciiTheme="minorHAnsi" w:hAnsiTheme="minorHAnsi" w:cstheme="minorHAnsi"/>
          <w:sz w:val="24"/>
          <w:szCs w:val="24"/>
          <w:shd w:val="clear" w:color="auto" w:fill="FFFFFF"/>
        </w:rPr>
        <w:t xml:space="preserve">Ng, J. Y., Ntoumanis, N., Thøgersen-Ntoumani, C., Deci, E. L., Ryan, R. M., Duda, J. L. et al. </w:t>
      </w:r>
      <w:r w:rsidRPr="0051709F">
        <w:rPr>
          <w:rFonts w:asciiTheme="minorHAnsi" w:hAnsiTheme="minorHAnsi" w:cstheme="minorHAnsi"/>
          <w:sz w:val="24"/>
          <w:szCs w:val="24"/>
          <w:shd w:val="clear" w:color="auto" w:fill="FFFFFF"/>
        </w:rPr>
        <w:t xml:space="preserve">(2012). Self-determination theory applied to health contexts: a meta-analysis. </w:t>
      </w:r>
      <w:r w:rsidRPr="0051709F">
        <w:rPr>
          <w:rFonts w:asciiTheme="minorHAnsi" w:hAnsiTheme="minorHAnsi" w:cstheme="minorHAnsi"/>
          <w:i/>
          <w:iCs/>
          <w:sz w:val="24"/>
          <w:szCs w:val="24"/>
        </w:rPr>
        <w:t>Perspectives on Psychological Science</w:t>
      </w:r>
      <w:r w:rsidRPr="0051709F">
        <w:rPr>
          <w:rFonts w:asciiTheme="minorHAnsi" w:hAnsiTheme="minorHAnsi" w:cstheme="minorHAnsi"/>
          <w:sz w:val="24"/>
          <w:szCs w:val="24"/>
          <w:shd w:val="clear" w:color="auto" w:fill="FFFFFF"/>
        </w:rPr>
        <w:t>. </w:t>
      </w:r>
      <w:hyperlink r:id="rId122" w:history="1">
        <w:r w:rsidRPr="0051709F">
          <w:rPr>
            <w:rStyle w:val="Hipervnculo"/>
            <w:rFonts w:asciiTheme="minorHAnsi" w:hAnsiTheme="minorHAnsi" w:cstheme="minorHAnsi"/>
            <w:color w:val="auto"/>
            <w:sz w:val="24"/>
            <w:szCs w:val="24"/>
            <w:shd w:val="clear" w:color="auto" w:fill="FFFFFF"/>
          </w:rPr>
          <w:t>https://doi.org/10.1177/1745691612447309</w:t>
        </w:r>
      </w:hyperlink>
      <w:r w:rsidRPr="0051709F">
        <w:rPr>
          <w:rFonts w:asciiTheme="minorHAnsi" w:hAnsiTheme="minorHAnsi" w:cstheme="minorHAnsi"/>
          <w:sz w:val="24"/>
          <w:szCs w:val="24"/>
          <w:shd w:val="clear" w:color="auto" w:fill="FFFFFF"/>
        </w:rPr>
        <w:t>.</w:t>
      </w:r>
    </w:p>
    <w:p w14:paraId="3EE0ABB9" w14:textId="77777777" w:rsidR="00A4777B" w:rsidRPr="0051709F" w:rsidRDefault="00A4777B" w:rsidP="00E6399B">
      <w:pPr>
        <w:pStyle w:val="Prrafodelista"/>
        <w:numPr>
          <w:ilvl w:val="0"/>
          <w:numId w:val="78"/>
        </w:numPr>
        <w:jc w:val="both"/>
        <w:rPr>
          <w:rFonts w:asciiTheme="minorHAnsi" w:hAnsiTheme="minorHAnsi" w:cstheme="minorHAnsi"/>
          <w:sz w:val="24"/>
          <w:szCs w:val="24"/>
        </w:rPr>
      </w:pPr>
      <w:bookmarkStart w:id="15" w:name="_ENREF_2"/>
      <w:r w:rsidRPr="0051709F">
        <w:rPr>
          <w:rFonts w:asciiTheme="minorHAnsi" w:hAnsiTheme="minorHAnsi" w:cstheme="minorHAnsi"/>
          <w:sz w:val="24"/>
          <w:szCs w:val="24"/>
        </w:rPr>
        <w:t>Ng SW, Popkin BM. Time use and physical activity: a shift away from movement across the globe. Obes Rev. 2012;13(8):659-80.</w:t>
      </w:r>
      <w:bookmarkEnd w:id="15"/>
    </w:p>
    <w:p w14:paraId="6019CC41" w14:textId="02D08157" w:rsidR="006A7B3D" w:rsidRPr="0051709F" w:rsidRDefault="006A7B3D"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themeColor="text1"/>
          <w:sz w:val="24"/>
          <w:szCs w:val="24"/>
          <w:shd w:val="clear" w:color="auto" w:fill="FFFFFF"/>
          <w:lang w:val="en-US"/>
        </w:rPr>
        <w:t>OECD (2018). </w:t>
      </w:r>
      <w:r w:rsidRPr="0051709F">
        <w:rPr>
          <w:rFonts w:asciiTheme="minorHAnsi" w:hAnsiTheme="minorHAnsi" w:cstheme="minorHAnsi"/>
          <w:i/>
          <w:iCs/>
          <w:color w:val="000000" w:themeColor="text1"/>
          <w:sz w:val="24"/>
          <w:szCs w:val="24"/>
          <w:shd w:val="clear" w:color="auto" w:fill="FFFFFF"/>
          <w:lang w:val="en-US"/>
        </w:rPr>
        <w:t>Cost-Benefit Analysis and the Environment: Further Developments and Policy Use</w:t>
      </w:r>
      <w:r w:rsidRPr="0051709F">
        <w:rPr>
          <w:rFonts w:asciiTheme="minorHAnsi" w:hAnsiTheme="minorHAnsi" w:cstheme="minorHAnsi"/>
          <w:color w:val="000000" w:themeColor="text1"/>
          <w:sz w:val="24"/>
          <w:szCs w:val="24"/>
          <w:shd w:val="clear" w:color="auto" w:fill="FFFFFF"/>
          <w:lang w:val="en-US"/>
        </w:rPr>
        <w:t>, OECD Publishing, Paris, </w:t>
      </w:r>
      <w:r w:rsidR="00000000">
        <w:fldChar w:fldCharType="begin"/>
      </w:r>
      <w:r w:rsidR="00000000" w:rsidRPr="00D12DE8">
        <w:rPr>
          <w:lang w:val="de-DE"/>
        </w:rPr>
        <w:instrText>HYPERLINK "https://doi.org/10.1787/9789264085169-en"</w:instrText>
      </w:r>
      <w:r w:rsidR="00000000">
        <w:fldChar w:fldCharType="separate"/>
      </w:r>
      <w:r w:rsidRPr="0051709F">
        <w:rPr>
          <w:rStyle w:val="Hipervnculo"/>
          <w:rFonts w:asciiTheme="minorHAnsi" w:eastAsiaTheme="majorEastAsia" w:hAnsiTheme="minorHAnsi" w:cstheme="minorHAnsi"/>
          <w:color w:val="003C6A"/>
          <w:sz w:val="24"/>
          <w:szCs w:val="24"/>
          <w:shd w:val="clear" w:color="auto" w:fill="FFFFFF"/>
          <w:lang w:val="en-GB"/>
        </w:rPr>
        <w:t>https://doi.org/10.1787/9789264085169-en</w:t>
      </w:r>
      <w:r w:rsidR="00000000">
        <w:rPr>
          <w:rStyle w:val="Hipervnculo"/>
          <w:rFonts w:asciiTheme="minorHAnsi" w:eastAsiaTheme="majorEastAsia" w:hAnsiTheme="minorHAnsi" w:cstheme="minorHAnsi"/>
          <w:color w:val="003C6A"/>
          <w:sz w:val="24"/>
          <w:szCs w:val="24"/>
          <w:shd w:val="clear" w:color="auto" w:fill="FFFFFF"/>
          <w:lang w:val="en-GB"/>
        </w:rPr>
        <w:fldChar w:fldCharType="end"/>
      </w:r>
    </w:p>
    <w:p w14:paraId="117F7E5B" w14:textId="77777777" w:rsidR="006A7B3D" w:rsidRPr="0051709F" w:rsidRDefault="006A7B3D" w:rsidP="00E6399B">
      <w:pPr>
        <w:pStyle w:val="Textonotapie"/>
        <w:numPr>
          <w:ilvl w:val="0"/>
          <w:numId w:val="78"/>
        </w:numPr>
        <w:jc w:val="both"/>
        <w:rPr>
          <w:rStyle w:val="Hipervnculo"/>
          <w:rFonts w:asciiTheme="minorHAnsi" w:eastAsiaTheme="majorEastAsia" w:hAnsiTheme="minorHAnsi" w:cstheme="minorHAnsi"/>
          <w:sz w:val="24"/>
          <w:szCs w:val="24"/>
          <w:lang w:val="en-GB"/>
        </w:rPr>
      </w:pPr>
      <w:r w:rsidRPr="0051709F">
        <w:rPr>
          <w:rFonts w:asciiTheme="minorHAnsi" w:hAnsiTheme="minorHAnsi" w:cstheme="minorHAnsi"/>
          <w:color w:val="000000" w:themeColor="text1"/>
          <w:sz w:val="24"/>
          <w:szCs w:val="24"/>
          <w:lang w:val="en-US"/>
        </w:rPr>
        <w:t>OECD and WHO/Europe</w:t>
      </w:r>
      <w:r w:rsidRPr="0051709F">
        <w:rPr>
          <w:rStyle w:val="nfasis"/>
          <w:rFonts w:asciiTheme="minorHAnsi" w:eastAsiaTheme="majorEastAsia" w:hAnsiTheme="minorHAnsi" w:cstheme="minorHAnsi"/>
          <w:color w:val="000000" w:themeColor="text1"/>
          <w:sz w:val="24"/>
          <w:szCs w:val="24"/>
          <w:lang w:val="en-GB"/>
        </w:rPr>
        <w:t>. Step up! Tackling the Burden of Insufficient Physical Activity in Europe</w:t>
      </w:r>
      <w:r w:rsidRPr="0051709F">
        <w:rPr>
          <w:rFonts w:asciiTheme="minorHAnsi" w:hAnsiTheme="minorHAnsi" w:cstheme="minorHAnsi"/>
          <w:color w:val="000000" w:themeColor="text1"/>
          <w:sz w:val="24"/>
          <w:szCs w:val="24"/>
          <w:lang w:val="en-US"/>
        </w:rPr>
        <w:t xml:space="preserve">, Feb. 2023. </w:t>
      </w:r>
      <w:r w:rsidR="00000000">
        <w:fldChar w:fldCharType="begin"/>
      </w:r>
      <w:r w:rsidR="00000000" w:rsidRPr="00D12DE8">
        <w:rPr>
          <w:lang w:val="de-DE"/>
        </w:rPr>
        <w:instrText>HYPERLINK "https://www.oecd-ilibrary.org/sites/500a9601-en/index.html?itemId=/content/publication/500a9601-en"</w:instrText>
      </w:r>
      <w:r w:rsidR="00000000">
        <w:fldChar w:fldCharType="separate"/>
      </w:r>
      <w:r w:rsidRPr="0051709F">
        <w:rPr>
          <w:rStyle w:val="Hipervnculo"/>
          <w:rFonts w:asciiTheme="minorHAnsi" w:eastAsiaTheme="majorEastAsia" w:hAnsiTheme="minorHAnsi" w:cstheme="minorHAnsi"/>
          <w:sz w:val="24"/>
          <w:szCs w:val="24"/>
          <w:lang w:val="en-GB"/>
        </w:rPr>
        <w:t>https://www.oecd-ilibrary.org/sites/500a9601-en/index.html?itemId=/content/publication/500a9601-en</w:t>
      </w:r>
      <w:r w:rsidR="00000000">
        <w:rPr>
          <w:rStyle w:val="Hipervnculo"/>
          <w:rFonts w:asciiTheme="minorHAnsi" w:eastAsiaTheme="majorEastAsia" w:hAnsiTheme="minorHAnsi" w:cstheme="minorHAnsi"/>
          <w:sz w:val="24"/>
          <w:szCs w:val="24"/>
          <w:lang w:val="en-GB"/>
        </w:rPr>
        <w:fldChar w:fldCharType="end"/>
      </w:r>
    </w:p>
    <w:p w14:paraId="71AC8563" w14:textId="77777777" w:rsidR="00482DA9" w:rsidRPr="0051709F" w:rsidRDefault="00482DA9"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Oginga-Martins, J., &amp; Sharifi, A. (2022). </w:t>
      </w:r>
      <w:r w:rsidRPr="0051709F">
        <w:rPr>
          <w:rFonts w:asciiTheme="minorHAnsi" w:hAnsiTheme="minorHAnsi" w:cstheme="minorHAnsi"/>
          <w:i/>
          <w:iCs/>
          <w:sz w:val="24"/>
          <w:szCs w:val="24"/>
        </w:rPr>
        <w:t>World Cities Report 2022: Envisaging the Future of Cities</w:t>
      </w:r>
      <w:r w:rsidRPr="0051709F">
        <w:rPr>
          <w:rFonts w:asciiTheme="minorHAnsi" w:hAnsiTheme="minorHAnsi" w:cstheme="minorHAnsi"/>
          <w:sz w:val="24"/>
          <w:szCs w:val="24"/>
        </w:rPr>
        <w:t xml:space="preserve"> (United Nations Human Settlements Programme (UN-Habitat))</w:t>
      </w:r>
    </w:p>
    <w:p w14:paraId="17A0C82B" w14:textId="028625BF"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O’Reilly, E., Tompkins, J. y Gallant, M. (2001). “They ought to enjoy physical activity, you know?” struggling with fun in phsical education. </w:t>
      </w:r>
      <w:r w:rsidRPr="0051709F">
        <w:rPr>
          <w:rFonts w:asciiTheme="minorHAnsi" w:hAnsiTheme="minorHAnsi" w:cstheme="minorHAnsi"/>
          <w:i/>
          <w:sz w:val="24"/>
          <w:szCs w:val="24"/>
        </w:rPr>
        <w:t>Sport, Education, and Society, 6</w:t>
      </w:r>
      <w:r w:rsidRPr="0051709F">
        <w:rPr>
          <w:rFonts w:asciiTheme="minorHAnsi" w:hAnsiTheme="minorHAnsi" w:cstheme="minorHAnsi"/>
          <w:sz w:val="24"/>
          <w:szCs w:val="24"/>
        </w:rPr>
        <w:t xml:space="preserve">, 211-221. </w:t>
      </w:r>
    </w:p>
    <w:p w14:paraId="0E2BE83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Ommundsen, Y., Gundersen, K. A., y Mjaavatn, P. E. (2010). Fourth graders' social standing with peers: a prospective study on the role of first grade physical activity, weight sta- tus, and motor proficiency. </w:t>
      </w:r>
      <w:r w:rsidRPr="0051709F">
        <w:rPr>
          <w:rFonts w:asciiTheme="minorHAnsi" w:hAnsiTheme="minorHAnsi" w:cstheme="minorHAnsi"/>
          <w:i/>
          <w:sz w:val="24"/>
          <w:szCs w:val="24"/>
        </w:rPr>
        <w:t>Scandinavian Journal of Educational Research, 54</w:t>
      </w:r>
      <w:r w:rsidRPr="0051709F">
        <w:rPr>
          <w:rFonts w:asciiTheme="minorHAnsi" w:hAnsiTheme="minorHAnsi" w:cstheme="minorHAnsi"/>
          <w:sz w:val="24"/>
          <w:szCs w:val="24"/>
        </w:rPr>
        <w:t>, 377-394.</w:t>
      </w:r>
    </w:p>
    <w:p w14:paraId="04820F94" w14:textId="1FE266DB" w:rsidR="002F2A2B" w:rsidRPr="0051709F" w:rsidRDefault="002F2A2B" w:rsidP="00E6399B">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Organización Panamericana de la Salud y Organización Mundial de la Salud 2018. Plan de acción mundial sobre la actividad física 2018-2030. Más personas activas para un mundo sano. ISBN: 978-92-75-32060-0</w:t>
      </w:r>
    </w:p>
    <w:p w14:paraId="4578A67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Ornelas, I., Perreira, K., y Ayala, G. (2007). </w:t>
      </w:r>
      <w:r w:rsidRPr="0051709F">
        <w:rPr>
          <w:rFonts w:asciiTheme="minorHAnsi" w:hAnsiTheme="minorHAnsi" w:cstheme="minorHAnsi"/>
          <w:sz w:val="24"/>
          <w:szCs w:val="24"/>
        </w:rPr>
        <w:t xml:space="preserve">Parental influences on adolescent physical activity: a longitudinal study.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3.</w:t>
      </w:r>
    </w:p>
    <w:p w14:paraId="57FEEDC0" w14:textId="77777777" w:rsidR="005F46AB" w:rsidRPr="0051709F" w:rsidRDefault="005F46AB"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hAnsiTheme="minorHAnsi" w:cstheme="minorHAnsi"/>
          <w:color w:val="222222"/>
          <w:sz w:val="24"/>
          <w:szCs w:val="24"/>
          <w:shd w:val="clear" w:color="auto" w:fill="FFFFFF"/>
          <w:lang w:val="es-ES"/>
        </w:rPr>
        <w:t>Otero, F. L., &amp; Ferrando, M. G. (1998). La perspectiva sociológica del deporte. En </w:t>
      </w:r>
      <w:r w:rsidRPr="0051709F">
        <w:rPr>
          <w:rFonts w:asciiTheme="minorHAnsi" w:hAnsiTheme="minorHAnsi" w:cstheme="minorHAnsi"/>
          <w:i/>
          <w:iCs/>
          <w:color w:val="222222"/>
          <w:sz w:val="24"/>
          <w:szCs w:val="24"/>
          <w:shd w:val="clear" w:color="auto" w:fill="FFFFFF"/>
        </w:rPr>
        <w:t>Sociología del deporte</w:t>
      </w:r>
      <w:r w:rsidRPr="0051709F">
        <w:rPr>
          <w:rFonts w:asciiTheme="minorHAnsi" w:hAnsiTheme="minorHAnsi" w:cstheme="minorHAnsi"/>
          <w:color w:val="222222"/>
          <w:sz w:val="24"/>
          <w:szCs w:val="24"/>
          <w:shd w:val="clear" w:color="auto" w:fill="FFFFFF"/>
        </w:rPr>
        <w:t> (pp. 13-40). Alianza Editorial.</w:t>
      </w:r>
    </w:p>
    <w:p w14:paraId="40960312"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(1995a). Differential perceptual and motivational patterns when dif- ferent goals are adopted. </w:t>
      </w:r>
      <w:r w:rsidRPr="0051709F">
        <w:rPr>
          <w:rFonts w:asciiTheme="minorHAnsi" w:hAnsiTheme="minorHAnsi" w:cstheme="minorHAnsi"/>
          <w:i/>
          <w:sz w:val="24"/>
          <w:szCs w:val="24"/>
        </w:rPr>
        <w:t>Journal of Sport and Exercise Psychology, 17</w:t>
      </w:r>
      <w:r w:rsidRPr="0051709F">
        <w:rPr>
          <w:rFonts w:asciiTheme="minorHAnsi" w:hAnsiTheme="minorHAnsi" w:cstheme="minorHAnsi"/>
          <w:sz w:val="24"/>
          <w:szCs w:val="24"/>
        </w:rPr>
        <w:t>, 18-34.</w:t>
      </w:r>
    </w:p>
    <w:p w14:paraId="5600ACB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(1995b). </w:t>
      </w:r>
      <w:r w:rsidRPr="0051709F">
        <w:rPr>
          <w:rFonts w:asciiTheme="minorHAnsi" w:hAnsiTheme="minorHAnsi" w:cstheme="minorHAnsi"/>
          <w:i/>
          <w:sz w:val="24"/>
          <w:szCs w:val="24"/>
        </w:rPr>
        <w:t>Motivation and goal perspectives in children’s physical education</w:t>
      </w:r>
      <w:r w:rsidRPr="0051709F">
        <w:rPr>
          <w:rFonts w:asciiTheme="minorHAnsi" w:hAnsiTheme="minorHAnsi" w:cstheme="minorHAnsi"/>
          <w:sz w:val="24"/>
          <w:szCs w:val="24"/>
        </w:rPr>
        <w:t xml:space="preserve">. En S. J. H. Biddle (Eds.), </w:t>
      </w:r>
      <w:r w:rsidRPr="0051709F">
        <w:rPr>
          <w:rFonts w:asciiTheme="minorHAnsi" w:hAnsiTheme="minorHAnsi" w:cstheme="minorHAnsi"/>
          <w:i/>
          <w:sz w:val="24"/>
          <w:szCs w:val="24"/>
        </w:rPr>
        <w:t>European perspectives on exercise and sport psychology</w:t>
      </w:r>
      <w:r w:rsidRPr="0051709F">
        <w:rPr>
          <w:rFonts w:asciiTheme="minorHAnsi" w:hAnsiTheme="minorHAnsi" w:cstheme="minorHAnsi"/>
          <w:sz w:val="24"/>
          <w:szCs w:val="24"/>
        </w:rPr>
        <w:t xml:space="preserve"> (pp. 245-269). Champaign, IL: Human Kinetics.</w:t>
      </w:r>
    </w:p>
    <w:p w14:paraId="72EFE1B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Papaioannou, A. (1998a). Students’ perceptions of the physical education class environment for boys and girls and the perceived motivational climate. </w:t>
      </w:r>
      <w:r w:rsidRPr="0051709F">
        <w:rPr>
          <w:rFonts w:asciiTheme="minorHAnsi" w:hAnsiTheme="minorHAnsi" w:cstheme="minorHAnsi"/>
          <w:i/>
          <w:sz w:val="24"/>
          <w:szCs w:val="24"/>
        </w:rPr>
        <w:t>Research Quarterly for Exercise and Sport, 69</w:t>
      </w:r>
      <w:r w:rsidRPr="0051709F">
        <w:rPr>
          <w:rFonts w:asciiTheme="minorHAnsi" w:hAnsiTheme="minorHAnsi" w:cstheme="minorHAnsi"/>
          <w:sz w:val="24"/>
          <w:szCs w:val="24"/>
        </w:rPr>
        <w:t>, 267-275.</w:t>
      </w:r>
    </w:p>
    <w:p w14:paraId="77B4255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(1998b). Goal perspective, reasons for behaving appropriately, and self-reported discipline in physical education lessons. </w:t>
      </w:r>
      <w:r w:rsidRPr="0051709F">
        <w:rPr>
          <w:rFonts w:asciiTheme="minorHAnsi" w:hAnsiTheme="minorHAnsi" w:cstheme="minorHAnsi"/>
          <w:i/>
          <w:sz w:val="24"/>
          <w:szCs w:val="24"/>
        </w:rPr>
        <w:t>Journal of Teaching in Physical Education, 17</w:t>
      </w:r>
      <w:r w:rsidRPr="0051709F">
        <w:rPr>
          <w:rFonts w:asciiTheme="minorHAnsi" w:hAnsiTheme="minorHAnsi" w:cstheme="minorHAnsi"/>
          <w:sz w:val="24"/>
          <w:szCs w:val="24"/>
        </w:rPr>
        <w:t>, 421-441.</w:t>
      </w:r>
    </w:p>
    <w:p w14:paraId="7480AB72"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Parajára, M. do C., de Castro, B. M., Coelho, D. B., &amp; Meireles, A. L. (2020). </w:t>
      </w:r>
      <w:r w:rsidRPr="0051709F">
        <w:rPr>
          <w:rFonts w:asciiTheme="minorHAnsi" w:eastAsia="Times New Roman" w:hAnsiTheme="minorHAnsi" w:cstheme="minorHAnsi"/>
          <w:sz w:val="24"/>
          <w:szCs w:val="24"/>
        </w:rPr>
        <w:t xml:space="preserve">Are neighborhood characteristics associated with sedentary behavior in adolescents? A systematic review. </w:t>
      </w:r>
      <w:r w:rsidRPr="0051709F">
        <w:rPr>
          <w:rFonts w:asciiTheme="minorHAnsi" w:eastAsia="Times New Roman" w:hAnsiTheme="minorHAnsi" w:cstheme="minorHAnsi"/>
          <w:i/>
          <w:iCs/>
          <w:sz w:val="24"/>
          <w:szCs w:val="24"/>
        </w:rPr>
        <w:t>International Journal of Environmental Health Research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30</w:t>
      </w:r>
      <w:r w:rsidRPr="0051709F">
        <w:rPr>
          <w:rFonts w:asciiTheme="minorHAnsi" w:eastAsia="Times New Roman" w:hAnsiTheme="minorHAnsi" w:cstheme="minorHAnsi"/>
          <w:sz w:val="24"/>
          <w:szCs w:val="24"/>
        </w:rPr>
        <w:t>(4), 388–408. https://doi.org/10.1080/09603123.2019.1597833</w:t>
      </w:r>
    </w:p>
    <w:p w14:paraId="550A5DF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Parrish, A. M., Okely, A. D., Stanley, R. M., y Ridgers, N. D., (2013). The effect of school recess interventions on physical activity: a systematic review. </w:t>
      </w:r>
      <w:r w:rsidRPr="0051709F">
        <w:rPr>
          <w:rFonts w:asciiTheme="minorHAnsi" w:hAnsiTheme="minorHAnsi" w:cstheme="minorHAnsi"/>
          <w:i/>
          <w:sz w:val="24"/>
          <w:szCs w:val="24"/>
        </w:rPr>
        <w:t>Sports Medicine, 43(4),</w:t>
      </w:r>
      <w:r w:rsidRPr="0051709F">
        <w:rPr>
          <w:rFonts w:asciiTheme="minorHAnsi" w:hAnsiTheme="minorHAnsi" w:cstheme="minorHAnsi"/>
          <w:sz w:val="24"/>
          <w:szCs w:val="24"/>
        </w:rPr>
        <w:t xml:space="preserve"> 297-299.</w:t>
      </w:r>
    </w:p>
    <w:p w14:paraId="09C4A0D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Pate, R. R., Saunders, R. P., Ward, D. S., Felton, G., Trost, S. G., y Dowda, M. (2003). Evaluation of a community-based intervention to promote physical activity in youth: Lessons from active winners. </w:t>
      </w:r>
      <w:r w:rsidRPr="0051709F">
        <w:rPr>
          <w:rFonts w:asciiTheme="minorHAnsi" w:hAnsiTheme="minorHAnsi" w:cstheme="minorHAnsi"/>
          <w:i/>
          <w:sz w:val="24"/>
          <w:szCs w:val="24"/>
        </w:rPr>
        <w:t>American Journal of Health Promotion, 17(3),</w:t>
      </w:r>
      <w:r w:rsidRPr="0051709F">
        <w:rPr>
          <w:rFonts w:asciiTheme="minorHAnsi" w:hAnsiTheme="minorHAnsi" w:cstheme="minorHAnsi"/>
          <w:sz w:val="24"/>
          <w:szCs w:val="24"/>
        </w:rPr>
        <w:t xml:space="preserve"> 171-182.</w:t>
      </w:r>
    </w:p>
    <w:p w14:paraId="6E240912" w14:textId="2644F563" w:rsidR="00EC0E3B" w:rsidRPr="0051709F" w:rsidRDefault="00EC0E3B" w:rsidP="00E6399B">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rPr>
        <w:t xml:space="preserve">Patterson R, McNamara E, Tainio M, et al. </w:t>
      </w:r>
      <w:r w:rsidRPr="0051709F">
        <w:rPr>
          <w:rFonts w:asciiTheme="minorHAnsi" w:hAnsiTheme="minorHAnsi" w:cstheme="minorHAnsi"/>
          <w:color w:val="000000" w:themeColor="text1"/>
          <w:lang w:val="en-US"/>
        </w:rPr>
        <w:t xml:space="preserve">Sedentary behaviour and risk of all-cause, cardiovascular and cancer mortality, and incident type 2 diabetes: a systematic re- view and dose response meta-analysis. Eur J Epidemiol 2018;33(9):811-829. </w:t>
      </w:r>
    </w:p>
    <w:p w14:paraId="575AD0C3"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Peng, W., Lin, J., y Crouse, J. (2011). Is playing exergames really exercising? A meta-analysis of energy expenditure in active video games. </w:t>
      </w:r>
      <w:r w:rsidRPr="0051709F">
        <w:rPr>
          <w:rFonts w:asciiTheme="minorHAnsi" w:hAnsiTheme="minorHAnsi" w:cstheme="minorHAnsi"/>
          <w:i/>
          <w:sz w:val="24"/>
          <w:szCs w:val="24"/>
        </w:rPr>
        <w:t>Cyberpsychol Behavior, and Social Networking, 14</w:t>
      </w:r>
      <w:r w:rsidRPr="0051709F">
        <w:rPr>
          <w:rFonts w:asciiTheme="minorHAnsi" w:hAnsiTheme="minorHAnsi" w:cstheme="minorHAnsi"/>
          <w:sz w:val="24"/>
          <w:szCs w:val="24"/>
        </w:rPr>
        <w:t>, 681-688.</w:t>
      </w:r>
    </w:p>
    <w:p w14:paraId="17DB3669"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Pengpid, S., Peltzer, K., Kassean, H. K., Tsala Tsala, J. P., Sychareun, V., &amp; Müller-Riemenschneider, F. (2015). Physical inactivity and associated factors among university students in 23 low-, middle- and high-income countries. </w:t>
      </w:r>
      <w:r w:rsidRPr="0051709F">
        <w:rPr>
          <w:rFonts w:asciiTheme="minorHAnsi" w:eastAsia="Times New Roman" w:hAnsiTheme="minorHAnsi" w:cstheme="minorHAnsi"/>
          <w:i/>
          <w:iCs/>
          <w:sz w:val="24"/>
          <w:szCs w:val="24"/>
        </w:rPr>
        <w:t>International Journal of Public Health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60</w:t>
      </w:r>
      <w:r w:rsidRPr="0051709F">
        <w:rPr>
          <w:rFonts w:asciiTheme="minorHAnsi" w:eastAsia="Times New Roman" w:hAnsiTheme="minorHAnsi" w:cstheme="minorHAnsi"/>
          <w:sz w:val="24"/>
          <w:szCs w:val="24"/>
        </w:rPr>
        <w:t>(5), 539–549. https://doi.org/10.1007/S00038-015-0680-0</w:t>
      </w:r>
    </w:p>
    <w:p w14:paraId="28CE2401" w14:textId="77777777" w:rsidR="00A4777B" w:rsidRPr="0051709F" w:rsidRDefault="00A4777B" w:rsidP="00E6399B">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n-GB"/>
        </w:rPr>
        <w:t>Pérez M, Foster C, González-Freire M, Arenas J, Lucia A. One-year follow-up in a child with McArdle disease: exercise is medicine. Pediatr Neurol. 2008 Feb;38(2):133-6. doi: 10.1016/j.pediatrneurol.2007.10.005. PMID: 18206796.</w:t>
      </w:r>
    </w:p>
    <w:p w14:paraId="56024856"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Perlman DM, Maier LA. Occupational lung disease. Med Clin North Am. 2019;103(3):535–48.</w:t>
      </w:r>
    </w:p>
    <w:p w14:paraId="055CA425" w14:textId="4898A2EB" w:rsidR="006A1A87" w:rsidRPr="0051709F" w:rsidRDefault="006A1A8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Piedra, J. (2020). Redes sociales en tiempos del COVID-19: El caso de la actividad física. </w:t>
      </w:r>
      <w:r w:rsidRPr="0051709F">
        <w:rPr>
          <w:rFonts w:asciiTheme="minorHAnsi" w:hAnsiTheme="minorHAnsi" w:cstheme="minorHAnsi"/>
          <w:i/>
          <w:noProof/>
          <w:sz w:val="24"/>
          <w:szCs w:val="24"/>
        </w:rPr>
        <w:t>Sociología Del Deporte</w:t>
      </w:r>
      <w:r w:rsidRPr="0051709F">
        <w:rPr>
          <w:rFonts w:asciiTheme="minorHAnsi" w:hAnsiTheme="minorHAnsi" w:cstheme="minorHAnsi"/>
          <w:noProof/>
          <w:sz w:val="24"/>
          <w:szCs w:val="24"/>
        </w:rPr>
        <w:t xml:space="preserve">, 1(1), 41–43. https://doi.org/10.46661/socioldeporte.4998 </w:t>
      </w:r>
    </w:p>
    <w:p w14:paraId="63649107" w14:textId="77777777" w:rsidR="00EC0E3B" w:rsidRPr="0051709F" w:rsidRDefault="00EC0E3B" w:rsidP="00E6399B">
      <w:pPr>
        <w:pStyle w:val="Prrafodelista"/>
        <w:numPr>
          <w:ilvl w:val="0"/>
          <w:numId w:val="78"/>
        </w:numPr>
        <w:autoSpaceDE w:val="0"/>
        <w:autoSpaceDN w:val="0"/>
        <w:jc w:val="both"/>
        <w:rPr>
          <w:rStyle w:val="Hipervnculo"/>
          <w:rFonts w:asciiTheme="minorHAnsi" w:eastAsia="Times New Roman" w:hAnsiTheme="minorHAnsi" w:cstheme="minorHAnsi"/>
          <w:color w:val="auto"/>
          <w:sz w:val="24"/>
          <w:szCs w:val="24"/>
          <w:u w:val="none"/>
        </w:rPr>
      </w:pPr>
      <w:r w:rsidRPr="0051709F">
        <w:rPr>
          <w:rFonts w:asciiTheme="minorHAnsi" w:hAnsiTheme="minorHAnsi" w:cstheme="minorHAnsi"/>
          <w:color w:val="333333"/>
          <w:sz w:val="24"/>
          <w:szCs w:val="24"/>
          <w:shd w:val="clear" w:color="auto" w:fill="ECEBEB"/>
        </w:rPr>
        <w:t>Pratt, M. et al. (2015), “Can Population Levels of Physical Activity Be Increased? Global Evidence and Experience”, </w:t>
      </w:r>
      <w:r w:rsidRPr="0051709F">
        <w:rPr>
          <w:rStyle w:val="nfasis"/>
          <w:rFonts w:asciiTheme="minorHAnsi" w:hAnsiTheme="minorHAnsi" w:cstheme="minorHAnsi"/>
          <w:color w:val="333333"/>
          <w:sz w:val="24"/>
          <w:szCs w:val="24"/>
          <w:shd w:val="clear" w:color="auto" w:fill="ECEBEB"/>
        </w:rPr>
        <w:t>Progress in Cardiovascular Diseases</w:t>
      </w:r>
      <w:r w:rsidRPr="0051709F">
        <w:rPr>
          <w:rFonts w:asciiTheme="minorHAnsi" w:hAnsiTheme="minorHAnsi" w:cstheme="minorHAnsi"/>
          <w:color w:val="333333"/>
          <w:sz w:val="24"/>
          <w:szCs w:val="24"/>
          <w:shd w:val="clear" w:color="auto" w:fill="ECEBEB"/>
        </w:rPr>
        <w:t>, Vol. 57/4, pp. 356-367, </w:t>
      </w:r>
      <w:hyperlink r:id="rId123" w:tgtFrame="_blank" w:history="1">
        <w:r w:rsidRPr="0051709F">
          <w:rPr>
            <w:rStyle w:val="Hipervnculo"/>
            <w:rFonts w:asciiTheme="minorHAnsi" w:hAnsiTheme="minorHAnsi" w:cstheme="minorHAnsi"/>
            <w:color w:val="0068B6"/>
            <w:sz w:val="24"/>
            <w:szCs w:val="24"/>
            <w:shd w:val="clear" w:color="auto" w:fill="ECEBEB"/>
          </w:rPr>
          <w:t>https://doi.org/10.1016/j.pcad.2014.09.002</w:t>
        </w:r>
      </w:hyperlink>
    </w:p>
    <w:p w14:paraId="4F485691" w14:textId="0BF91896" w:rsidR="00E85A78" w:rsidRPr="0051709F" w:rsidRDefault="00E85A78" w:rsidP="00E6399B">
      <w:pPr>
        <w:pStyle w:val="Prrafodelista"/>
        <w:numPr>
          <w:ilvl w:val="0"/>
          <w:numId w:val="78"/>
        </w:numPr>
        <w:autoSpaceDE w:val="0"/>
        <w:autoSpaceDN w:val="0"/>
        <w:jc w:val="both"/>
        <w:rPr>
          <w:rStyle w:val="Hipervnculo"/>
          <w:rFonts w:asciiTheme="minorHAnsi" w:eastAsia="Times New Roman" w:hAnsiTheme="minorHAnsi" w:cstheme="minorHAnsi"/>
          <w:color w:val="auto"/>
          <w:sz w:val="24"/>
          <w:szCs w:val="24"/>
          <w:u w:val="none"/>
          <w:lang w:val="en-GB"/>
        </w:rPr>
      </w:pPr>
      <w:r w:rsidRPr="0051709F">
        <w:rPr>
          <w:rStyle w:val="Hipervnculo"/>
          <w:rFonts w:asciiTheme="minorHAnsi" w:eastAsia="Times New Roman" w:hAnsiTheme="minorHAnsi" w:cstheme="minorHAnsi"/>
          <w:color w:val="auto"/>
          <w:sz w:val="24"/>
          <w:szCs w:val="24"/>
          <w:u w:val="none"/>
          <w:lang w:val="es-ES"/>
        </w:rPr>
        <w:t xml:space="preserve">Previtt, T. (2015). Propuesta de bottom-up reforma del sistema sanitario. </w:t>
      </w:r>
      <w:r w:rsidRPr="0051709F">
        <w:rPr>
          <w:rStyle w:val="Hipervnculo"/>
          <w:rFonts w:asciiTheme="minorHAnsi" w:eastAsia="Times New Roman" w:hAnsiTheme="minorHAnsi" w:cstheme="minorHAnsi"/>
          <w:color w:val="auto"/>
          <w:sz w:val="24"/>
          <w:szCs w:val="24"/>
          <w:u w:val="none"/>
          <w:lang w:val="en-GB"/>
        </w:rPr>
        <w:t xml:space="preserve">Retrieved from: https://www.qualitydigest.com/inside/healthcare-column/bottom-healthcare-reform-052815.html </w:t>
      </w:r>
    </w:p>
    <w:p w14:paraId="56CFA7F5" w14:textId="1F0A261B"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n-GB"/>
        </w:rPr>
        <w:t xml:space="preserve">Prochaska, J. O., &amp; DiClemente, C. C. (1983). Stages and processes of self-change of smoking: Toward an integrative model of change. . </w:t>
      </w:r>
      <w:r w:rsidRPr="0051709F">
        <w:rPr>
          <w:rFonts w:asciiTheme="minorHAnsi" w:eastAsia="Times New Roman" w:hAnsiTheme="minorHAnsi" w:cstheme="minorHAnsi"/>
          <w:i/>
          <w:iCs/>
          <w:sz w:val="24"/>
          <w:szCs w:val="24"/>
        </w:rPr>
        <w:t xml:space="preserve">Journal of Consulting and Clinical Psychology </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51</w:t>
      </w:r>
      <w:r w:rsidRPr="0051709F">
        <w:rPr>
          <w:rFonts w:asciiTheme="minorHAnsi" w:eastAsia="Times New Roman" w:hAnsiTheme="minorHAnsi" w:cstheme="minorHAnsi"/>
          <w:sz w:val="24"/>
          <w:szCs w:val="24"/>
        </w:rPr>
        <w:t>(3), 390–395.</w:t>
      </w:r>
    </w:p>
    <w:p w14:paraId="766E993B" w14:textId="6BE630FC" w:rsidR="00A4777B" w:rsidRPr="0051709F" w:rsidRDefault="00A4777B" w:rsidP="00E6399B">
      <w:pPr>
        <w:pStyle w:val="Prrafodelista"/>
        <w:numPr>
          <w:ilvl w:val="0"/>
          <w:numId w:val="78"/>
        </w:numPr>
        <w:spacing w:before="200" w:after="200"/>
        <w:jc w:val="both"/>
        <w:rPr>
          <w:rFonts w:asciiTheme="minorHAnsi" w:eastAsia="Calibri" w:hAnsiTheme="minorHAnsi" w:cstheme="minorHAnsi"/>
          <w:color w:val="212121"/>
          <w:sz w:val="24"/>
          <w:szCs w:val="24"/>
          <w:lang w:val="en-GB"/>
        </w:rPr>
      </w:pPr>
      <w:r w:rsidRPr="0051709F">
        <w:rPr>
          <w:rFonts w:asciiTheme="minorHAnsi" w:eastAsia="Calibri" w:hAnsiTheme="minorHAnsi" w:cstheme="minorHAnsi"/>
          <w:color w:val="212121"/>
          <w:sz w:val="24"/>
          <w:szCs w:val="24"/>
          <w:lang w:val="en-GB"/>
        </w:rPr>
        <w:lastRenderedPageBreak/>
        <w:t>Public Health England</w:t>
      </w:r>
      <w:r w:rsidR="00C32E99" w:rsidRPr="0051709F">
        <w:rPr>
          <w:rFonts w:asciiTheme="minorHAnsi" w:eastAsia="Calibri" w:hAnsiTheme="minorHAnsi" w:cstheme="minorHAnsi"/>
          <w:color w:val="212121"/>
          <w:sz w:val="24"/>
          <w:szCs w:val="24"/>
          <w:lang w:val="en-GB"/>
        </w:rPr>
        <w:t xml:space="preserve"> (2020)</w:t>
      </w:r>
      <w:r w:rsidRPr="0051709F">
        <w:rPr>
          <w:rFonts w:asciiTheme="minorHAnsi" w:eastAsia="Calibri" w:hAnsiTheme="minorHAnsi" w:cstheme="minorHAnsi"/>
          <w:color w:val="212121"/>
          <w:sz w:val="24"/>
          <w:szCs w:val="24"/>
          <w:lang w:val="en-GB"/>
        </w:rPr>
        <w:t>. Active Hospitals—The Active Hospital feasibility and acceptability pilot explores integrating physical activity interventions in a secondary care setting 2020 [</w:t>
      </w:r>
      <w:hyperlink r:id="rId124" w:history="1">
        <w:hyperlink r:id="rId125" w:history="1">
          <w:r w:rsidRPr="0051709F">
            <w:rPr>
              <w:rFonts w:asciiTheme="minorHAnsi" w:eastAsia="Cambria" w:hAnsiTheme="minorHAnsi" w:cstheme="minorHAnsi"/>
              <w:sz w:val="24"/>
              <w:szCs w:val="24"/>
              <w:lang w:val="en-GB"/>
            </w:rPr>
            <w:t>https://www.gov.uk/government/case-studies/active-hospitalshttps://www.gov.uk/government/case-studies/active-hospitals</w:t>
          </w:r>
        </w:hyperlink>
      </w:hyperlink>
      <w:r w:rsidRPr="0051709F">
        <w:rPr>
          <w:rFonts w:asciiTheme="minorHAnsi" w:eastAsia="Calibri" w:hAnsiTheme="minorHAnsi" w:cstheme="minorHAnsi"/>
          <w:color w:val="212121"/>
          <w:sz w:val="24"/>
          <w:szCs w:val="24"/>
          <w:lang w:val="en-GB"/>
        </w:rPr>
        <w:t>.</w:t>
      </w:r>
    </w:p>
    <w:p w14:paraId="58739FF2"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Public Health England. (2021). </w:t>
      </w:r>
      <w:r w:rsidRPr="0051709F">
        <w:rPr>
          <w:rFonts w:asciiTheme="minorHAnsi" w:eastAsia="Times New Roman" w:hAnsiTheme="minorHAnsi" w:cstheme="minorHAnsi"/>
          <w:i/>
          <w:iCs/>
          <w:sz w:val="24"/>
          <w:szCs w:val="24"/>
        </w:rPr>
        <w:t>Understanding and addressing inequalities in physical activity</w:t>
      </w:r>
      <w:r w:rsidRPr="0051709F">
        <w:rPr>
          <w:rFonts w:asciiTheme="minorHAnsi" w:eastAsia="Times New Roman" w:hAnsiTheme="minorHAnsi" w:cstheme="minorHAnsi"/>
          <w:sz w:val="24"/>
          <w:szCs w:val="24"/>
        </w:rPr>
        <w:t>.</w:t>
      </w:r>
    </w:p>
    <w:p w14:paraId="19425EEF" w14:textId="77777777" w:rsidR="002F2A2B" w:rsidRPr="0051709F" w:rsidRDefault="002F2A2B" w:rsidP="00E6399B">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hAnsiTheme="minorHAnsi" w:cstheme="minorHAnsi"/>
          <w:color w:val="222222"/>
          <w:sz w:val="24"/>
          <w:szCs w:val="24"/>
          <w:shd w:val="clear" w:color="auto" w:fill="FFFFFF"/>
          <w:lang w:val="es-ES"/>
        </w:rPr>
        <w:t>Piña Borrego, C. E. (2020). Cambio climático, inseguridad alimentaria y obesidad infantil. </w:t>
      </w:r>
      <w:r w:rsidRPr="0051709F">
        <w:rPr>
          <w:rFonts w:asciiTheme="minorHAnsi" w:hAnsiTheme="minorHAnsi" w:cstheme="minorHAnsi"/>
          <w:i/>
          <w:iCs/>
          <w:color w:val="222222"/>
          <w:sz w:val="24"/>
          <w:szCs w:val="24"/>
          <w:shd w:val="clear" w:color="auto" w:fill="FFFFFF"/>
          <w:lang w:val="es-ES"/>
        </w:rPr>
        <w:t>Revista Cubana de Salud Pública</w:t>
      </w:r>
      <w:r w:rsidRPr="0051709F">
        <w:rPr>
          <w:rFonts w:asciiTheme="minorHAnsi" w:hAnsiTheme="minorHAnsi" w:cstheme="minorHAnsi"/>
          <w:color w:val="222222"/>
          <w:sz w:val="24"/>
          <w:szCs w:val="24"/>
          <w:shd w:val="clear" w:color="auto" w:fill="FFFFFF"/>
          <w:lang w:val="es-ES"/>
        </w:rPr>
        <w:t>, </w:t>
      </w:r>
      <w:r w:rsidRPr="0051709F">
        <w:rPr>
          <w:rFonts w:asciiTheme="minorHAnsi" w:hAnsiTheme="minorHAnsi" w:cstheme="minorHAnsi"/>
          <w:i/>
          <w:iCs/>
          <w:color w:val="222222"/>
          <w:sz w:val="24"/>
          <w:szCs w:val="24"/>
          <w:shd w:val="clear" w:color="auto" w:fill="FFFFFF"/>
          <w:lang w:val="es-ES"/>
        </w:rPr>
        <w:t>45</w:t>
      </w:r>
      <w:r w:rsidRPr="0051709F">
        <w:rPr>
          <w:rFonts w:asciiTheme="minorHAnsi" w:hAnsiTheme="minorHAnsi" w:cstheme="minorHAnsi"/>
          <w:color w:val="222222"/>
          <w:sz w:val="24"/>
          <w:szCs w:val="24"/>
          <w:shd w:val="clear" w:color="auto" w:fill="FFFFFF"/>
          <w:lang w:val="es-ES"/>
        </w:rPr>
        <w:t>, e1964.</w:t>
      </w:r>
    </w:p>
    <w:p w14:paraId="67E2F14C" w14:textId="2240B9AA" w:rsidR="00A4777B" w:rsidRPr="0051709F" w:rsidRDefault="00A4777B" w:rsidP="00E6399B">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s-ES"/>
        </w:rPr>
        <w:t xml:space="preserve">Puig-Ribera A, Martin-Cantera C, Puigdomenech E, Real J, Romaguera M, Magdalena-Belio JF, et al. </w:t>
      </w:r>
      <w:r w:rsidRPr="0051709F">
        <w:rPr>
          <w:rFonts w:asciiTheme="minorHAnsi" w:eastAsia="Calibri" w:hAnsiTheme="minorHAnsi" w:cstheme="minorHAnsi"/>
          <w:sz w:val="24"/>
          <w:szCs w:val="24"/>
          <w:lang w:val="en-GB"/>
        </w:rPr>
        <w:t>Screening Physical Activity in Family Practice: Validity of the Spanish Version of a Brief Physical Activity Questionnaire. Plos One. 2015;10(9):e0136870</w:t>
      </w:r>
    </w:p>
    <w:p w14:paraId="62003D0D"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Ratner, F. Type 2 diabetes in children and young adults: a “new epidemic”. Clin. Diabetes, 2002; 20:217-8.</w:t>
      </w:r>
    </w:p>
    <w:p w14:paraId="3E330CB7"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Roemer E. The evolution of organizational health scorecards and future directions. Am J Heal Promot. 2019;34(3):326–32.</w:t>
      </w:r>
      <w:r w:rsidRPr="0051709F">
        <w:rPr>
          <w:rFonts w:asciiTheme="minorHAnsi" w:hAnsiTheme="minorHAnsi" w:cstheme="minorHAnsi"/>
          <w:color w:val="000000"/>
          <w:sz w:val="24"/>
          <w:szCs w:val="24"/>
        </w:rPr>
        <w:t xml:space="preserve">                 </w:t>
      </w:r>
    </w:p>
    <w:p w14:paraId="6D9CBA96"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Reeve J, Jang H. What teachers say and do to support students' autonomy during a learning activity. J Educ Psychol. 2006. </w:t>
      </w:r>
      <w:hyperlink r:id="rId126" w:history="1">
        <w:r w:rsidRPr="0051709F">
          <w:rPr>
            <w:rStyle w:val="Hipervnculo"/>
            <w:rFonts w:asciiTheme="minorHAnsi" w:hAnsiTheme="minorHAnsi" w:cstheme="minorHAnsi"/>
            <w:color w:val="auto"/>
            <w:sz w:val="24"/>
            <w:szCs w:val="24"/>
            <w:shd w:val="clear" w:color="auto" w:fill="FFFFFF"/>
          </w:rPr>
          <w:t>https://doi.org/10.1037/0022-0663.98.1.209</w:t>
        </w:r>
      </w:hyperlink>
      <w:r w:rsidRPr="0051709F">
        <w:rPr>
          <w:rFonts w:asciiTheme="minorHAnsi" w:hAnsiTheme="minorHAnsi" w:cstheme="minorHAnsi"/>
          <w:sz w:val="24"/>
          <w:szCs w:val="24"/>
          <w:shd w:val="clear" w:color="auto" w:fill="FFFFFF"/>
        </w:rPr>
        <w:t>.</w:t>
      </w:r>
    </w:p>
    <w:p w14:paraId="7BCA99F4" w14:textId="77777777" w:rsidR="002F2A2B" w:rsidRPr="0051709F" w:rsidRDefault="002F2A2B"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Republique Française Le Gouvernement. 2018 Plan Velo &amp; Mobilités Actives</w:t>
      </w:r>
    </w:p>
    <w:p w14:paraId="63355B77"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Rey-López, J. P., Ruiz, J. R., Ortega, F. B., Verloigne, M., Vicente-Rodriguez, G., Gracia-Marco, L., Gottrand, F., Molnar, D., Widhalm, K., Zaccaria, M., Cuenca-García, M., Sjöström, M., De Bourdeaudhuij, I., &amp; Moreno, L. A. (2012). </w:t>
      </w:r>
      <w:r w:rsidRPr="0051709F">
        <w:rPr>
          <w:rFonts w:asciiTheme="minorHAnsi" w:eastAsia="Times New Roman" w:hAnsiTheme="minorHAnsi" w:cstheme="minorHAnsi"/>
          <w:sz w:val="24"/>
          <w:szCs w:val="24"/>
        </w:rPr>
        <w:t xml:space="preserve">Reliability and validity of a screen time-based sedentary behaviour questionnaire for adolescents: The HELENA study. </w:t>
      </w:r>
      <w:r w:rsidRPr="0051709F">
        <w:rPr>
          <w:rFonts w:asciiTheme="minorHAnsi" w:eastAsia="Times New Roman" w:hAnsiTheme="minorHAnsi" w:cstheme="minorHAnsi"/>
          <w:i/>
          <w:iCs/>
          <w:sz w:val="24"/>
          <w:szCs w:val="24"/>
        </w:rPr>
        <w:t>European Journal of Public Health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22</w:t>
      </w:r>
      <w:r w:rsidRPr="0051709F">
        <w:rPr>
          <w:rFonts w:asciiTheme="minorHAnsi" w:eastAsia="Times New Roman" w:hAnsiTheme="minorHAnsi" w:cstheme="minorHAnsi"/>
          <w:sz w:val="24"/>
          <w:szCs w:val="24"/>
        </w:rPr>
        <w:t>(3), 373–377. https://doi.org/10.1093/eurpub/ckr040</w:t>
      </w:r>
    </w:p>
    <w:p w14:paraId="30AEF6B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Ridgers, N. D., Stratton, G., Fairclough, S. J., y Twisk, J. W. R. (2007). Children’s physical activity levels during school recess: a quasi-experimental intervention study.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xml:space="preserve">, 19. </w:t>
      </w:r>
    </w:p>
    <w:p w14:paraId="433CA06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Ridgers, N. D., Stratton, G., y McKenzie, T. L. (2010). Reliability and validity of the System for Observing Children’s Activity and Relationships during Play (SOCARP). </w:t>
      </w:r>
      <w:r w:rsidRPr="0051709F">
        <w:rPr>
          <w:rFonts w:asciiTheme="minorHAnsi" w:hAnsiTheme="minorHAnsi" w:cstheme="minorHAnsi"/>
          <w:i/>
          <w:sz w:val="24"/>
          <w:szCs w:val="24"/>
        </w:rPr>
        <w:t>Journal of Physical Activity and Health, 7(1)</w:t>
      </w:r>
      <w:r w:rsidRPr="0051709F">
        <w:rPr>
          <w:rFonts w:asciiTheme="minorHAnsi" w:hAnsiTheme="minorHAnsi" w:cstheme="minorHAnsi"/>
          <w:sz w:val="24"/>
          <w:szCs w:val="24"/>
        </w:rPr>
        <w:t>, 17-25.</w:t>
      </w:r>
    </w:p>
    <w:p w14:paraId="07E17C6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C13402">
        <w:rPr>
          <w:rFonts w:asciiTheme="minorHAnsi" w:hAnsiTheme="minorHAnsi" w:cstheme="minorHAnsi"/>
          <w:sz w:val="24"/>
          <w:szCs w:val="24"/>
          <w:lang w:val="de-DE"/>
        </w:rPr>
        <w:t xml:space="preserve">Roberts, G. C., Kleiber, D. A., y Duda, J. L. (1981). </w:t>
      </w:r>
      <w:r w:rsidRPr="0051709F">
        <w:rPr>
          <w:rFonts w:asciiTheme="minorHAnsi" w:hAnsiTheme="minorHAnsi" w:cstheme="minorHAnsi"/>
          <w:sz w:val="24"/>
          <w:szCs w:val="24"/>
        </w:rPr>
        <w:t xml:space="preserve">An analysis of motivation in children’s sport: The role of perceived competence in participation. </w:t>
      </w:r>
      <w:r w:rsidRPr="0051709F">
        <w:rPr>
          <w:rFonts w:asciiTheme="minorHAnsi" w:hAnsiTheme="minorHAnsi" w:cstheme="minorHAnsi"/>
          <w:i/>
          <w:sz w:val="24"/>
          <w:szCs w:val="24"/>
        </w:rPr>
        <w:t>Journal of Sport Phychology, 3(3)</w:t>
      </w:r>
      <w:r w:rsidRPr="0051709F">
        <w:rPr>
          <w:rFonts w:asciiTheme="minorHAnsi" w:hAnsiTheme="minorHAnsi" w:cstheme="minorHAnsi"/>
          <w:sz w:val="24"/>
          <w:szCs w:val="24"/>
        </w:rPr>
        <w:t>, 206-216.</w:t>
      </w:r>
    </w:p>
    <w:p w14:paraId="706E9372"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Roemmich, J. N., Lambiase, M. J., McCarthy, T. F., Feda, D. M., y Kozlowski, K. F. (2012). Autonomy supportive environments and mastery as basic factors to motivate physical activity in children: a controlled laboratory study. </w:t>
      </w:r>
      <w:r w:rsidRPr="0051709F">
        <w:rPr>
          <w:rFonts w:asciiTheme="minorHAnsi" w:hAnsiTheme="minorHAnsi" w:cstheme="minorHAnsi"/>
          <w:i/>
          <w:sz w:val="24"/>
          <w:szCs w:val="24"/>
        </w:rPr>
        <w:t>International Journal of Behavioral Nutrition and Physical Activity, 9</w:t>
      </w:r>
      <w:r w:rsidRPr="0051709F">
        <w:rPr>
          <w:rFonts w:asciiTheme="minorHAnsi" w:hAnsiTheme="minorHAnsi" w:cstheme="minorHAnsi"/>
          <w:sz w:val="24"/>
          <w:szCs w:val="24"/>
        </w:rPr>
        <w:t xml:space="preserve">, 16. </w:t>
      </w:r>
    </w:p>
    <w:p w14:paraId="5D1B6B4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Ronda, G., Van Assema, P., y Brug, J. (2001). </w:t>
      </w:r>
      <w:r w:rsidRPr="0051709F">
        <w:rPr>
          <w:rFonts w:asciiTheme="minorHAnsi" w:hAnsiTheme="minorHAnsi" w:cstheme="minorHAnsi"/>
          <w:sz w:val="24"/>
          <w:szCs w:val="24"/>
        </w:rPr>
        <w:t xml:space="preserve">Stages of change, psychological factors and awareness of physical activity level in the Netherlands. </w:t>
      </w:r>
      <w:r w:rsidRPr="0051709F">
        <w:rPr>
          <w:rFonts w:asciiTheme="minorHAnsi" w:hAnsiTheme="minorHAnsi" w:cstheme="minorHAnsi"/>
          <w:i/>
          <w:sz w:val="24"/>
          <w:szCs w:val="24"/>
        </w:rPr>
        <w:t>Health Promotion International, 16(4)</w:t>
      </w:r>
      <w:r w:rsidRPr="0051709F">
        <w:rPr>
          <w:rFonts w:asciiTheme="minorHAnsi" w:hAnsiTheme="minorHAnsi" w:cstheme="minorHAnsi"/>
          <w:sz w:val="24"/>
          <w:szCs w:val="24"/>
        </w:rPr>
        <w:t>, 305-314.</w:t>
      </w:r>
    </w:p>
    <w:p w14:paraId="1F881C82" w14:textId="77777777" w:rsidR="003C7D94" w:rsidRPr="0051709F" w:rsidRDefault="003C7D94" w:rsidP="00E6399B">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Rosenberg D, Cook A, Gell N, Lozano P, Grothaus L, Arterburn D. Relationships be- tween sitting time and health indicators, costs, and utilization in older adults. Prev Med Rep 2015;2:247-249. </w:t>
      </w:r>
    </w:p>
    <w:p w14:paraId="69FF1270"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rPr>
        <w:lastRenderedPageBreak/>
        <w:t xml:space="preserve">Rueda i Palenzuela, S. (2021). La supermanzana, nueva célula urbana para la construcción de un modelo funcional y urbanístico de Barcelona. </w:t>
      </w:r>
      <w:r w:rsidRPr="0051709F">
        <w:rPr>
          <w:rFonts w:asciiTheme="minorHAnsi" w:hAnsiTheme="minorHAnsi" w:cstheme="minorHAnsi"/>
          <w:i/>
          <w:iCs/>
          <w:sz w:val="24"/>
          <w:szCs w:val="24"/>
        </w:rPr>
        <w:t>Aproximaciones contemporáneas al paisaje urbano, 2021, ISBN 9788418979538, págs. 107-124</w:t>
      </w:r>
      <w:r w:rsidRPr="0051709F">
        <w:rPr>
          <w:rFonts w:asciiTheme="minorHAnsi" w:hAnsiTheme="minorHAnsi" w:cstheme="minorHAnsi"/>
          <w:sz w:val="24"/>
          <w:szCs w:val="24"/>
        </w:rPr>
        <w:t xml:space="preserve">, 107–124. Editorial Universidad de Alcalá. </w:t>
      </w:r>
      <w:r w:rsidRPr="0051709F">
        <w:rPr>
          <w:rFonts w:asciiTheme="minorHAnsi" w:hAnsiTheme="minorHAnsi" w:cstheme="minorHAnsi"/>
          <w:sz w:val="24"/>
          <w:szCs w:val="24"/>
          <w:lang w:val="en-US"/>
        </w:rPr>
        <w:t>Retrieved from https://dialnet.unirioja.es/servlet/articulo?codigo=8565901</w:t>
      </w:r>
    </w:p>
    <w:p w14:paraId="7FF088F1"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Ryan, R. M., y Deci, E. L. (2000). </w:t>
      </w:r>
      <w:r w:rsidRPr="0051709F">
        <w:rPr>
          <w:rFonts w:asciiTheme="minorHAnsi" w:hAnsiTheme="minorHAnsi" w:cstheme="minorHAnsi"/>
          <w:sz w:val="24"/>
          <w:szCs w:val="24"/>
          <w:shd w:val="clear" w:color="auto" w:fill="FFFFFF"/>
        </w:rPr>
        <w:t xml:space="preserve">Self-determination theory and the facilitation of intrinsic motivation, social development, and well-being. </w:t>
      </w:r>
      <w:r w:rsidRPr="0051709F">
        <w:rPr>
          <w:rFonts w:asciiTheme="minorHAnsi" w:hAnsiTheme="minorHAnsi" w:cstheme="minorHAnsi"/>
          <w:i/>
          <w:iCs/>
          <w:sz w:val="24"/>
          <w:szCs w:val="24"/>
          <w:shd w:val="clear" w:color="auto" w:fill="FFFFFF"/>
        </w:rPr>
        <w:t>American Psychology</w:t>
      </w:r>
      <w:r w:rsidRPr="0051709F">
        <w:rPr>
          <w:rFonts w:asciiTheme="minorHAnsi" w:hAnsiTheme="minorHAnsi" w:cstheme="minorHAnsi"/>
          <w:sz w:val="24"/>
          <w:szCs w:val="24"/>
          <w:shd w:val="clear" w:color="auto" w:fill="FFFFFF"/>
        </w:rPr>
        <w:t xml:space="preserve">. </w:t>
      </w:r>
      <w:r w:rsidRPr="0051709F">
        <w:rPr>
          <w:rFonts w:asciiTheme="minorHAnsi" w:hAnsiTheme="minorHAnsi" w:cstheme="minorHAnsi"/>
          <w:sz w:val="24"/>
          <w:szCs w:val="24"/>
        </w:rPr>
        <w:t>https://doi.org/</w:t>
      </w:r>
      <w:hyperlink r:id="rId127" w:history="1">
        <w:r w:rsidRPr="0051709F">
          <w:rPr>
            <w:rStyle w:val="Hipervnculo"/>
            <w:rFonts w:asciiTheme="minorHAnsi" w:hAnsiTheme="minorHAnsi" w:cstheme="minorHAnsi"/>
            <w:color w:val="auto"/>
            <w:sz w:val="24"/>
            <w:szCs w:val="24"/>
            <w:shd w:val="clear" w:color="auto" w:fill="FFFFFF"/>
          </w:rPr>
          <w:t>10.1037110003-066X.55.1.68</w:t>
        </w:r>
      </w:hyperlink>
      <w:r w:rsidRPr="0051709F">
        <w:rPr>
          <w:rFonts w:asciiTheme="minorHAnsi" w:hAnsiTheme="minorHAnsi" w:cstheme="minorHAnsi"/>
          <w:sz w:val="24"/>
          <w:szCs w:val="24"/>
          <w:shd w:val="clear" w:color="auto" w:fill="FFFFFF"/>
        </w:rPr>
        <w:t>.</w:t>
      </w:r>
    </w:p>
    <w:p w14:paraId="49C27E2F"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Ryan, R. M. y Deci, E. L. (2017). </w:t>
      </w:r>
      <w:r w:rsidRPr="0051709F">
        <w:rPr>
          <w:rFonts w:asciiTheme="minorHAnsi" w:hAnsiTheme="minorHAnsi" w:cstheme="minorHAnsi"/>
          <w:i/>
          <w:iCs/>
          <w:sz w:val="24"/>
          <w:szCs w:val="24"/>
          <w:shd w:val="clear" w:color="auto" w:fill="FFFFFF"/>
        </w:rPr>
        <w:t>Self-determination theory: basic psychological needs in motivation, development, and wellness</w:t>
      </w:r>
      <w:r w:rsidRPr="0051709F">
        <w:rPr>
          <w:rFonts w:asciiTheme="minorHAnsi" w:hAnsiTheme="minorHAnsi" w:cstheme="minorHAnsi"/>
          <w:sz w:val="24"/>
          <w:szCs w:val="24"/>
          <w:shd w:val="clear" w:color="auto" w:fill="FFFFFF"/>
        </w:rPr>
        <w:t>. Guilford Publications.</w:t>
      </w:r>
    </w:p>
    <w:p w14:paraId="456FBBF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shd w:val="clear" w:color="auto" w:fill="FFFFFF"/>
        </w:rPr>
        <w:t xml:space="preserve">Ryan, R. M. (2012). Motivation, personality, and development within embedded social contexts: an overview of self-determination theory. En E. Deci y R. M. Ryan (Eds.), </w:t>
      </w:r>
      <w:r w:rsidRPr="0051709F">
        <w:rPr>
          <w:rFonts w:asciiTheme="minorHAnsi" w:hAnsiTheme="minorHAnsi" w:cstheme="minorHAnsi"/>
          <w:i/>
          <w:iCs/>
          <w:sz w:val="24"/>
          <w:szCs w:val="24"/>
          <w:shd w:val="clear" w:color="auto" w:fill="FFFFFF"/>
        </w:rPr>
        <w:t>The Oxford handbook of human motivation</w:t>
      </w:r>
      <w:r w:rsidRPr="0051709F">
        <w:rPr>
          <w:rFonts w:asciiTheme="minorHAnsi" w:hAnsiTheme="minorHAnsi" w:cstheme="minorHAnsi"/>
          <w:sz w:val="24"/>
          <w:szCs w:val="24"/>
        </w:rPr>
        <w:t xml:space="preserve"> (pp. 85-107).</w:t>
      </w:r>
    </w:p>
    <w:p w14:paraId="6A8C073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Ryan, R. M., y Deci, E. L. (2000). </w:t>
      </w:r>
      <w:r w:rsidRPr="0051709F">
        <w:rPr>
          <w:rFonts w:asciiTheme="minorHAnsi" w:hAnsiTheme="minorHAnsi" w:cstheme="minorHAnsi"/>
          <w:sz w:val="24"/>
          <w:szCs w:val="24"/>
        </w:rPr>
        <w:t xml:space="preserve">Self-determination theory and the facilitation of intrinsic motivation, social development, and well-being. </w:t>
      </w:r>
      <w:r w:rsidRPr="0051709F">
        <w:rPr>
          <w:rFonts w:asciiTheme="minorHAnsi" w:hAnsiTheme="minorHAnsi" w:cstheme="minorHAnsi"/>
          <w:i/>
          <w:iCs/>
          <w:sz w:val="24"/>
          <w:szCs w:val="24"/>
        </w:rPr>
        <w:t>American Psychologist, 55</w:t>
      </w:r>
      <w:r w:rsidRPr="0051709F">
        <w:rPr>
          <w:rFonts w:asciiTheme="minorHAnsi" w:hAnsiTheme="minorHAnsi" w:cstheme="minorHAnsi"/>
          <w:sz w:val="24"/>
          <w:szCs w:val="24"/>
        </w:rPr>
        <w:t xml:space="preserve">, 68-78. </w:t>
      </w:r>
    </w:p>
    <w:p w14:paraId="18FCCFA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Saint-Maurice, P. F., Welk, G. J., Silva, P., Siahpush, M., y Huberty, J. (2011). Assessing children’s physical activity behaviors at recess: a multi-method approach. </w:t>
      </w:r>
      <w:r w:rsidRPr="0051709F">
        <w:rPr>
          <w:rFonts w:asciiTheme="minorHAnsi" w:hAnsiTheme="minorHAnsi" w:cstheme="minorHAnsi"/>
          <w:i/>
          <w:sz w:val="24"/>
          <w:szCs w:val="24"/>
        </w:rPr>
        <w:t>Pediatric Exercise Science, 23(4)</w:t>
      </w:r>
      <w:r w:rsidRPr="0051709F">
        <w:rPr>
          <w:rFonts w:asciiTheme="minorHAnsi" w:hAnsiTheme="minorHAnsi" w:cstheme="minorHAnsi"/>
          <w:sz w:val="24"/>
          <w:szCs w:val="24"/>
        </w:rPr>
        <w:t>, 585-599.</w:t>
      </w:r>
    </w:p>
    <w:p w14:paraId="35B7D067"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Conway, T. L., Prochaska, J. J., McKenzie, T. L., Marshall, S. J., y Brown, M. (2001). The association of school environments with youth physical activity. </w:t>
      </w:r>
      <w:r w:rsidRPr="0051709F">
        <w:rPr>
          <w:rFonts w:asciiTheme="minorHAnsi" w:hAnsiTheme="minorHAnsi" w:cstheme="minorHAnsi"/>
          <w:i/>
          <w:sz w:val="24"/>
          <w:szCs w:val="24"/>
        </w:rPr>
        <w:t>American Journal of Public Health, 91(4)</w:t>
      </w:r>
      <w:r w:rsidRPr="0051709F">
        <w:rPr>
          <w:rFonts w:asciiTheme="minorHAnsi" w:hAnsiTheme="minorHAnsi" w:cstheme="minorHAnsi"/>
          <w:sz w:val="24"/>
          <w:szCs w:val="24"/>
        </w:rPr>
        <w:t xml:space="preserve">, 618-620. </w:t>
      </w:r>
    </w:p>
    <w:p w14:paraId="67C2CDD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Prochaska, J., Taylor, W. C., Hill, J. O., y Geraci, J. C. (1999). Correlates of physical activity in a national sample of girls and boys in grades 4 through 12. </w:t>
      </w:r>
      <w:r w:rsidRPr="0051709F">
        <w:rPr>
          <w:rFonts w:asciiTheme="minorHAnsi" w:hAnsiTheme="minorHAnsi" w:cstheme="minorHAnsi"/>
          <w:i/>
          <w:sz w:val="24"/>
          <w:szCs w:val="24"/>
        </w:rPr>
        <w:t>Health Psychology, 18</w:t>
      </w:r>
      <w:r w:rsidRPr="0051709F">
        <w:rPr>
          <w:rFonts w:asciiTheme="minorHAnsi" w:hAnsiTheme="minorHAnsi" w:cstheme="minorHAnsi"/>
          <w:sz w:val="24"/>
          <w:szCs w:val="24"/>
        </w:rPr>
        <w:t xml:space="preserve">, 410-415. </w:t>
      </w:r>
    </w:p>
    <w:p w14:paraId="37609E4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y Patrick, K. (1994). Physical activity guidelines for adolescents consensus statement. </w:t>
      </w:r>
      <w:r w:rsidRPr="0051709F">
        <w:rPr>
          <w:rFonts w:asciiTheme="minorHAnsi" w:hAnsiTheme="minorHAnsi" w:cstheme="minorHAnsi"/>
          <w:i/>
          <w:sz w:val="24"/>
          <w:szCs w:val="24"/>
        </w:rPr>
        <w:t>Pediatric Exercise Science, 6(4)</w:t>
      </w:r>
      <w:r w:rsidRPr="0051709F">
        <w:rPr>
          <w:rFonts w:asciiTheme="minorHAnsi" w:hAnsiTheme="minorHAnsi" w:cstheme="minorHAnsi"/>
          <w:sz w:val="24"/>
          <w:szCs w:val="24"/>
        </w:rPr>
        <w:t>, 302-14.</w:t>
      </w:r>
    </w:p>
    <w:p w14:paraId="10A5FC5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Salmon, J., Booth, M. L., Phongsavan, P., Murphy, N., y Timperio, A. (2007). Promoting physical activity participation among children and adolescents. </w:t>
      </w:r>
      <w:r w:rsidRPr="0051709F">
        <w:rPr>
          <w:rFonts w:asciiTheme="minorHAnsi" w:hAnsiTheme="minorHAnsi" w:cstheme="minorHAnsi"/>
          <w:i/>
          <w:sz w:val="24"/>
          <w:szCs w:val="24"/>
        </w:rPr>
        <w:t>Epidemiology Reviews, 29</w:t>
      </w:r>
      <w:r w:rsidRPr="0051709F">
        <w:rPr>
          <w:rFonts w:asciiTheme="minorHAnsi" w:hAnsiTheme="minorHAnsi" w:cstheme="minorHAnsi"/>
          <w:sz w:val="24"/>
          <w:szCs w:val="24"/>
        </w:rPr>
        <w:t xml:space="preserve">, 144-159. </w:t>
      </w:r>
    </w:p>
    <w:p w14:paraId="4ACD6B12"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Salmon, J., Brown, H., y Hume, C. (2009). Review: Effects of strategies to promote children’s physical activity on potential mediators. </w:t>
      </w:r>
      <w:r w:rsidRPr="0051709F">
        <w:rPr>
          <w:rFonts w:asciiTheme="minorHAnsi" w:hAnsiTheme="minorHAnsi" w:cstheme="minorHAnsi"/>
          <w:i/>
          <w:sz w:val="24"/>
          <w:szCs w:val="24"/>
        </w:rPr>
        <w:t>International Journal of Obesity, 33</w:t>
      </w:r>
      <w:r w:rsidRPr="0051709F">
        <w:rPr>
          <w:rFonts w:asciiTheme="minorHAnsi" w:hAnsiTheme="minorHAnsi" w:cstheme="minorHAnsi"/>
          <w:sz w:val="24"/>
          <w:szCs w:val="24"/>
        </w:rPr>
        <w:t>, S66-S73.</w:t>
      </w:r>
    </w:p>
    <w:p w14:paraId="45915B7E"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Salvy, S. J., De la Haye, K., Bowker, J. C., y Hermans, C. J. R. (2012). </w:t>
      </w:r>
      <w:r w:rsidRPr="0051709F">
        <w:rPr>
          <w:rFonts w:asciiTheme="minorHAnsi" w:hAnsiTheme="minorHAnsi" w:cstheme="minorHAnsi"/>
          <w:sz w:val="24"/>
          <w:szCs w:val="24"/>
        </w:rPr>
        <w:t xml:space="preserve">Influence of peers and friends on children’s and adolescents’ eating and activity behaviors. </w:t>
      </w:r>
      <w:r w:rsidRPr="0051709F">
        <w:rPr>
          <w:rFonts w:asciiTheme="minorHAnsi" w:hAnsiTheme="minorHAnsi" w:cstheme="minorHAnsi"/>
          <w:i/>
          <w:sz w:val="24"/>
          <w:szCs w:val="24"/>
        </w:rPr>
        <w:t>Physiology &amp; Behavior, 106</w:t>
      </w:r>
      <w:r w:rsidRPr="0051709F">
        <w:rPr>
          <w:rFonts w:asciiTheme="minorHAnsi" w:hAnsiTheme="minorHAnsi" w:cstheme="minorHAnsi"/>
          <w:sz w:val="24"/>
          <w:szCs w:val="24"/>
        </w:rPr>
        <w:t>, 369-378.</w:t>
      </w:r>
    </w:p>
    <w:p w14:paraId="746FD553"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Salvy, S. J., Roemmich, J. N., Bowker, J. C., Romero, N. D., Stadler, P. J., y Epstein, L. H. (2009). Effect of peers and friends on youth physical activity and motivation to be physically active. </w:t>
      </w:r>
      <w:r w:rsidRPr="0051709F">
        <w:rPr>
          <w:rFonts w:asciiTheme="minorHAnsi" w:hAnsiTheme="minorHAnsi" w:cstheme="minorHAnsi"/>
          <w:i/>
          <w:sz w:val="24"/>
          <w:szCs w:val="24"/>
        </w:rPr>
        <w:t>Journal of Pediatric Psychology, 34</w:t>
      </w:r>
      <w:r w:rsidRPr="0051709F">
        <w:rPr>
          <w:rFonts w:asciiTheme="minorHAnsi" w:hAnsiTheme="minorHAnsi" w:cstheme="minorHAnsi"/>
          <w:sz w:val="24"/>
          <w:szCs w:val="24"/>
        </w:rPr>
        <w:t xml:space="preserve">, 217-225. </w:t>
      </w:r>
    </w:p>
    <w:p w14:paraId="4CB7948D" w14:textId="77777777" w:rsidR="00A4777B" w:rsidRPr="0051709F" w:rsidRDefault="00A4777B" w:rsidP="00E6399B">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Sanz-Santiago V, Diez-Vega I, Santana-Sosa E, Lopez Nuevo C, Iturriaga Ramirez T, Vendrusculo FM, Donadio MVF, Villa Asensi JR, Pérez-Ruiz M. Effect of a combined exercise program on physical fitness, lung function, and quality of life in patients with controlled asthma and exercise symptoms: A randomized controlled trial. </w:t>
      </w:r>
      <w:r w:rsidRPr="0051709F">
        <w:rPr>
          <w:rFonts w:asciiTheme="minorHAnsi" w:eastAsia="Calibri" w:hAnsiTheme="minorHAnsi" w:cstheme="minorHAnsi"/>
          <w:sz w:val="24"/>
          <w:szCs w:val="24"/>
        </w:rPr>
        <w:t>Pediatr Pulmonol. 2020 Jul;55(7):1608-1616. doi: 10.1002/ppul.24798. Epub 2020 Apr 30. PMID: 32353218.</w:t>
      </w:r>
    </w:p>
    <w:p w14:paraId="321A10D4" w14:textId="77777777" w:rsidR="00F15C40" w:rsidRPr="0051709F" w:rsidRDefault="00F15C40"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hAnsiTheme="minorHAnsi" w:cstheme="minorHAnsi"/>
          <w:noProof/>
          <w:sz w:val="24"/>
          <w:szCs w:val="24"/>
        </w:rPr>
        <w:t xml:space="preserve">Schmid TL, Pratt M, Witmer L. A Framework for Physical Activity Policy Research. </w:t>
      </w:r>
      <w:r w:rsidRPr="0051709F">
        <w:rPr>
          <w:rFonts w:asciiTheme="minorHAnsi" w:hAnsiTheme="minorHAnsi" w:cstheme="minorHAnsi"/>
          <w:noProof/>
          <w:sz w:val="24"/>
          <w:szCs w:val="24"/>
          <w:lang w:val="es-ES"/>
        </w:rPr>
        <w:t>J Phys Act Heal. 2006;3:20–9</w:t>
      </w:r>
    </w:p>
    <w:p w14:paraId="13A148B0" w14:textId="2D045ADA"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lastRenderedPageBreak/>
        <w:t xml:space="preserve">Schröder, H., Subirana, I., Wärnberg, J., Medrano, M., González-Gross, M., Gusi, N., Aznar, S., Alcaraz, P. E., González-Valeiro, M. A., Serra-Majem, L., Terrados, N., Tur, J. A., Segú, M., Homs, C., Garcia-Álvarez, A., Benavente-Marín, J. C., Barón-López, F. J., Labayen, I., Zapico, A. G., … </w:t>
      </w:r>
      <w:r w:rsidRPr="0051709F">
        <w:rPr>
          <w:rFonts w:asciiTheme="minorHAnsi" w:eastAsia="Times New Roman" w:hAnsiTheme="minorHAnsi" w:cstheme="minorHAnsi"/>
          <w:sz w:val="24"/>
          <w:szCs w:val="24"/>
        </w:rPr>
        <w:t xml:space="preserve">Gómez, S. F. (2021). Validity, reliability, and calibration of the physical activity unit 7 item screener (PAU-7S) at population scale. </w:t>
      </w:r>
      <w:r w:rsidRPr="0051709F">
        <w:rPr>
          <w:rFonts w:asciiTheme="minorHAnsi" w:eastAsia="Times New Roman" w:hAnsiTheme="minorHAnsi" w:cstheme="minorHAnsi"/>
          <w:i/>
          <w:iCs/>
          <w:sz w:val="24"/>
          <w:szCs w:val="24"/>
        </w:rPr>
        <w:t>International Journal of Behavioral Nutrition and Physical Activity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18</w:t>
      </w:r>
      <w:r w:rsidRPr="0051709F">
        <w:rPr>
          <w:rFonts w:asciiTheme="minorHAnsi" w:eastAsia="Times New Roman" w:hAnsiTheme="minorHAnsi" w:cstheme="minorHAnsi"/>
          <w:sz w:val="24"/>
          <w:szCs w:val="24"/>
        </w:rPr>
        <w:t>(1). https://doi.org/10.1186/s12966-021-01169-w</w:t>
      </w:r>
    </w:p>
    <w:p w14:paraId="0157C83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Sebire, S. J., Jago R., Fox, K. R., Edwars, M. J., y Thompson J. L. (2013). Testing a self-determination theory model of children’s physical activity motivation: a cross-sectional study. </w:t>
      </w:r>
      <w:r w:rsidRPr="0051709F">
        <w:rPr>
          <w:rFonts w:asciiTheme="minorHAnsi" w:hAnsiTheme="minorHAnsi" w:cstheme="minorHAnsi"/>
          <w:i/>
          <w:sz w:val="24"/>
          <w:szCs w:val="24"/>
        </w:rPr>
        <w:t>International Journal of Behavioral Nutrition and Physical Activity, 10</w:t>
      </w:r>
      <w:r w:rsidRPr="0051709F">
        <w:rPr>
          <w:rFonts w:asciiTheme="minorHAnsi" w:hAnsiTheme="minorHAnsi" w:cstheme="minorHAnsi"/>
          <w:sz w:val="24"/>
          <w:szCs w:val="24"/>
        </w:rPr>
        <w:t>, 111.</w:t>
      </w:r>
    </w:p>
    <w:p w14:paraId="1FA8B196"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Sell, K., Lillie, T., y Taylor, J. (2008). Energy expenditure during physically interactive video game playing in male college students with different playing experience. </w:t>
      </w:r>
      <w:r w:rsidRPr="0051709F">
        <w:rPr>
          <w:rFonts w:asciiTheme="minorHAnsi" w:hAnsiTheme="minorHAnsi" w:cstheme="minorHAnsi"/>
          <w:i/>
          <w:sz w:val="24"/>
          <w:szCs w:val="24"/>
        </w:rPr>
        <w:t>Journal of American College Health, 56</w:t>
      </w:r>
      <w:r w:rsidRPr="0051709F">
        <w:rPr>
          <w:rFonts w:asciiTheme="minorHAnsi" w:hAnsiTheme="minorHAnsi" w:cstheme="minorHAnsi"/>
          <w:sz w:val="24"/>
          <w:szCs w:val="24"/>
        </w:rPr>
        <w:t>, 505-511.</w:t>
      </w:r>
    </w:p>
    <w:p w14:paraId="37DC3975" w14:textId="77777777" w:rsidR="00B8052F" w:rsidRPr="0051709F" w:rsidRDefault="00B8052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Serrano, R.; Moscoso, D.; Biedma, L.; Martín, M. (2013). </w:t>
      </w:r>
      <w:r w:rsidRPr="0051709F">
        <w:rPr>
          <w:rFonts w:asciiTheme="minorHAnsi" w:hAnsiTheme="minorHAnsi" w:cstheme="minorHAnsi"/>
          <w:noProof/>
          <w:sz w:val="24"/>
          <w:szCs w:val="24"/>
        </w:rPr>
        <w:t xml:space="preserve">Perceived health, physical activity and sport among the elderly of Spain. </w:t>
      </w:r>
      <w:r w:rsidRPr="0051709F">
        <w:rPr>
          <w:rFonts w:asciiTheme="minorHAnsi" w:hAnsiTheme="minorHAnsi" w:cstheme="minorHAnsi"/>
          <w:i/>
          <w:noProof/>
          <w:sz w:val="24"/>
          <w:szCs w:val="24"/>
        </w:rPr>
        <w:t>Advances in Applied Sociology</w:t>
      </w:r>
      <w:r w:rsidRPr="0051709F">
        <w:rPr>
          <w:rFonts w:asciiTheme="minorHAnsi" w:hAnsiTheme="minorHAnsi" w:cstheme="minorHAnsi"/>
          <w:noProof/>
          <w:sz w:val="24"/>
          <w:szCs w:val="24"/>
        </w:rPr>
        <w:t>, 3(2), 151-156.</w:t>
      </w:r>
    </w:p>
    <w:p w14:paraId="76109D3D" w14:textId="77777777" w:rsidR="00A4777B" w:rsidRPr="0051709F" w:rsidRDefault="00A4777B" w:rsidP="00E6399B">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s-ES"/>
        </w:rPr>
        <w:t xml:space="preserve">Serrano-Sánchez JA, Sanchís-Moysi J. El uso de instalaciones deportivas para promover la actividad física: una perspectiva de salud pública y equidad. </w:t>
      </w:r>
      <w:r w:rsidRPr="0051709F">
        <w:rPr>
          <w:rFonts w:asciiTheme="minorHAnsi" w:eastAsia="Calibri" w:hAnsiTheme="minorHAnsi" w:cstheme="minorHAnsi"/>
          <w:sz w:val="24"/>
          <w:szCs w:val="24"/>
          <w:lang w:val="en-GB"/>
        </w:rPr>
        <w:t>Nutr Hosp 2023;40(3):605-616</w:t>
      </w:r>
    </w:p>
    <w:p w14:paraId="2363DCF8"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Sfm, C., Van Cauwenberg, J., Maenhout, L., Cardon, G., Lambert, E. V., &amp; Van Dyck, D. (2020). Inequality in physical activity, global trends by income inequality and gender in adults. </w:t>
      </w:r>
      <w:r w:rsidRPr="0051709F">
        <w:rPr>
          <w:rFonts w:asciiTheme="minorHAnsi" w:eastAsia="Times New Roman" w:hAnsiTheme="minorHAnsi" w:cstheme="minorHAnsi"/>
          <w:i/>
          <w:iCs/>
          <w:sz w:val="24"/>
          <w:szCs w:val="24"/>
        </w:rPr>
        <w:t>The International Journal of Behavioral Nutrition and Physical Activity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17</w:t>
      </w:r>
      <w:r w:rsidRPr="0051709F">
        <w:rPr>
          <w:rFonts w:asciiTheme="minorHAnsi" w:eastAsia="Times New Roman" w:hAnsiTheme="minorHAnsi" w:cstheme="minorHAnsi"/>
          <w:sz w:val="24"/>
          <w:szCs w:val="24"/>
        </w:rPr>
        <w:t>(1). https://doi.org/10.1186/S12966-020-01039-X</w:t>
      </w:r>
    </w:p>
    <w:p w14:paraId="2BCDB2EC"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Sheeran, P., Klein, W. M., Rothman, A. J. (2017). Health behavior change: moving from observation to intervention. </w:t>
      </w:r>
      <w:r w:rsidRPr="0051709F">
        <w:rPr>
          <w:rFonts w:asciiTheme="minorHAnsi" w:hAnsiTheme="minorHAnsi" w:cstheme="minorHAnsi"/>
          <w:i/>
          <w:iCs/>
          <w:sz w:val="24"/>
          <w:szCs w:val="24"/>
        </w:rPr>
        <w:t>Annual Review of Psychology</w:t>
      </w:r>
      <w:r w:rsidRPr="0051709F">
        <w:rPr>
          <w:rFonts w:asciiTheme="minorHAnsi" w:hAnsiTheme="minorHAnsi" w:cstheme="minorHAnsi"/>
          <w:sz w:val="24"/>
          <w:szCs w:val="24"/>
          <w:shd w:val="clear" w:color="auto" w:fill="FFFFFF"/>
        </w:rPr>
        <w:t>. </w:t>
      </w:r>
      <w:hyperlink r:id="rId128" w:history="1">
        <w:r w:rsidRPr="0051709F">
          <w:rPr>
            <w:rStyle w:val="Hipervnculo"/>
            <w:rFonts w:asciiTheme="minorHAnsi" w:hAnsiTheme="minorHAnsi" w:cstheme="minorHAnsi"/>
            <w:color w:val="auto"/>
            <w:sz w:val="24"/>
            <w:szCs w:val="24"/>
            <w:shd w:val="clear" w:color="auto" w:fill="FFFFFF"/>
          </w:rPr>
          <w:t>https://doi.org/10.1146/annurev-psych-010416-044007</w:t>
        </w:r>
      </w:hyperlink>
      <w:r w:rsidRPr="0051709F">
        <w:rPr>
          <w:rFonts w:asciiTheme="minorHAnsi" w:hAnsiTheme="minorHAnsi" w:cstheme="minorHAnsi"/>
          <w:sz w:val="24"/>
          <w:szCs w:val="24"/>
          <w:shd w:val="clear" w:color="auto" w:fill="FFFFFF"/>
        </w:rPr>
        <w:t>.</w:t>
      </w:r>
    </w:p>
    <w:p w14:paraId="05532BD0" w14:textId="7A8AFC91" w:rsidR="003C7D94" w:rsidRPr="0051709F" w:rsidRDefault="003C7D94"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333333"/>
          <w:sz w:val="24"/>
          <w:szCs w:val="24"/>
          <w:shd w:val="clear" w:color="auto" w:fill="ECEBEB"/>
          <w:lang w:val="en-US"/>
        </w:rPr>
        <w:t>Skivington, K. et al. (2021), “A new framework for developing and evaluating complex interventions: update of Medical Research Council guidance”, </w:t>
      </w:r>
      <w:r w:rsidRPr="0051709F">
        <w:rPr>
          <w:rStyle w:val="nfasis"/>
          <w:rFonts w:asciiTheme="minorHAnsi" w:eastAsiaTheme="majorEastAsia" w:hAnsiTheme="minorHAnsi" w:cstheme="minorHAnsi"/>
          <w:color w:val="333333"/>
          <w:sz w:val="24"/>
          <w:szCs w:val="24"/>
          <w:shd w:val="clear" w:color="auto" w:fill="ECEBEB"/>
          <w:lang w:val="en-US"/>
        </w:rPr>
        <w:t>BMJ</w:t>
      </w:r>
      <w:r w:rsidRPr="0051709F">
        <w:rPr>
          <w:rFonts w:asciiTheme="minorHAnsi" w:hAnsiTheme="minorHAnsi" w:cstheme="minorHAnsi"/>
          <w:color w:val="333333"/>
          <w:sz w:val="24"/>
          <w:szCs w:val="24"/>
          <w:shd w:val="clear" w:color="auto" w:fill="ECEBEB"/>
          <w:lang w:val="en-US"/>
        </w:rPr>
        <w:t>, Vol. 374, p. n2061, </w:t>
      </w:r>
      <w:hyperlink r:id="rId129" w:tgtFrame="_blank" w:history="1">
        <w:r w:rsidRPr="0051709F">
          <w:rPr>
            <w:rStyle w:val="Hipervnculo"/>
            <w:rFonts w:asciiTheme="minorHAnsi" w:eastAsiaTheme="majorEastAsia" w:hAnsiTheme="minorHAnsi" w:cstheme="minorHAnsi"/>
            <w:color w:val="0068B6"/>
            <w:sz w:val="24"/>
            <w:szCs w:val="24"/>
            <w:bdr w:val="none" w:sz="0" w:space="0" w:color="auto" w:frame="1"/>
            <w:shd w:val="clear" w:color="auto" w:fill="ECEBEB"/>
            <w:lang w:val="en-US"/>
          </w:rPr>
          <w:t>https://doi.org/10.1136/BMJ.N2061</w:t>
        </w:r>
      </w:hyperlink>
      <w:r w:rsidRPr="0051709F">
        <w:rPr>
          <w:rFonts w:asciiTheme="minorHAnsi" w:hAnsiTheme="minorHAnsi" w:cstheme="minorHAnsi"/>
          <w:color w:val="000000" w:themeColor="text1"/>
          <w:sz w:val="24"/>
          <w:szCs w:val="24"/>
          <w:shd w:val="clear" w:color="auto" w:fill="FFFFFF"/>
          <w:lang w:val="en-US"/>
        </w:rPr>
        <w:t>.</w:t>
      </w:r>
    </w:p>
    <w:p w14:paraId="0D55CB4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Slawta, J. N., y DeNeui, D. (2010). </w:t>
      </w:r>
      <w:r w:rsidRPr="0051709F">
        <w:rPr>
          <w:rFonts w:asciiTheme="minorHAnsi" w:hAnsiTheme="minorHAnsi" w:cstheme="minorHAnsi"/>
          <w:sz w:val="24"/>
          <w:szCs w:val="24"/>
        </w:rPr>
        <w:t xml:space="preserve">Be a Fit Kid: nutrition and physical activity for the fourth grade. </w:t>
      </w:r>
      <w:r w:rsidRPr="0051709F">
        <w:rPr>
          <w:rFonts w:asciiTheme="minorHAnsi" w:hAnsiTheme="minorHAnsi" w:cstheme="minorHAnsi"/>
          <w:i/>
          <w:sz w:val="24"/>
          <w:szCs w:val="24"/>
        </w:rPr>
        <w:t>Health Promotion Practice, 11</w:t>
      </w:r>
      <w:r w:rsidRPr="0051709F">
        <w:rPr>
          <w:rFonts w:asciiTheme="minorHAnsi" w:hAnsiTheme="minorHAnsi" w:cstheme="minorHAnsi"/>
          <w:sz w:val="24"/>
          <w:szCs w:val="24"/>
        </w:rPr>
        <w:t>, 522–529.</w:t>
      </w:r>
    </w:p>
    <w:p w14:paraId="2F62FC9D"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Smith, A. L. (2009). Perceptions of peer relationships and physical activity participation in early adolescent. </w:t>
      </w:r>
      <w:r w:rsidRPr="0051709F">
        <w:rPr>
          <w:rFonts w:asciiTheme="minorHAnsi" w:hAnsiTheme="minorHAnsi" w:cstheme="minorHAnsi"/>
          <w:i/>
          <w:sz w:val="24"/>
          <w:szCs w:val="24"/>
        </w:rPr>
        <w:t>Journal of Sport &amp; Exercise Psychology, 21</w:t>
      </w:r>
      <w:r w:rsidRPr="0051709F">
        <w:rPr>
          <w:rFonts w:asciiTheme="minorHAnsi" w:hAnsiTheme="minorHAnsi" w:cstheme="minorHAnsi"/>
          <w:sz w:val="24"/>
          <w:szCs w:val="24"/>
        </w:rPr>
        <w:t xml:space="preserve">, 329. </w:t>
      </w:r>
    </w:p>
    <w:p w14:paraId="0381ECE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Smith, M. (2005). Parental influences on the physical activity behaviour of children of various ethnic backgrounds. </w:t>
      </w:r>
      <w:r w:rsidRPr="0051709F">
        <w:rPr>
          <w:rFonts w:asciiTheme="minorHAnsi" w:hAnsiTheme="minorHAnsi" w:cstheme="minorHAnsi"/>
          <w:i/>
          <w:sz w:val="24"/>
          <w:szCs w:val="24"/>
        </w:rPr>
        <w:t>Research Quarterly for Exercise &amp; Sport, 76(1),</w:t>
      </w:r>
      <w:r w:rsidRPr="0051709F">
        <w:rPr>
          <w:rFonts w:asciiTheme="minorHAnsi" w:hAnsiTheme="minorHAnsi" w:cstheme="minorHAnsi"/>
          <w:sz w:val="24"/>
          <w:szCs w:val="24"/>
        </w:rPr>
        <w:t xml:space="preserve"> 50-51.</w:t>
      </w:r>
    </w:p>
    <w:p w14:paraId="3C7FA227" w14:textId="77777777" w:rsidR="00A4777B" w:rsidRPr="0051709F" w:rsidRDefault="00A4777B" w:rsidP="00E6399B">
      <w:pPr>
        <w:pStyle w:val="Prrafodelista"/>
        <w:numPr>
          <w:ilvl w:val="0"/>
          <w:numId w:val="78"/>
        </w:numPr>
        <w:jc w:val="both"/>
        <w:rPr>
          <w:rFonts w:asciiTheme="minorHAnsi" w:eastAsiaTheme="minorEastAsia" w:hAnsiTheme="minorHAnsi" w:cstheme="minorHAnsi"/>
          <w:sz w:val="24"/>
          <w:szCs w:val="24"/>
        </w:rPr>
      </w:pPr>
      <w:r w:rsidRPr="0051709F">
        <w:rPr>
          <w:rFonts w:asciiTheme="minorHAnsi" w:eastAsiaTheme="minorEastAsia" w:hAnsiTheme="minorHAnsi" w:cstheme="minorHAnsi"/>
          <w:color w:val="212121"/>
          <w:sz w:val="24"/>
          <w:szCs w:val="24"/>
          <w:lang w:val="en-GB"/>
        </w:rPr>
        <w:t xml:space="preserve">Speake H, Copeland RJ, Till SH, Breckon JD, Haake S, Hart O. Embedding Physical Activity in the Heart of the NHS: The Need for a Whole-System Approach. </w:t>
      </w:r>
      <w:r w:rsidRPr="0051709F">
        <w:rPr>
          <w:rFonts w:asciiTheme="minorHAnsi" w:eastAsiaTheme="minorEastAsia" w:hAnsiTheme="minorHAnsi" w:cstheme="minorHAnsi"/>
          <w:color w:val="212121"/>
          <w:sz w:val="24"/>
          <w:szCs w:val="24"/>
        </w:rPr>
        <w:t>Sports Med. 2016 Jul;46(7):939-46. doi: 10.1007/s40279-016-0488-y. PMID: 26942468; PMCID: PMC4920841.</w:t>
      </w:r>
    </w:p>
    <w:p w14:paraId="3844399A" w14:textId="77777777" w:rsidR="007D4084" w:rsidRPr="0051709F" w:rsidRDefault="007D4084" w:rsidP="00E6399B">
      <w:pPr>
        <w:pStyle w:val="Prrafodelista"/>
        <w:numPr>
          <w:ilvl w:val="0"/>
          <w:numId w:val="78"/>
        </w:numPr>
        <w:jc w:val="both"/>
        <w:rPr>
          <w:rFonts w:asciiTheme="minorHAnsi" w:hAnsiTheme="minorHAnsi" w:cstheme="minorHAnsi"/>
          <w:color w:val="333333"/>
          <w:sz w:val="24"/>
          <w:szCs w:val="24"/>
          <w:shd w:val="clear" w:color="auto" w:fill="FFFFFF"/>
        </w:rPr>
      </w:pPr>
      <w:r w:rsidRPr="0051709F">
        <w:rPr>
          <w:rFonts w:asciiTheme="minorHAnsi" w:hAnsiTheme="minorHAnsi" w:cstheme="minorHAnsi"/>
          <w:color w:val="333333"/>
          <w:sz w:val="24"/>
          <w:szCs w:val="24"/>
          <w:shd w:val="clear" w:color="auto" w:fill="FFFFFF"/>
        </w:rPr>
        <w:t>Song Z</w:t>
      </w:r>
      <w:r w:rsidRPr="0051709F">
        <w:rPr>
          <w:rStyle w:val="al-author-delim"/>
          <w:rFonts w:asciiTheme="minorHAnsi" w:hAnsiTheme="minorHAnsi" w:cstheme="minorHAnsi"/>
          <w:color w:val="333333"/>
          <w:sz w:val="24"/>
          <w:szCs w:val="24"/>
          <w:shd w:val="clear" w:color="auto" w:fill="FFFFFF"/>
        </w:rPr>
        <w:t>, </w:t>
      </w:r>
      <w:r w:rsidRPr="0051709F">
        <w:rPr>
          <w:rFonts w:asciiTheme="minorHAnsi" w:hAnsiTheme="minorHAnsi" w:cstheme="minorHAnsi"/>
          <w:color w:val="333333"/>
          <w:sz w:val="24"/>
          <w:szCs w:val="24"/>
          <w:shd w:val="clear" w:color="auto" w:fill="FFFFFF"/>
        </w:rPr>
        <w:t>Baicker K. Effect of a Workplace Wellness Program on Employee Health and Economic Outcomes</w:t>
      </w:r>
      <w:r w:rsidRPr="0051709F">
        <w:rPr>
          <w:rStyle w:val="colon-for-citation-subtitle"/>
          <w:rFonts w:asciiTheme="minorHAnsi" w:hAnsiTheme="minorHAnsi" w:cstheme="minorHAnsi"/>
          <w:color w:val="333333"/>
          <w:sz w:val="24"/>
          <w:szCs w:val="24"/>
          <w:shd w:val="clear" w:color="auto" w:fill="FFFFFF"/>
        </w:rPr>
        <w:t>: </w:t>
      </w:r>
      <w:r w:rsidRPr="0051709F">
        <w:rPr>
          <w:rStyle w:val="Subttulo1"/>
          <w:rFonts w:asciiTheme="minorHAnsi" w:hAnsiTheme="minorHAnsi" w:cstheme="minorHAnsi"/>
          <w:color w:val="333333"/>
          <w:sz w:val="24"/>
          <w:szCs w:val="24"/>
          <w:shd w:val="clear" w:color="auto" w:fill="FFFFFF"/>
        </w:rPr>
        <w:t>A Randomized Clinical Trial</w:t>
      </w:r>
      <w:r w:rsidRPr="0051709F">
        <w:rPr>
          <w:rFonts w:asciiTheme="minorHAnsi" w:hAnsiTheme="minorHAnsi" w:cstheme="minorHAnsi"/>
          <w:color w:val="333333"/>
          <w:sz w:val="24"/>
          <w:szCs w:val="24"/>
          <w:shd w:val="clear" w:color="auto" w:fill="FFFFFF"/>
        </w:rPr>
        <w:t>. </w:t>
      </w:r>
      <w:r w:rsidRPr="0051709F">
        <w:rPr>
          <w:rStyle w:val="nfasis"/>
          <w:rFonts w:asciiTheme="minorHAnsi" w:hAnsiTheme="minorHAnsi" w:cstheme="minorHAnsi"/>
          <w:color w:val="333333"/>
          <w:sz w:val="24"/>
          <w:szCs w:val="24"/>
          <w:shd w:val="clear" w:color="auto" w:fill="FFFFFF"/>
        </w:rPr>
        <w:t>JAMA.</w:t>
      </w:r>
      <w:r w:rsidRPr="0051709F">
        <w:rPr>
          <w:rFonts w:asciiTheme="minorHAnsi" w:hAnsiTheme="minorHAnsi" w:cstheme="minorHAnsi"/>
          <w:color w:val="333333"/>
          <w:sz w:val="24"/>
          <w:szCs w:val="24"/>
          <w:shd w:val="clear" w:color="auto" w:fill="FFFFFF"/>
        </w:rPr>
        <w:t> 2019;321(15):1491–1501. doi:10.1001/jama.2019.3307</w:t>
      </w:r>
    </w:p>
    <w:p w14:paraId="2A691F0C"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Spirduso, W. W., y Cronin, D. L. (2001). Exercise dose-response effects on quality of life and independent living in older adults. </w:t>
      </w:r>
      <w:r w:rsidRPr="0051709F">
        <w:rPr>
          <w:rFonts w:asciiTheme="minorHAnsi" w:hAnsiTheme="minorHAnsi" w:cstheme="minorHAnsi"/>
          <w:i/>
          <w:sz w:val="24"/>
          <w:szCs w:val="24"/>
        </w:rPr>
        <w:t>Medicine and Science in Sport and Exercise, 33</w:t>
      </w:r>
      <w:r w:rsidRPr="0051709F">
        <w:rPr>
          <w:rFonts w:asciiTheme="minorHAnsi" w:hAnsiTheme="minorHAnsi" w:cstheme="minorHAnsi"/>
          <w:sz w:val="24"/>
          <w:szCs w:val="24"/>
        </w:rPr>
        <w:t>, 598- 608.</w:t>
      </w:r>
    </w:p>
    <w:p w14:paraId="72EC8046"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lastRenderedPageBreak/>
        <w:t xml:space="preserve">Sport for Sustainable Development, &amp; Erasmus+ Programme of the European Union. (2021). </w:t>
      </w:r>
      <w:r w:rsidRPr="0051709F">
        <w:rPr>
          <w:rFonts w:asciiTheme="minorHAnsi" w:eastAsia="Times New Roman" w:hAnsiTheme="minorHAnsi" w:cstheme="minorHAnsi"/>
          <w:i/>
          <w:iCs/>
          <w:sz w:val="24"/>
          <w:szCs w:val="24"/>
        </w:rPr>
        <w:t>SCORE All 17 Manual</w:t>
      </w:r>
      <w:r w:rsidRPr="0051709F">
        <w:rPr>
          <w:rFonts w:asciiTheme="minorHAnsi" w:eastAsia="Times New Roman" w:hAnsiTheme="minorHAnsi" w:cstheme="minorHAnsi"/>
          <w:sz w:val="24"/>
          <w:szCs w:val="24"/>
        </w:rPr>
        <w:t>. www.sport4sd.com</w:t>
      </w:r>
    </w:p>
    <w:p w14:paraId="1DD8E8C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Standage M., Gillison F., y Treasure D. C. (2007). </w:t>
      </w:r>
      <w:r w:rsidRPr="0051709F">
        <w:rPr>
          <w:rFonts w:asciiTheme="minorHAnsi" w:hAnsiTheme="minorHAnsi" w:cstheme="minorHAnsi"/>
          <w:i/>
          <w:iCs/>
          <w:sz w:val="24"/>
          <w:szCs w:val="24"/>
        </w:rPr>
        <w:t>Self-determination and motivation in physical education</w:t>
      </w:r>
      <w:r w:rsidRPr="0051709F">
        <w:rPr>
          <w:rFonts w:asciiTheme="minorHAnsi" w:hAnsiTheme="minorHAnsi" w:cstheme="minorHAnsi"/>
          <w:sz w:val="24"/>
          <w:szCs w:val="24"/>
        </w:rPr>
        <w:t xml:space="preserve">. En M. Hagger y N. Chatzisarantis (Eds.), </w:t>
      </w:r>
      <w:r w:rsidRPr="0051709F">
        <w:rPr>
          <w:rFonts w:asciiTheme="minorHAnsi" w:hAnsiTheme="minorHAnsi" w:cstheme="minorHAnsi"/>
          <w:i/>
          <w:iCs/>
          <w:sz w:val="24"/>
          <w:szCs w:val="24"/>
        </w:rPr>
        <w:t xml:space="preserve">Intrinsic motivation and self-determination in exercise and sport </w:t>
      </w:r>
      <w:r w:rsidRPr="0051709F">
        <w:rPr>
          <w:rFonts w:asciiTheme="minorHAnsi" w:hAnsiTheme="minorHAnsi" w:cstheme="minorHAnsi"/>
          <w:sz w:val="24"/>
          <w:szCs w:val="24"/>
        </w:rPr>
        <w:t xml:space="preserve">(pp. 71-85). Human Kinetics. </w:t>
      </w:r>
    </w:p>
    <w:p w14:paraId="002B23A3" w14:textId="17BEF65C" w:rsidR="00A4777B" w:rsidRPr="0051709F" w:rsidRDefault="00A4777B" w:rsidP="00E6399B">
      <w:pPr>
        <w:pStyle w:val="Prrafodelista"/>
        <w:numPr>
          <w:ilvl w:val="0"/>
          <w:numId w:val="78"/>
        </w:numPr>
        <w:jc w:val="both"/>
        <w:rPr>
          <w:rFonts w:asciiTheme="minorHAnsi" w:eastAsiaTheme="minorEastAsia" w:hAnsiTheme="minorHAnsi" w:cstheme="minorHAnsi"/>
          <w:sz w:val="24"/>
          <w:szCs w:val="24"/>
          <w:lang w:val="en-GB"/>
        </w:rPr>
      </w:pPr>
      <w:r w:rsidRPr="0051709F">
        <w:rPr>
          <w:rFonts w:asciiTheme="minorHAnsi" w:eastAsiaTheme="minorEastAsia" w:hAnsiTheme="minorHAnsi" w:cstheme="minorHAnsi"/>
          <w:color w:val="1A254C"/>
          <w:sz w:val="24"/>
          <w:szCs w:val="24"/>
          <w:lang w:val="en-GB"/>
        </w:rPr>
        <w:t xml:space="preserve">Stamer T, Steinhäuser J, Flägel K. Artificial Intelligence Supporting the Training of Communication Skills in the Education of Health Care Professions: Scoping Review. J Med Internet Res 2023;25:e43311. doi: </w:t>
      </w:r>
      <w:hyperlink r:id="rId130" w:history="1">
        <w:r w:rsidRPr="0051709F">
          <w:rPr>
            <w:rStyle w:val="Hipervnculo"/>
            <w:rFonts w:asciiTheme="minorHAnsi" w:eastAsia="Roboto" w:hAnsiTheme="minorHAnsi" w:cstheme="minorHAnsi"/>
            <w:sz w:val="24"/>
            <w:szCs w:val="24"/>
            <w:lang w:val="en-GB"/>
          </w:rPr>
          <w:t>10.2196/43311</w:t>
        </w:r>
      </w:hyperlink>
    </w:p>
    <w:p w14:paraId="2565DBFA"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Stellino, M. B., Sinclair, C. D., Partridge, J. A., y King, K. M. (2010). Differences in children’s recess physical activity: recess activity of the week intervention. </w:t>
      </w:r>
      <w:r w:rsidRPr="0051709F">
        <w:rPr>
          <w:rFonts w:asciiTheme="minorHAnsi" w:hAnsiTheme="minorHAnsi" w:cstheme="minorHAnsi"/>
          <w:i/>
          <w:sz w:val="24"/>
          <w:szCs w:val="24"/>
        </w:rPr>
        <w:t>Journal of School Health, 80(9)</w:t>
      </w:r>
      <w:r w:rsidRPr="0051709F">
        <w:rPr>
          <w:rFonts w:asciiTheme="minorHAnsi" w:hAnsiTheme="minorHAnsi" w:cstheme="minorHAnsi"/>
          <w:sz w:val="24"/>
          <w:szCs w:val="24"/>
        </w:rPr>
        <w:t>, 436-444.</w:t>
      </w:r>
    </w:p>
    <w:p w14:paraId="499DC0C1"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Stigsdotter, U. K., Ekholm, O., Schipperijn, J., Toftager, M., Kamper-Jørgensen, F., &amp; Randrup, T. B. (2010). Health promoting outdoor environments—Associations between green space, and health, health-related quality of life and stress based on a Danish national representative survey. </w:t>
      </w:r>
      <w:r w:rsidRPr="0051709F">
        <w:rPr>
          <w:rFonts w:asciiTheme="minorHAnsi" w:hAnsiTheme="minorHAnsi" w:cstheme="minorHAnsi"/>
          <w:i/>
          <w:iCs/>
          <w:sz w:val="24"/>
          <w:szCs w:val="24"/>
          <w:lang w:val="en-US"/>
        </w:rPr>
        <w:t>Scandinavian Journal of Public Health</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38</w:t>
      </w:r>
      <w:r w:rsidRPr="0051709F">
        <w:rPr>
          <w:rFonts w:asciiTheme="minorHAnsi" w:hAnsiTheme="minorHAnsi" w:cstheme="minorHAnsi"/>
          <w:sz w:val="24"/>
          <w:szCs w:val="24"/>
          <w:lang w:val="en-US"/>
        </w:rPr>
        <w:t>(4), 411–417. https://doi.org/10.1177/1403494810367468</w:t>
      </w:r>
    </w:p>
    <w:p w14:paraId="5AA11DD5" w14:textId="77777777" w:rsidR="003C7D94" w:rsidRPr="0051709F" w:rsidRDefault="003C7D94"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000000" w:themeColor="text1"/>
          <w:sz w:val="24"/>
          <w:szCs w:val="24"/>
          <w:shd w:val="clear" w:color="auto" w:fill="FFFFFF"/>
        </w:rPr>
        <w:t xml:space="preserve">Strain T, Brage S, Sharp SJ, Richards J, Tainio M, Ding D, Benichou J, Kelly P. Use of the prevented fraction for the population to determine deaths averted by existing prevalence of physical activity: a descriptive study. </w:t>
      </w:r>
      <w:r w:rsidRPr="0051709F">
        <w:rPr>
          <w:rFonts w:asciiTheme="minorHAnsi" w:hAnsiTheme="minorHAnsi" w:cstheme="minorHAnsi"/>
          <w:i/>
          <w:iCs/>
          <w:color w:val="000000" w:themeColor="text1"/>
          <w:sz w:val="24"/>
          <w:szCs w:val="24"/>
          <w:shd w:val="clear" w:color="auto" w:fill="FFFFFF"/>
        </w:rPr>
        <w:t>Lancet Glob Health</w:t>
      </w:r>
      <w:r w:rsidRPr="0051709F">
        <w:rPr>
          <w:rFonts w:asciiTheme="minorHAnsi" w:hAnsiTheme="minorHAnsi" w:cstheme="minorHAnsi"/>
          <w:color w:val="000000" w:themeColor="text1"/>
          <w:sz w:val="24"/>
          <w:szCs w:val="24"/>
          <w:shd w:val="clear" w:color="auto" w:fill="FFFFFF"/>
        </w:rPr>
        <w:t>. 2020;8:e920–30</w:t>
      </w:r>
    </w:p>
    <w:p w14:paraId="4FB4D192" w14:textId="736090D5"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Strauss, R. S., Rodzilsky, D., Burack, G., y Colin, M. (2001). Psychological correlates of physical activity in healthy children. </w:t>
      </w:r>
      <w:r w:rsidRPr="0051709F">
        <w:rPr>
          <w:rFonts w:asciiTheme="minorHAnsi" w:hAnsiTheme="minorHAnsi" w:cstheme="minorHAnsi"/>
          <w:i/>
          <w:sz w:val="24"/>
          <w:szCs w:val="24"/>
        </w:rPr>
        <w:t>Archives of Pediatrics &amp; Adolescent Medicine, 155</w:t>
      </w:r>
      <w:r w:rsidRPr="0051709F">
        <w:rPr>
          <w:rFonts w:asciiTheme="minorHAnsi" w:hAnsiTheme="minorHAnsi" w:cstheme="minorHAnsi"/>
          <w:sz w:val="24"/>
          <w:szCs w:val="24"/>
        </w:rPr>
        <w:t>, 807-902.</w:t>
      </w:r>
    </w:p>
    <w:p w14:paraId="5EFD1073"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Storr, R., Nicholas, L., Robinson, K., &amp; Davies, C. (2022). </w:t>
      </w:r>
      <w:r w:rsidRPr="0051709F">
        <w:rPr>
          <w:rFonts w:asciiTheme="minorHAnsi" w:eastAsia="Times New Roman" w:hAnsiTheme="minorHAnsi" w:cstheme="minorHAnsi"/>
          <w:sz w:val="24"/>
          <w:szCs w:val="24"/>
        </w:rPr>
        <w:t xml:space="preserve">‘Game to play?’: barriers and facilitators to sexuality and gender diverse young people’s participation in sport and physical activity. </w:t>
      </w:r>
      <w:r w:rsidRPr="0051709F">
        <w:rPr>
          <w:rFonts w:asciiTheme="minorHAnsi" w:eastAsia="Times New Roman" w:hAnsiTheme="minorHAnsi" w:cstheme="minorHAnsi"/>
          <w:i/>
          <w:iCs/>
          <w:sz w:val="24"/>
          <w:szCs w:val="24"/>
        </w:rPr>
        <w:t>Sport, Education and Society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27</w:t>
      </w:r>
      <w:r w:rsidRPr="0051709F">
        <w:rPr>
          <w:rFonts w:asciiTheme="minorHAnsi" w:eastAsia="Times New Roman" w:hAnsiTheme="minorHAnsi" w:cstheme="minorHAnsi"/>
          <w:sz w:val="24"/>
          <w:szCs w:val="24"/>
        </w:rPr>
        <w:t>(5), 604–617. https://doi.org/10.1080/13573322.2021.1897561</w:t>
      </w:r>
    </w:p>
    <w:p w14:paraId="66D8C061"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Su, Y., y Reeve, J. (2011). </w:t>
      </w:r>
      <w:r w:rsidRPr="0051709F">
        <w:rPr>
          <w:rFonts w:asciiTheme="minorHAnsi" w:hAnsiTheme="minorHAnsi" w:cstheme="minorHAnsi"/>
          <w:sz w:val="24"/>
          <w:szCs w:val="24"/>
          <w:shd w:val="clear" w:color="auto" w:fill="FFFFFF"/>
        </w:rPr>
        <w:t xml:space="preserve">A meta-analysis of the effectiveness of intervention programs designed to support autonomy. </w:t>
      </w:r>
      <w:r w:rsidRPr="0051709F">
        <w:rPr>
          <w:rFonts w:asciiTheme="minorHAnsi" w:hAnsiTheme="minorHAnsi" w:cstheme="minorHAnsi"/>
          <w:i/>
          <w:iCs/>
          <w:sz w:val="24"/>
          <w:szCs w:val="24"/>
        </w:rPr>
        <w:t>Educational Psychology Review</w:t>
      </w:r>
      <w:r w:rsidRPr="0051709F">
        <w:rPr>
          <w:rFonts w:asciiTheme="minorHAnsi" w:hAnsiTheme="minorHAnsi" w:cstheme="minorHAnsi"/>
          <w:sz w:val="24"/>
          <w:szCs w:val="24"/>
          <w:shd w:val="clear" w:color="auto" w:fill="FFFFFF"/>
        </w:rPr>
        <w:t>. </w:t>
      </w:r>
      <w:hyperlink r:id="rId131" w:history="1">
        <w:r w:rsidRPr="0051709F">
          <w:rPr>
            <w:rStyle w:val="Hipervnculo"/>
            <w:rFonts w:asciiTheme="minorHAnsi" w:hAnsiTheme="minorHAnsi" w:cstheme="minorHAnsi"/>
            <w:color w:val="auto"/>
            <w:sz w:val="24"/>
            <w:szCs w:val="24"/>
            <w:shd w:val="clear" w:color="auto" w:fill="FFFFFF"/>
          </w:rPr>
          <w:t>https://doi.org/10.1007/s10648-010-9142-7</w:t>
        </w:r>
      </w:hyperlink>
      <w:r w:rsidRPr="0051709F">
        <w:rPr>
          <w:rFonts w:asciiTheme="minorHAnsi" w:hAnsiTheme="minorHAnsi" w:cstheme="minorHAnsi"/>
          <w:sz w:val="24"/>
          <w:szCs w:val="24"/>
          <w:shd w:val="clear" w:color="auto" w:fill="FFFFFF"/>
        </w:rPr>
        <w:t>.</w:t>
      </w:r>
    </w:p>
    <w:p w14:paraId="24592A1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Sun, H. (2013). Impact of exergames on physical activity and motivation in elementary school students: A follow-up study. </w:t>
      </w:r>
      <w:r w:rsidRPr="0051709F">
        <w:rPr>
          <w:rFonts w:asciiTheme="minorHAnsi" w:hAnsiTheme="minorHAnsi" w:cstheme="minorHAnsi"/>
          <w:i/>
          <w:sz w:val="24"/>
          <w:szCs w:val="24"/>
        </w:rPr>
        <w:t>Journal of Sport and Health Science, 2</w:t>
      </w:r>
      <w:r w:rsidRPr="0051709F">
        <w:rPr>
          <w:rFonts w:asciiTheme="minorHAnsi" w:hAnsiTheme="minorHAnsi" w:cstheme="minorHAnsi"/>
          <w:sz w:val="24"/>
          <w:szCs w:val="24"/>
        </w:rPr>
        <w:t>, 138-145.</w:t>
      </w:r>
    </w:p>
    <w:p w14:paraId="5CBF9225" w14:textId="77777777" w:rsidR="007D4084" w:rsidRPr="0051709F" w:rsidRDefault="007D4084"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Sun M, Feng W, Wang F, Li P, Li Z, Li M, et al. Meta-analysis on shift work and risks of specific obesity types. Obes Rev. 2018;19(1):28–40.</w:t>
      </w:r>
    </w:p>
    <w:p w14:paraId="54E0F10B" w14:textId="77777777" w:rsidR="00482DA9" w:rsidRPr="0051709F" w:rsidRDefault="00482DA9"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Swinburn, B. A., Kraak, V. I., Allender, S., Atkins, V. J., Baker, P. I., Bogard, J. R., … Dietz, W. H. (2019). The Global Syndemic of Obesity, Undernutrition, and Climate Change: The Lancet Commission report. </w:t>
      </w:r>
      <w:r w:rsidRPr="0051709F">
        <w:rPr>
          <w:rFonts w:asciiTheme="minorHAnsi" w:hAnsiTheme="minorHAnsi" w:cstheme="minorHAnsi"/>
          <w:i/>
          <w:iCs/>
          <w:sz w:val="24"/>
          <w:szCs w:val="24"/>
          <w:lang w:val="en-US"/>
        </w:rPr>
        <w:t>The Lancet</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393</w:t>
      </w:r>
      <w:r w:rsidRPr="0051709F">
        <w:rPr>
          <w:rFonts w:asciiTheme="minorHAnsi" w:hAnsiTheme="minorHAnsi" w:cstheme="minorHAnsi"/>
          <w:sz w:val="24"/>
          <w:szCs w:val="24"/>
          <w:lang w:val="en-US"/>
        </w:rPr>
        <w:t>(10173), 791–846. https://doi.org/10.1016/S0140-6736(18)32822-8</w:t>
      </w:r>
    </w:p>
    <w:p w14:paraId="0BB1BBC9"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Taylor, I. M., y Lonsdale, C. (2010). </w:t>
      </w:r>
      <w:r w:rsidRPr="0051709F">
        <w:rPr>
          <w:rFonts w:asciiTheme="minorHAnsi" w:hAnsiTheme="minorHAnsi" w:cstheme="minorHAnsi"/>
          <w:sz w:val="24"/>
          <w:szCs w:val="24"/>
        </w:rPr>
        <w:t xml:space="preserve">Cultural differences in the relationships among autonomy support, psychological need satisfaction, subjective vitality, and effort in British and Chinese physical education. </w:t>
      </w:r>
      <w:r w:rsidRPr="0051709F">
        <w:rPr>
          <w:rFonts w:asciiTheme="minorHAnsi" w:hAnsiTheme="minorHAnsi" w:cstheme="minorHAnsi"/>
          <w:i/>
          <w:sz w:val="24"/>
          <w:szCs w:val="24"/>
        </w:rPr>
        <w:t>Journal of Sport &amp; Exercise Psychology, 32</w:t>
      </w:r>
      <w:r w:rsidRPr="0051709F">
        <w:rPr>
          <w:rFonts w:asciiTheme="minorHAnsi" w:hAnsiTheme="minorHAnsi" w:cstheme="minorHAnsi"/>
          <w:sz w:val="24"/>
          <w:szCs w:val="24"/>
        </w:rPr>
        <w:t>, 655-673.</w:t>
      </w:r>
    </w:p>
    <w:p w14:paraId="3C7DBD4D"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Telama, R. (2009). Tracking of physical activity from childhood to adulthood: a review. </w:t>
      </w:r>
      <w:r w:rsidRPr="0051709F">
        <w:rPr>
          <w:rFonts w:asciiTheme="minorHAnsi" w:hAnsiTheme="minorHAnsi" w:cstheme="minorHAnsi"/>
          <w:i/>
          <w:iCs/>
          <w:sz w:val="24"/>
          <w:szCs w:val="24"/>
          <w:shd w:val="clear" w:color="auto" w:fill="FFFFFF"/>
        </w:rPr>
        <w:t>Obesity Facts, 2(</w:t>
      </w:r>
      <w:r w:rsidRPr="0051709F">
        <w:rPr>
          <w:rFonts w:asciiTheme="minorHAnsi" w:hAnsiTheme="minorHAnsi" w:cstheme="minorHAnsi"/>
          <w:sz w:val="24"/>
          <w:szCs w:val="24"/>
          <w:shd w:val="clear" w:color="auto" w:fill="FFFFFF"/>
        </w:rPr>
        <w:t>3), 187-195.</w:t>
      </w:r>
    </w:p>
    <w:p w14:paraId="3ED3FE0D"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lastRenderedPageBreak/>
        <w:t xml:space="preserve">Thorburn, M. (2018). </w:t>
      </w:r>
      <w:r w:rsidRPr="0051709F">
        <w:rPr>
          <w:rFonts w:asciiTheme="minorHAnsi" w:hAnsiTheme="minorHAnsi" w:cstheme="minorHAnsi"/>
          <w:i/>
          <w:iCs/>
          <w:sz w:val="24"/>
          <w:szCs w:val="24"/>
          <w:shd w:val="clear" w:color="auto" w:fill="FFFFFF"/>
        </w:rPr>
        <w:t>Wellbeing, Education and Contemporary Schooling</w:t>
      </w:r>
      <w:r w:rsidRPr="0051709F">
        <w:rPr>
          <w:rFonts w:asciiTheme="minorHAnsi" w:hAnsiTheme="minorHAnsi" w:cstheme="minorHAnsi"/>
          <w:sz w:val="24"/>
          <w:szCs w:val="24"/>
          <w:shd w:val="clear" w:color="auto" w:fill="FFFFFF"/>
        </w:rPr>
        <w:t>. Routledge.</w:t>
      </w:r>
    </w:p>
    <w:p w14:paraId="65C612B6"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Trost, S. G., Pate, R. R., Saunders, R., Ward, D. S., Dowda, M., y Felton, G. (1997). A Prospective Study of the Determinants of Physical Activity in Rural Fifth-Grade Children. </w:t>
      </w:r>
      <w:r w:rsidRPr="0051709F">
        <w:rPr>
          <w:rFonts w:asciiTheme="minorHAnsi" w:hAnsiTheme="minorHAnsi" w:cstheme="minorHAnsi"/>
          <w:i/>
          <w:sz w:val="24"/>
          <w:szCs w:val="24"/>
        </w:rPr>
        <w:t>Preventive Medicine, 26</w:t>
      </w:r>
      <w:r w:rsidRPr="0051709F">
        <w:rPr>
          <w:rFonts w:asciiTheme="minorHAnsi" w:hAnsiTheme="minorHAnsi" w:cstheme="minorHAnsi"/>
          <w:sz w:val="24"/>
          <w:szCs w:val="24"/>
        </w:rPr>
        <w:t>, 257-263.</w:t>
      </w:r>
    </w:p>
    <w:p w14:paraId="7AC8AFB9"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Trost, S. G., y Loprinzi, P. D. (2008). </w:t>
      </w:r>
      <w:r w:rsidRPr="0051709F">
        <w:rPr>
          <w:rFonts w:asciiTheme="minorHAnsi" w:hAnsiTheme="minorHAnsi" w:cstheme="minorHAnsi"/>
          <w:sz w:val="24"/>
          <w:szCs w:val="24"/>
        </w:rPr>
        <w:t xml:space="preserve">Exercise-Promoting healthy lifestyles in children and adolescents. </w:t>
      </w:r>
      <w:r w:rsidRPr="0051709F">
        <w:rPr>
          <w:rFonts w:asciiTheme="minorHAnsi" w:hAnsiTheme="minorHAnsi" w:cstheme="minorHAnsi"/>
          <w:i/>
          <w:sz w:val="24"/>
          <w:szCs w:val="24"/>
        </w:rPr>
        <w:t>Journal of Clinical Lipidology, 2 (3),</w:t>
      </w:r>
      <w:r w:rsidRPr="0051709F">
        <w:rPr>
          <w:rFonts w:asciiTheme="minorHAnsi" w:hAnsiTheme="minorHAnsi" w:cstheme="minorHAnsi"/>
          <w:sz w:val="24"/>
          <w:szCs w:val="24"/>
        </w:rPr>
        <w:t xml:space="preserve"> 162-168.</w:t>
      </w:r>
    </w:p>
    <w:p w14:paraId="000A43B9" w14:textId="77777777" w:rsidR="00BA190E" w:rsidRPr="0051709F" w:rsidRDefault="00BA190E" w:rsidP="00E6399B">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Trost, S. (2006). Public health and physical education. En D. Kirk, M. O. O’Sullivan, D. Macdonald (Eds.),</w:t>
      </w:r>
      <w:r w:rsidRPr="0051709F">
        <w:rPr>
          <w:rStyle w:val="html-italic"/>
          <w:rFonts w:asciiTheme="minorHAnsi" w:eastAsiaTheme="majorEastAsia" w:hAnsiTheme="minorHAnsi" w:cstheme="minorHAnsi"/>
          <w:lang w:val="en-GB"/>
        </w:rPr>
        <w:t xml:space="preserve"> The Handbook of Physical Education</w:t>
      </w:r>
      <w:r w:rsidRPr="0051709F">
        <w:rPr>
          <w:rFonts w:asciiTheme="minorHAnsi" w:hAnsiTheme="minorHAnsi" w:cstheme="minorHAnsi"/>
          <w:lang w:val="en-GB"/>
        </w:rPr>
        <w:t xml:space="preserve"> (pp. 163-187). </w:t>
      </w:r>
      <w:r w:rsidRPr="0051709F">
        <w:rPr>
          <w:rFonts w:asciiTheme="minorHAnsi" w:hAnsiTheme="minorHAnsi" w:cstheme="minorHAnsi"/>
        </w:rPr>
        <w:t>Sage.</w:t>
      </w:r>
    </w:p>
    <w:p w14:paraId="24D4B8E5"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Trost, S., Sallis, J., Pate, R., Freedson, P., Taylor, W., y Dowda, M. (2003). Evaluating a model of parental influence on youth physical activity. </w:t>
      </w:r>
      <w:r w:rsidRPr="0051709F">
        <w:rPr>
          <w:rFonts w:asciiTheme="minorHAnsi" w:hAnsiTheme="minorHAnsi" w:cstheme="minorHAnsi"/>
          <w:i/>
          <w:sz w:val="24"/>
          <w:szCs w:val="24"/>
        </w:rPr>
        <w:t>American Journal of Preventive Medicine, 25</w:t>
      </w:r>
      <w:r w:rsidRPr="0051709F">
        <w:rPr>
          <w:rFonts w:asciiTheme="minorHAnsi" w:hAnsiTheme="minorHAnsi" w:cstheme="minorHAnsi"/>
          <w:sz w:val="24"/>
          <w:szCs w:val="24"/>
        </w:rPr>
        <w:t>, 277-282.</w:t>
      </w:r>
    </w:p>
    <w:p w14:paraId="74E92A1F" w14:textId="77777777" w:rsidR="00905DCC" w:rsidRPr="0051709F" w:rsidRDefault="00905DCC"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Tudor-Locke, C., Leonardi, C., Johnson, W. D., &amp; Katzmarzyk, P. T. (2011). Time spent in physical activity and sedentary behaviors on the working day: the American time use survey. J Occup Environ Med, 53(12), 1382-1387. doi:10.1097/ JOM.0b013e31823c1402</w:t>
      </w:r>
    </w:p>
    <w:p w14:paraId="4310BD30" w14:textId="77777777" w:rsidR="007A55EF" w:rsidRPr="0051709F" w:rsidRDefault="007A55EF"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UNESCO, Kazan Action Plan, 2017. </w:t>
      </w:r>
      <w:hyperlink r:id="rId132" w:history="1">
        <w:r w:rsidRPr="0051709F">
          <w:rPr>
            <w:rStyle w:val="Hipervnculo"/>
            <w:rFonts w:asciiTheme="minorHAnsi" w:hAnsiTheme="minorHAnsi" w:cstheme="minorHAnsi"/>
            <w:sz w:val="24"/>
            <w:szCs w:val="24"/>
          </w:rPr>
          <w:t>https://en.unesco.org/mineps6/kazan-action-plan</w:t>
        </w:r>
      </w:hyperlink>
    </w:p>
    <w:p w14:paraId="566F8B59"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Un-Habitat. (2013). </w:t>
      </w:r>
      <w:r w:rsidRPr="0051709F">
        <w:rPr>
          <w:rFonts w:asciiTheme="minorHAnsi" w:hAnsiTheme="minorHAnsi" w:cstheme="minorHAnsi"/>
          <w:i/>
          <w:iCs/>
          <w:sz w:val="24"/>
          <w:szCs w:val="24"/>
          <w:lang w:val="en-US"/>
        </w:rPr>
        <w:t>Planning and Design for Sustainable Urban Mobility: Global Report on Human Settlements 2013</w:t>
      </w:r>
      <w:r w:rsidRPr="0051709F">
        <w:rPr>
          <w:rFonts w:asciiTheme="minorHAnsi" w:hAnsiTheme="minorHAnsi" w:cstheme="minorHAnsi"/>
          <w:sz w:val="24"/>
          <w:szCs w:val="24"/>
          <w:lang w:val="en-US"/>
        </w:rPr>
        <w:t>. New York: Routledge. Retrieved from https://unhabitat.org/sites/default/files/download-manager-files/Planning%20and%20Design%20for%20Sustainable%20Urban%20Mobility.pdf</w:t>
      </w:r>
    </w:p>
    <w:p w14:paraId="311DA43D" w14:textId="77777777" w:rsidR="005F46AB" w:rsidRPr="0051709F" w:rsidRDefault="005F46AB"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Urban Land Institute, Frank, J., MacCleery, R., Nienaber, S., Hammerschmidt, S., Claflin, A., &amp; Building Healthy Places Initiative (Eds.). (2015). </w:t>
      </w:r>
      <w:r w:rsidRPr="0051709F">
        <w:rPr>
          <w:rFonts w:asciiTheme="minorHAnsi" w:hAnsiTheme="minorHAnsi" w:cstheme="minorHAnsi"/>
          <w:i/>
          <w:iCs/>
          <w:sz w:val="24"/>
          <w:szCs w:val="24"/>
          <w:lang w:val="en-US"/>
        </w:rPr>
        <w:t>Building healthy places toolkit: Strategies for enhancing health in the built environment</w:t>
      </w:r>
      <w:r w:rsidRPr="0051709F">
        <w:rPr>
          <w:rFonts w:asciiTheme="minorHAnsi" w:hAnsiTheme="minorHAnsi" w:cstheme="minorHAnsi"/>
          <w:sz w:val="24"/>
          <w:szCs w:val="24"/>
          <w:lang w:val="en-US"/>
        </w:rPr>
        <w:t>. Washington, D.C: Urban Land Institute.</w:t>
      </w:r>
    </w:p>
    <w:p w14:paraId="0FC5F4E0"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Urdan, T. C., y Maehr, M. L. (1995). </w:t>
      </w:r>
      <w:r w:rsidRPr="0051709F">
        <w:rPr>
          <w:rFonts w:asciiTheme="minorHAnsi" w:hAnsiTheme="minorHAnsi" w:cstheme="minorHAnsi"/>
          <w:sz w:val="24"/>
          <w:szCs w:val="24"/>
        </w:rPr>
        <w:t xml:space="preserve">Beyond a two-goal theory of motivation and achievement: A case for social goals. </w:t>
      </w:r>
      <w:r w:rsidRPr="0051709F">
        <w:rPr>
          <w:rFonts w:asciiTheme="minorHAnsi" w:hAnsiTheme="minorHAnsi" w:cstheme="minorHAnsi"/>
          <w:i/>
          <w:sz w:val="24"/>
          <w:szCs w:val="24"/>
        </w:rPr>
        <w:t>Review of Educational Research, 65</w:t>
      </w:r>
      <w:r w:rsidRPr="0051709F">
        <w:rPr>
          <w:rFonts w:asciiTheme="minorHAnsi" w:hAnsiTheme="minorHAnsi" w:cstheme="minorHAnsi"/>
          <w:sz w:val="24"/>
          <w:szCs w:val="24"/>
        </w:rPr>
        <w:t>, 213-243.</w:t>
      </w:r>
    </w:p>
    <w:p w14:paraId="10D40C6A" w14:textId="77777777" w:rsidR="00A4777B" w:rsidRPr="0051709F" w:rsidRDefault="00A4777B" w:rsidP="00E6399B">
      <w:pPr>
        <w:pStyle w:val="Prrafodelista"/>
        <w:numPr>
          <w:ilvl w:val="0"/>
          <w:numId w:val="78"/>
        </w:numPr>
        <w:jc w:val="both"/>
        <w:rPr>
          <w:rFonts w:asciiTheme="minorHAnsi" w:eastAsiaTheme="minorEastAsia" w:hAnsiTheme="minorHAnsi" w:cstheme="minorHAnsi"/>
          <w:sz w:val="24"/>
          <w:szCs w:val="24"/>
          <w:lang w:val="en-GB"/>
        </w:rPr>
      </w:pPr>
      <w:r w:rsidRPr="0051709F">
        <w:rPr>
          <w:rFonts w:asciiTheme="minorHAnsi" w:eastAsiaTheme="minorEastAsia" w:hAnsiTheme="minorHAnsi" w:cstheme="minorHAnsi"/>
          <w:color w:val="212121"/>
          <w:sz w:val="24"/>
          <w:szCs w:val="24"/>
          <w:lang w:val="en-GB"/>
        </w:rPr>
        <w:t>Valkenet K, Bor P, van Delft L, Veenhof C. Measuring physical activity levels in hospitalized patients: a comparison between behavioural mapping and data from an accelerometer. Clin Rehabil. 2019 Jul;33(7):1233-1240. doi: 10.1177/0269215519836454. Epub 2019 Mar 13. PMID: 30864490; PMCID: PMC6585158.</w:t>
      </w:r>
    </w:p>
    <w:p w14:paraId="34FB1D23" w14:textId="77777777" w:rsidR="007A55EF" w:rsidRPr="0051709F" w:rsidRDefault="007A55EF"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333333"/>
          <w:sz w:val="24"/>
          <w:szCs w:val="24"/>
          <w:shd w:val="clear" w:color="auto" w:fill="FFFFFF"/>
          <w:lang w:val="en-US"/>
        </w:rPr>
        <w:t>van der Ploeg, H.P., Bull, F.C. Invest in physical activity to protect and promote health: the 2020 WHO guidelines on physical activity and sedentary behaviour. </w:t>
      </w:r>
      <w:r w:rsidRPr="0051709F">
        <w:rPr>
          <w:rFonts w:asciiTheme="minorHAnsi" w:hAnsiTheme="minorHAnsi" w:cstheme="minorHAnsi"/>
          <w:i/>
          <w:iCs/>
          <w:color w:val="333333"/>
          <w:sz w:val="24"/>
          <w:szCs w:val="24"/>
          <w:shd w:val="clear" w:color="auto" w:fill="FFFFFF"/>
          <w:lang w:val="en-US"/>
        </w:rPr>
        <w:t>Int J Behav Nutr Phys Act</w:t>
      </w:r>
      <w:r w:rsidRPr="0051709F">
        <w:rPr>
          <w:rFonts w:asciiTheme="minorHAnsi" w:hAnsiTheme="minorHAnsi" w:cstheme="minorHAnsi"/>
          <w:color w:val="333333"/>
          <w:sz w:val="24"/>
          <w:szCs w:val="24"/>
          <w:shd w:val="clear" w:color="auto" w:fill="FFFFFF"/>
          <w:lang w:val="en-US"/>
        </w:rPr>
        <w:t> </w:t>
      </w:r>
      <w:r w:rsidRPr="0051709F">
        <w:rPr>
          <w:rFonts w:asciiTheme="minorHAnsi" w:hAnsiTheme="minorHAnsi" w:cstheme="minorHAnsi"/>
          <w:b/>
          <w:bCs/>
          <w:color w:val="333333"/>
          <w:sz w:val="24"/>
          <w:szCs w:val="24"/>
          <w:shd w:val="clear" w:color="auto" w:fill="FFFFFF"/>
          <w:lang w:val="en-US"/>
        </w:rPr>
        <w:t>17, </w:t>
      </w:r>
      <w:r w:rsidRPr="0051709F">
        <w:rPr>
          <w:rFonts w:asciiTheme="minorHAnsi" w:hAnsiTheme="minorHAnsi" w:cstheme="minorHAnsi"/>
          <w:color w:val="333333"/>
          <w:sz w:val="24"/>
          <w:szCs w:val="24"/>
          <w:shd w:val="clear" w:color="auto" w:fill="FFFFFF"/>
          <w:lang w:val="en-US"/>
        </w:rPr>
        <w:t xml:space="preserve">145 (2020). </w:t>
      </w:r>
      <w:hyperlink r:id="rId133" w:history="1">
        <w:r w:rsidRPr="0051709F">
          <w:rPr>
            <w:rStyle w:val="Hipervnculo"/>
            <w:rFonts w:asciiTheme="minorHAnsi" w:hAnsiTheme="minorHAnsi" w:cstheme="minorHAnsi"/>
            <w:sz w:val="24"/>
            <w:szCs w:val="24"/>
            <w:shd w:val="clear" w:color="auto" w:fill="FFFFFF"/>
            <w:lang w:val="en-US"/>
          </w:rPr>
          <w:t>https://doi.org/10.1186/s12966-020-01051-</w:t>
        </w:r>
      </w:hyperlink>
    </w:p>
    <w:p w14:paraId="18B6720A" w14:textId="77777777" w:rsidR="00A4777B" w:rsidRPr="0051709F" w:rsidRDefault="00A4777B" w:rsidP="00E6399B">
      <w:pPr>
        <w:pStyle w:val="Prrafodelista"/>
        <w:numPr>
          <w:ilvl w:val="0"/>
          <w:numId w:val="78"/>
        </w:numPr>
        <w:jc w:val="both"/>
        <w:rPr>
          <w:rFonts w:asciiTheme="minorHAnsi" w:eastAsia="Roboto" w:hAnsiTheme="minorHAnsi" w:cstheme="minorHAnsi"/>
          <w:color w:val="212121"/>
          <w:sz w:val="24"/>
          <w:szCs w:val="24"/>
          <w:lang w:val="en-GB"/>
        </w:rPr>
      </w:pPr>
      <w:r w:rsidRPr="0051709F">
        <w:rPr>
          <w:rFonts w:asciiTheme="minorHAnsi" w:eastAsiaTheme="minorEastAsia" w:hAnsiTheme="minorHAnsi" w:cstheme="minorHAnsi"/>
          <w:color w:val="212121"/>
          <w:sz w:val="24"/>
          <w:szCs w:val="24"/>
          <w:lang w:val="en-GB"/>
        </w:rPr>
        <w:t xml:space="preserve">van Dijk ML, Te Loo LM, Vrijsen J, van den Akker-Scheek I, Westerveld S, Annema M, van Beek A, van den Berg J, Boerboom AL, Bouma A, de Bruijne M, Crasborn J, van Dongen JM, Driessen A, Eijkelenkamp K, Goelema N, Holla J, de Jong J, de Joode A, Kievit A, Klooster JV, Kruizenga H, van der Leeden M, Linders L, Marks-Vieveen J, Mulder DJ, Muller F, van Nassau F, Nauta J, Oostvogels S, Oude Sogtoen J, van der Ploeg HP, Rijnbeek P, Schouten L, Schuling R, Serné EH, Smuling S, Soeters MR, Verhagen EALM, Zwerver J, Dekker R, van Mechelen W, Jelsma JGM. LOFIT (Lifestyle front Office For Integrating lifestyle medicine in the </w:t>
      </w:r>
      <w:r w:rsidRPr="0051709F">
        <w:rPr>
          <w:rFonts w:asciiTheme="minorHAnsi" w:eastAsiaTheme="minorEastAsia" w:hAnsiTheme="minorHAnsi" w:cstheme="minorHAnsi"/>
          <w:color w:val="212121"/>
          <w:sz w:val="24"/>
          <w:szCs w:val="24"/>
          <w:lang w:val="en-GB"/>
        </w:rPr>
        <w:lastRenderedPageBreak/>
        <w:t>Treatment of patients): a novel care model towards community-based options for lifestyle change-study protocol. Trials. 2023 Feb 17;24(1):114. doi: 10.1186/s13063-022-06960-z. PMID: 36803271; PMCID: PMC9936650</w:t>
      </w:r>
      <w:r w:rsidRPr="0051709F">
        <w:rPr>
          <w:rFonts w:asciiTheme="minorHAnsi" w:eastAsia="Roboto" w:hAnsiTheme="minorHAnsi" w:cstheme="minorHAnsi"/>
          <w:color w:val="212121"/>
          <w:sz w:val="24"/>
          <w:szCs w:val="24"/>
          <w:lang w:val="en-GB"/>
        </w:rPr>
        <w:t>.</w:t>
      </w:r>
    </w:p>
    <w:p w14:paraId="384FE1A9"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Verstraete, S. J., Cardon, G. M., De Clercq, D. L., y De Bourdeaudhuij, I. M. M. (2006). </w:t>
      </w:r>
      <w:r w:rsidRPr="0051709F">
        <w:rPr>
          <w:rFonts w:asciiTheme="minorHAnsi" w:hAnsiTheme="minorHAnsi" w:cstheme="minorHAnsi"/>
          <w:sz w:val="24"/>
          <w:szCs w:val="24"/>
        </w:rPr>
        <w:t xml:space="preserve">Increas- ing children's physical activity levels during recess periods in elementary schools: the effects of providing game equipment. </w:t>
      </w:r>
      <w:r w:rsidRPr="0051709F">
        <w:rPr>
          <w:rFonts w:asciiTheme="minorHAnsi" w:hAnsiTheme="minorHAnsi" w:cstheme="minorHAnsi"/>
          <w:i/>
          <w:sz w:val="24"/>
          <w:szCs w:val="24"/>
        </w:rPr>
        <w:t>European Journal of Public Health, 16</w:t>
      </w:r>
      <w:r w:rsidRPr="0051709F">
        <w:rPr>
          <w:rFonts w:asciiTheme="minorHAnsi" w:hAnsiTheme="minorHAnsi" w:cstheme="minorHAnsi"/>
          <w:sz w:val="24"/>
          <w:szCs w:val="24"/>
        </w:rPr>
        <w:t>, 415-419.</w:t>
      </w:r>
    </w:p>
    <w:p w14:paraId="21275C59" w14:textId="77777777" w:rsidR="00F443A2" w:rsidRPr="0051709F" w:rsidRDefault="00F443A2" w:rsidP="00E6399B">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Virtanen M, Kivimaki M. Long working hours and risk of cardiovascular disease. Curr Cardiol Rep. 2018;20(1):123.</w:t>
      </w:r>
    </w:p>
    <w:p w14:paraId="0A046058"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Volf, K., Kelly, L., García Bengoechea, E., Casey, B., Gelius, P., Messing, S. . . ., &amp; Woods, C. (2022). Evidence of the impact of sport policies on physical activity and sport participation: a systematic mixed studies review. </w:t>
      </w:r>
      <w:r w:rsidRPr="0051709F">
        <w:rPr>
          <w:rFonts w:asciiTheme="minorHAnsi" w:hAnsiTheme="minorHAnsi" w:cstheme="minorHAnsi"/>
          <w:i/>
          <w:iCs/>
          <w:noProof/>
          <w:sz w:val="24"/>
          <w:szCs w:val="24"/>
        </w:rPr>
        <w:t>International Journal of Sport Policy and Politics</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14</w:t>
      </w:r>
      <w:r w:rsidRPr="0051709F">
        <w:rPr>
          <w:rFonts w:asciiTheme="minorHAnsi" w:hAnsiTheme="minorHAnsi" w:cstheme="minorHAnsi"/>
          <w:noProof/>
          <w:sz w:val="24"/>
          <w:szCs w:val="24"/>
        </w:rPr>
        <w:t>(4), 697–712. https://doi.org/https://doi.org/10.1080/19406940.2022.2127835</w:t>
      </w:r>
    </w:p>
    <w:p w14:paraId="094DD6B3" w14:textId="77777777" w:rsidR="00F15C40" w:rsidRPr="0051709F" w:rsidRDefault="00F15C40"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Volf K, Kelly L, Van Hoye A, García Bengoechea E, MacPhail A, Woods CB. </w:t>
      </w:r>
      <w:r w:rsidRPr="0051709F">
        <w:rPr>
          <w:rFonts w:asciiTheme="minorHAnsi" w:hAnsiTheme="minorHAnsi" w:cstheme="minorHAnsi"/>
          <w:noProof/>
          <w:sz w:val="24"/>
          <w:szCs w:val="24"/>
        </w:rPr>
        <w:t>Assessing the implementation of physical activity-promoting public policies in the Republic of Ireland: a study using the Physical Activity Environment Policy Index (PA-EPI). Heal Res Policy Syst [Internet]. 2023;21(1):1–15. Available from: https://doi.org/10.1186/s12961-023-01013-6</w:t>
      </w:r>
    </w:p>
    <w:p w14:paraId="174DCF2F"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Voorhees, C. C., Murray, D., Welk, G., Birnbaum, A., Ribisl, K. M., Johnson, C. C., Pfeiffer, K. A., Saksvig, B., y Jobe, J. B. (2005). The role of peer social network factors and physical activity in adolescent girls. </w:t>
      </w:r>
      <w:r w:rsidRPr="0051709F">
        <w:rPr>
          <w:rFonts w:asciiTheme="minorHAnsi" w:hAnsiTheme="minorHAnsi" w:cstheme="minorHAnsi"/>
          <w:i/>
          <w:sz w:val="24"/>
          <w:szCs w:val="24"/>
        </w:rPr>
        <w:t>American Journal of Health Behavior, 29</w:t>
      </w:r>
      <w:r w:rsidRPr="0051709F">
        <w:rPr>
          <w:rFonts w:asciiTheme="minorHAnsi" w:hAnsiTheme="minorHAnsi" w:cstheme="minorHAnsi"/>
          <w:sz w:val="24"/>
          <w:szCs w:val="24"/>
        </w:rPr>
        <w:t>, 183-190.</w:t>
      </w:r>
    </w:p>
    <w:p w14:paraId="7D18C48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Watkinson, C., Van Sluijs E. M., Sutton, S., Hardeman, W., Corder, K., y Griffin, S. J. (2010). Overestimation of physical activity level is associated with lower BMI: a cross-sectional analysis. </w:t>
      </w:r>
      <w:r w:rsidRPr="0051709F">
        <w:rPr>
          <w:rFonts w:asciiTheme="minorHAnsi" w:hAnsiTheme="minorHAnsi" w:cstheme="minorHAnsi"/>
          <w:i/>
          <w:sz w:val="24"/>
          <w:szCs w:val="24"/>
        </w:rPr>
        <w:t>International Journal of Behavioral Nutrition and Physical Activity, 7</w:t>
      </w:r>
      <w:r w:rsidRPr="0051709F">
        <w:rPr>
          <w:rFonts w:asciiTheme="minorHAnsi" w:hAnsiTheme="minorHAnsi" w:cstheme="minorHAnsi"/>
          <w:sz w:val="24"/>
          <w:szCs w:val="24"/>
        </w:rPr>
        <w:t xml:space="preserve">, 68. </w:t>
      </w:r>
    </w:p>
    <w:p w14:paraId="3A387F21"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Wechsler, H., Devereaux, A. B., Davis, M., y Collins, J. (2000). Using the schoolenvironment to promote physical activity and healthy eating. </w:t>
      </w:r>
      <w:r w:rsidRPr="0051709F">
        <w:rPr>
          <w:rFonts w:asciiTheme="minorHAnsi" w:hAnsiTheme="minorHAnsi" w:cstheme="minorHAnsi"/>
          <w:i/>
          <w:sz w:val="24"/>
          <w:szCs w:val="24"/>
        </w:rPr>
        <w:t>Preventive Medicine, 31</w:t>
      </w:r>
      <w:r w:rsidRPr="0051709F">
        <w:rPr>
          <w:rFonts w:asciiTheme="minorHAnsi" w:hAnsiTheme="minorHAnsi" w:cstheme="minorHAnsi"/>
          <w:sz w:val="24"/>
          <w:szCs w:val="24"/>
        </w:rPr>
        <w:t>, S121-S37.</w:t>
      </w:r>
    </w:p>
    <w:p w14:paraId="2471FA38"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Welk, G. J., Wood, K., y Morss, G. (2003). Parental influences on physical activity in children: an exploration of potential mechanisms. </w:t>
      </w:r>
      <w:r w:rsidRPr="0051709F">
        <w:rPr>
          <w:rFonts w:asciiTheme="minorHAnsi" w:hAnsiTheme="minorHAnsi" w:cstheme="minorHAnsi"/>
          <w:i/>
          <w:sz w:val="24"/>
          <w:szCs w:val="24"/>
        </w:rPr>
        <w:t>Pediatric Exercise Science, 15</w:t>
      </w:r>
      <w:r w:rsidRPr="0051709F">
        <w:rPr>
          <w:rFonts w:asciiTheme="minorHAnsi" w:hAnsiTheme="minorHAnsi" w:cstheme="minorHAnsi"/>
          <w:sz w:val="24"/>
          <w:szCs w:val="24"/>
        </w:rPr>
        <w:t>, 19–33.</w:t>
      </w:r>
    </w:p>
    <w:p w14:paraId="64F0CA69"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Whiting, S., Mendes, R., Morais, S., Gelius, P., Abu-Omar, K., Nash, L. . . ., &amp; Breda, J. (2021). Promoting health-enhancing physical activity in Europe: surveillance, policy development and implementation 2015–2018. </w:t>
      </w:r>
      <w:r w:rsidRPr="0051709F">
        <w:rPr>
          <w:rFonts w:asciiTheme="minorHAnsi" w:hAnsiTheme="minorHAnsi" w:cstheme="minorHAnsi"/>
          <w:i/>
          <w:iCs/>
          <w:noProof/>
          <w:sz w:val="24"/>
          <w:szCs w:val="24"/>
        </w:rPr>
        <w:t>Health Policy</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125</w:t>
      </w:r>
      <w:r w:rsidRPr="0051709F">
        <w:rPr>
          <w:rFonts w:asciiTheme="minorHAnsi" w:hAnsiTheme="minorHAnsi" w:cstheme="minorHAnsi"/>
          <w:noProof/>
          <w:sz w:val="24"/>
          <w:szCs w:val="24"/>
        </w:rPr>
        <w:t>(8), 1023-1030. https://doi.org/https://doi.org/10.1016/j.healthpol.2021.05.011</w:t>
      </w:r>
    </w:p>
    <w:p w14:paraId="6D64B623" w14:textId="77777777" w:rsidR="00BA190E" w:rsidRPr="0051709F" w:rsidRDefault="00BA190E" w:rsidP="00E6399B">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Williams, G. C., McGregor, H. A., Sharp, D., Levesque, C., Kouides, R. W., Ryan, R. M. et al. (2006). Testing a self-determination theory intervention for motivating tobacco cessation: supporting autonomy and competence in a clinical trial. </w:t>
      </w:r>
      <w:r w:rsidRPr="0051709F">
        <w:rPr>
          <w:rFonts w:asciiTheme="minorHAnsi" w:hAnsiTheme="minorHAnsi" w:cstheme="minorHAnsi"/>
          <w:i/>
          <w:iCs/>
          <w:sz w:val="24"/>
          <w:szCs w:val="24"/>
          <w:shd w:val="clear" w:color="auto" w:fill="FFFFFF"/>
        </w:rPr>
        <w:t>Health Psychology.</w:t>
      </w:r>
      <w:r w:rsidRPr="0051709F">
        <w:rPr>
          <w:rFonts w:asciiTheme="minorHAnsi" w:hAnsiTheme="minorHAnsi" w:cstheme="minorHAnsi"/>
          <w:sz w:val="24"/>
          <w:szCs w:val="24"/>
          <w:shd w:val="clear" w:color="auto" w:fill="FFFFFF"/>
        </w:rPr>
        <w:t> </w:t>
      </w:r>
      <w:hyperlink r:id="rId134" w:history="1">
        <w:r w:rsidRPr="0051709F">
          <w:rPr>
            <w:rStyle w:val="Hipervnculo"/>
            <w:rFonts w:asciiTheme="minorHAnsi" w:hAnsiTheme="minorHAnsi" w:cstheme="minorHAnsi"/>
            <w:color w:val="auto"/>
            <w:sz w:val="24"/>
            <w:szCs w:val="24"/>
            <w:shd w:val="clear" w:color="auto" w:fill="FFFFFF"/>
          </w:rPr>
          <w:t>https://doi.org/10.1037/0278-6133.25.1.91</w:t>
        </w:r>
      </w:hyperlink>
      <w:r w:rsidRPr="0051709F">
        <w:rPr>
          <w:rFonts w:asciiTheme="minorHAnsi" w:hAnsiTheme="minorHAnsi" w:cstheme="minorHAnsi"/>
          <w:sz w:val="24"/>
          <w:szCs w:val="24"/>
          <w:shd w:val="clear" w:color="auto" w:fill="FFFFFF"/>
        </w:rPr>
        <w:t>.</w:t>
      </w:r>
    </w:p>
    <w:p w14:paraId="4BAC47B6"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Williams, S. L., y French, D. P. (2011). What are the most effective intervention techniques for changing physical activity self-efficacy and physical activity behaviour and are they the same? </w:t>
      </w:r>
      <w:r w:rsidRPr="0051709F">
        <w:rPr>
          <w:rFonts w:asciiTheme="minorHAnsi" w:hAnsiTheme="minorHAnsi" w:cstheme="minorHAnsi"/>
          <w:i/>
          <w:sz w:val="24"/>
          <w:szCs w:val="24"/>
        </w:rPr>
        <w:t>Health Education Research, 26(2),</w:t>
      </w:r>
      <w:r w:rsidRPr="0051709F">
        <w:rPr>
          <w:rFonts w:asciiTheme="minorHAnsi" w:hAnsiTheme="minorHAnsi" w:cstheme="minorHAnsi"/>
          <w:sz w:val="24"/>
          <w:szCs w:val="24"/>
        </w:rPr>
        <w:t xml:space="preserve"> 308-22.</w:t>
      </w:r>
    </w:p>
    <w:p w14:paraId="04921210"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Woods, C., Kelly, L., Volf, K., Gelius, P., Messing, S., Forberger, S., Lakerveld, J., den Braver, N., Zukowska, J., &amp; García, E. (2022). The Physical Activity Environment Policy Index for monitoring government policies and actions to </w:t>
      </w:r>
      <w:r w:rsidRPr="0051709F">
        <w:rPr>
          <w:rFonts w:asciiTheme="minorHAnsi" w:hAnsiTheme="minorHAnsi" w:cstheme="minorHAnsi"/>
          <w:noProof/>
          <w:sz w:val="24"/>
          <w:szCs w:val="24"/>
        </w:rPr>
        <w:lastRenderedPageBreak/>
        <w:t xml:space="preserve">improve physical activity. </w:t>
      </w:r>
      <w:r w:rsidRPr="0051709F">
        <w:rPr>
          <w:rFonts w:asciiTheme="minorHAnsi" w:hAnsiTheme="minorHAnsi" w:cstheme="minorHAnsi"/>
          <w:i/>
          <w:iCs/>
          <w:noProof/>
          <w:sz w:val="24"/>
          <w:szCs w:val="24"/>
        </w:rPr>
        <w:t>European Journal of Public Health</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32</w:t>
      </w:r>
      <w:r w:rsidRPr="0051709F">
        <w:rPr>
          <w:rFonts w:asciiTheme="minorHAnsi" w:hAnsiTheme="minorHAnsi" w:cstheme="minorHAnsi"/>
          <w:noProof/>
          <w:sz w:val="24"/>
          <w:szCs w:val="24"/>
        </w:rPr>
        <w:t>(4), iv50–iv58. https://doi.org/https://doi.org/10.1093/eurpub/ckac062</w:t>
      </w:r>
    </w:p>
    <w:p w14:paraId="5E9E8764" w14:textId="77777777" w:rsidR="00482DA9" w:rsidRPr="0051709F" w:rsidRDefault="00482DA9"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Assembly, WHOA. (1998). </w:t>
      </w:r>
      <w:r w:rsidRPr="0051709F">
        <w:rPr>
          <w:rFonts w:asciiTheme="minorHAnsi" w:hAnsiTheme="minorHAnsi" w:cstheme="minorHAnsi"/>
          <w:i/>
          <w:iCs/>
          <w:sz w:val="24"/>
          <w:szCs w:val="24"/>
          <w:lang w:val="en-US"/>
        </w:rPr>
        <w:t>WHA51.18: Noncommunicable disease prevention and control. Resolution.</w:t>
      </w:r>
      <w:r w:rsidRPr="0051709F">
        <w:rPr>
          <w:rFonts w:asciiTheme="minorHAnsi" w:hAnsiTheme="minorHAnsi" w:cstheme="minorHAnsi"/>
          <w:sz w:val="24"/>
          <w:szCs w:val="24"/>
          <w:lang w:val="en-US"/>
        </w:rPr>
        <w:t xml:space="preserve"> (No. Agenda item 13.18). Fifty-fifth World Health Assembly. Geneva: World Health Organization, WHO. Retrieved from World Health Organization, WHO website: https://apps.who.int/gb/ebwha/pdf_files/WHA55/ewha5523.pdf</w:t>
      </w:r>
    </w:p>
    <w:p w14:paraId="26C5D5E0" w14:textId="77777777" w:rsidR="00482DA9" w:rsidRPr="0051709F" w:rsidRDefault="00482DA9"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Assembly, WHO. (2002). </w:t>
      </w:r>
      <w:r w:rsidRPr="0051709F">
        <w:rPr>
          <w:rFonts w:asciiTheme="minorHAnsi" w:hAnsiTheme="minorHAnsi" w:cstheme="minorHAnsi"/>
          <w:i/>
          <w:iCs/>
          <w:sz w:val="24"/>
          <w:szCs w:val="24"/>
          <w:lang w:val="en-US"/>
        </w:rPr>
        <w:t>WHA55.23: Diet, physical activity and health. Resolution.</w:t>
      </w:r>
      <w:r w:rsidRPr="0051709F">
        <w:rPr>
          <w:rFonts w:asciiTheme="minorHAnsi" w:hAnsiTheme="minorHAnsi" w:cstheme="minorHAnsi"/>
          <w:sz w:val="24"/>
          <w:szCs w:val="24"/>
          <w:lang w:val="en-US"/>
        </w:rPr>
        <w:t xml:space="preserve"> (No. Agenda item 13.11). Fifty-fifth World Health Assembly. Geneva: World Health Organization. Retrieved from World Health Organization website: https://apps.who.int/gb/ebwha/pdf_files/WHA55/ewha5523.pdf</w:t>
      </w:r>
    </w:p>
    <w:p w14:paraId="7E788264" w14:textId="77777777" w:rsidR="00BA190E" w:rsidRPr="0051709F" w:rsidRDefault="00BA190E" w:rsidP="00E6399B">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World Health Organization (2002). </w:t>
      </w:r>
      <w:r w:rsidRPr="0051709F">
        <w:rPr>
          <w:rFonts w:asciiTheme="minorHAnsi" w:hAnsiTheme="minorHAnsi" w:cstheme="minorHAnsi"/>
          <w:i/>
          <w:sz w:val="24"/>
          <w:szCs w:val="24"/>
        </w:rPr>
        <w:t>World Health Report.</w:t>
      </w:r>
      <w:r w:rsidRPr="0051709F">
        <w:rPr>
          <w:rFonts w:asciiTheme="minorHAnsi" w:hAnsiTheme="minorHAnsi" w:cstheme="minorHAnsi"/>
          <w:sz w:val="24"/>
          <w:szCs w:val="24"/>
        </w:rPr>
        <w:t xml:space="preserve"> Geneva: World Health Organization.</w:t>
      </w:r>
    </w:p>
    <w:p w14:paraId="12DEC88E" w14:textId="09D7A106" w:rsidR="000C66BC" w:rsidRPr="0051709F"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w:t>
      </w:r>
      <w:r w:rsidR="00BA190E" w:rsidRPr="0051709F">
        <w:rPr>
          <w:rFonts w:asciiTheme="minorHAnsi" w:hAnsiTheme="minorHAnsi" w:cstheme="minorHAnsi"/>
          <w:noProof/>
          <w:sz w:val="24"/>
          <w:szCs w:val="24"/>
        </w:rPr>
        <w:t xml:space="preserve"> (2002)</w:t>
      </w:r>
      <w:r w:rsidRPr="0051709F">
        <w:rPr>
          <w:rFonts w:asciiTheme="minorHAnsi" w:hAnsiTheme="minorHAnsi" w:cstheme="minorHAnsi"/>
          <w:noProof/>
          <w:sz w:val="24"/>
          <w:szCs w:val="24"/>
        </w:rPr>
        <w:t>. WHA55.23: Diet, physical activity and health. Resolution. Ge</w:t>
      </w:r>
      <w:r w:rsidR="00BA190E" w:rsidRPr="0051709F">
        <w:rPr>
          <w:rFonts w:asciiTheme="minorHAnsi" w:hAnsiTheme="minorHAnsi" w:cstheme="minorHAnsi"/>
          <w:noProof/>
          <w:sz w:val="24"/>
          <w:szCs w:val="24"/>
        </w:rPr>
        <w:t>neva: World Health Organization</w:t>
      </w:r>
      <w:r w:rsidRPr="0051709F">
        <w:rPr>
          <w:rFonts w:asciiTheme="minorHAnsi" w:hAnsiTheme="minorHAnsi" w:cstheme="minorHAnsi"/>
          <w:noProof/>
          <w:sz w:val="24"/>
          <w:szCs w:val="24"/>
        </w:rPr>
        <w:t>.</w:t>
      </w:r>
    </w:p>
    <w:p w14:paraId="05F71A92" w14:textId="4A9B7546" w:rsidR="000C66BC" w:rsidRPr="0051709F" w:rsidRDefault="000C66BC"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w:t>
      </w:r>
      <w:r w:rsidR="006A7B3D" w:rsidRPr="0051709F">
        <w:rPr>
          <w:rFonts w:asciiTheme="minorHAnsi" w:hAnsiTheme="minorHAnsi" w:cstheme="minorHAnsi"/>
          <w:noProof/>
          <w:sz w:val="24"/>
          <w:szCs w:val="24"/>
        </w:rPr>
        <w:t xml:space="preserve"> (2004)</w:t>
      </w:r>
      <w:r w:rsidRPr="0051709F">
        <w:rPr>
          <w:rFonts w:asciiTheme="minorHAnsi" w:hAnsiTheme="minorHAnsi" w:cstheme="minorHAnsi"/>
          <w:noProof/>
          <w:sz w:val="24"/>
          <w:szCs w:val="24"/>
        </w:rPr>
        <w:t>. Global strategy on diet, physical activity and health. Ge</w:t>
      </w:r>
      <w:r w:rsidR="006A7B3D" w:rsidRPr="0051709F">
        <w:rPr>
          <w:rFonts w:asciiTheme="minorHAnsi" w:hAnsiTheme="minorHAnsi" w:cstheme="minorHAnsi"/>
          <w:noProof/>
          <w:sz w:val="24"/>
          <w:szCs w:val="24"/>
        </w:rPr>
        <w:t>neva: World Health Organization</w:t>
      </w:r>
      <w:r w:rsidRPr="0051709F">
        <w:rPr>
          <w:rFonts w:asciiTheme="minorHAnsi" w:hAnsiTheme="minorHAnsi" w:cstheme="minorHAnsi"/>
          <w:noProof/>
          <w:sz w:val="24"/>
          <w:szCs w:val="24"/>
        </w:rPr>
        <w:t>.</w:t>
      </w:r>
    </w:p>
    <w:p w14:paraId="29C930BF" w14:textId="77777777" w:rsidR="00CE5BB3" w:rsidRPr="0051709F" w:rsidRDefault="00CE5BB3" w:rsidP="00E6399B">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WHO. (2010). Global recommendations on physical activity for health. </w:t>
      </w:r>
      <w:r w:rsidRPr="0051709F">
        <w:rPr>
          <w:rFonts w:asciiTheme="minorHAnsi" w:hAnsiTheme="minorHAnsi" w:cstheme="minorHAnsi"/>
          <w:i/>
          <w:iCs/>
          <w:sz w:val="24"/>
          <w:szCs w:val="24"/>
          <w:lang w:val="en-US"/>
        </w:rPr>
        <w:t>Recommandations Mondiales Sur l’activité Physique Pour La Santé</w:t>
      </w:r>
      <w:r w:rsidRPr="0051709F">
        <w:rPr>
          <w:rFonts w:asciiTheme="minorHAnsi" w:hAnsiTheme="minorHAnsi" w:cstheme="minorHAnsi"/>
          <w:sz w:val="24"/>
          <w:szCs w:val="24"/>
          <w:lang w:val="en-US"/>
        </w:rPr>
        <w:t>, 58.</w:t>
      </w:r>
    </w:p>
    <w:p w14:paraId="608417C8" w14:textId="4B816500" w:rsidR="006A7B3D" w:rsidRPr="0051709F" w:rsidRDefault="006A7B3D"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(2013). Vienna declaration on nutrition and noncommunicable diseases in the context of health 2020. </w:t>
      </w:r>
      <w:r w:rsidRPr="0051709F">
        <w:rPr>
          <w:rFonts w:asciiTheme="minorHAnsi" w:hAnsiTheme="minorHAnsi" w:cstheme="minorHAnsi"/>
          <w:i/>
          <w:iCs/>
          <w:noProof/>
          <w:sz w:val="24"/>
          <w:szCs w:val="24"/>
        </w:rPr>
        <w:t>WHO Ministerial Conference on Nutrition and Noncommunicable Diseases in the Context of Health 2020</w:t>
      </w:r>
      <w:r w:rsidRPr="0051709F">
        <w:rPr>
          <w:rFonts w:asciiTheme="minorHAnsi" w:hAnsiTheme="minorHAnsi" w:cstheme="minorHAnsi"/>
          <w:noProof/>
          <w:sz w:val="24"/>
          <w:szCs w:val="24"/>
        </w:rPr>
        <w:t>, 1–6. https://apps.who.int/iris/bitstream/handle/10665/350439/WHO-EURO-2013-4439-44202-62417-eng.pdf?sequence=1</w:t>
      </w:r>
    </w:p>
    <w:p w14:paraId="571AE615" w14:textId="77777777" w:rsidR="007A55EF" w:rsidRPr="0051709F" w:rsidRDefault="007A55EF"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(2013). Global action plan for the prevention and control of noncommunicable diseases 2013-2020. Geneva, 2013.</w:t>
      </w:r>
    </w:p>
    <w:p w14:paraId="72CBA336" w14:textId="73C31798"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(2018). </w:t>
      </w:r>
      <w:r w:rsidRPr="0051709F">
        <w:rPr>
          <w:rFonts w:asciiTheme="minorHAnsi" w:hAnsiTheme="minorHAnsi" w:cstheme="minorHAnsi"/>
          <w:i/>
          <w:iCs/>
          <w:noProof/>
          <w:sz w:val="24"/>
          <w:szCs w:val="24"/>
        </w:rPr>
        <w:t>Global action plan on physical activity 2018-2030: more active people for a healthier world.</w:t>
      </w:r>
      <w:r w:rsidRPr="0051709F">
        <w:rPr>
          <w:rFonts w:asciiTheme="minorHAnsi" w:hAnsiTheme="minorHAnsi" w:cstheme="minorHAnsi"/>
          <w:noProof/>
          <w:sz w:val="24"/>
          <w:szCs w:val="24"/>
        </w:rPr>
        <w:t xml:space="preserve"> World Health Organization. https://apps.who.int/iris/handle/10665/272722</w:t>
      </w:r>
    </w:p>
    <w:p w14:paraId="26E41DCA"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(2020). </w:t>
      </w:r>
      <w:r w:rsidRPr="0051709F">
        <w:rPr>
          <w:rFonts w:asciiTheme="minorHAnsi" w:eastAsia="Times New Roman" w:hAnsiTheme="minorHAnsi" w:cstheme="minorHAnsi"/>
          <w:i/>
          <w:iCs/>
          <w:sz w:val="24"/>
          <w:szCs w:val="24"/>
        </w:rPr>
        <w:t>WHO guidelines on physical activity and sedentary behaviour.</w:t>
      </w:r>
    </w:p>
    <w:p w14:paraId="09413FB0" w14:textId="77777777" w:rsidR="00F63AB7" w:rsidRPr="0051709F" w:rsidRDefault="00F63AB7"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(2021). </w:t>
      </w:r>
      <w:r w:rsidRPr="0051709F">
        <w:rPr>
          <w:rFonts w:asciiTheme="minorHAnsi" w:hAnsiTheme="minorHAnsi" w:cstheme="minorHAnsi"/>
          <w:i/>
          <w:iCs/>
          <w:noProof/>
          <w:sz w:val="24"/>
          <w:szCs w:val="24"/>
        </w:rPr>
        <w:t>2021 physical activity factsheets for the European Union member dtates in the WHO European region</w:t>
      </w:r>
      <w:r w:rsidRPr="0051709F">
        <w:rPr>
          <w:rFonts w:asciiTheme="minorHAnsi" w:hAnsiTheme="minorHAnsi" w:cstheme="minorHAnsi"/>
          <w:noProof/>
          <w:sz w:val="24"/>
          <w:szCs w:val="24"/>
        </w:rPr>
        <w:t>. WHO Regional Office for Europe.</w:t>
      </w:r>
    </w:p>
    <w:p w14:paraId="5EA4C572" w14:textId="72378160" w:rsidR="006A7B3D" w:rsidRPr="0051709F" w:rsidRDefault="006A7B3D" w:rsidP="00E6399B">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(2020)</w:t>
      </w:r>
      <w:r w:rsidRPr="0051709F">
        <w:rPr>
          <w:rFonts w:asciiTheme="minorHAnsi" w:hAnsiTheme="minorHAnsi" w:cstheme="minorHAnsi"/>
          <w:color w:val="000000"/>
          <w:sz w:val="24"/>
          <w:szCs w:val="24"/>
        </w:rPr>
        <w:t>.</w:t>
      </w:r>
      <w:r w:rsidRPr="0051709F">
        <w:rPr>
          <w:rFonts w:asciiTheme="minorHAnsi" w:hAnsiTheme="minorHAnsi" w:cstheme="minorHAnsi"/>
          <w:color w:val="000000" w:themeColor="text1"/>
          <w:sz w:val="24"/>
          <w:szCs w:val="24"/>
          <w:lang w:val="en-GB"/>
        </w:rPr>
        <w:t xml:space="preserve"> </w:t>
      </w:r>
      <w:r w:rsidRPr="0051709F">
        <w:rPr>
          <w:rFonts w:asciiTheme="minorHAnsi" w:hAnsiTheme="minorHAnsi" w:cstheme="minorHAnsi"/>
          <w:color w:val="000000" w:themeColor="text1"/>
          <w:sz w:val="24"/>
          <w:szCs w:val="24"/>
        </w:rPr>
        <w:t xml:space="preserve">The impact of the COVID-19 pandemic on noncommunicable disease resources and services: results of a rapid assessment. Geneva: World Health Organization, </w:t>
      </w:r>
      <w:hyperlink r:id="rId135" w:history="1">
        <w:r w:rsidRPr="0051709F">
          <w:rPr>
            <w:rStyle w:val="Hipervnculo"/>
            <w:rFonts w:asciiTheme="minorHAnsi" w:hAnsiTheme="minorHAnsi" w:cstheme="minorHAnsi"/>
            <w:sz w:val="24"/>
            <w:szCs w:val="24"/>
          </w:rPr>
          <w:t>https://www.who.int/publications/i/item/9789240010291</w:t>
        </w:r>
      </w:hyperlink>
    </w:p>
    <w:p w14:paraId="14A8BE37" w14:textId="77777777" w:rsidR="00BA190E" w:rsidRPr="0051709F" w:rsidRDefault="006A7B3D"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noProof/>
          <w:sz w:val="24"/>
          <w:szCs w:val="24"/>
          <w:lang w:val="en-US"/>
        </w:rPr>
        <w:t>World Health Organization (2021)</w:t>
      </w:r>
      <w:r w:rsidRPr="0051709F">
        <w:rPr>
          <w:rFonts w:asciiTheme="minorHAnsi" w:hAnsiTheme="minorHAnsi" w:cstheme="minorHAnsi"/>
          <w:color w:val="000000"/>
          <w:sz w:val="24"/>
          <w:szCs w:val="24"/>
          <w:lang w:val="en-US"/>
        </w:rPr>
        <w:t xml:space="preserve">. Saving lives, spending less: the case for investing in noncommunicable diseases. Geneva: World Health Organization, </w:t>
      </w:r>
      <w:hyperlink r:id="rId136" w:history="1">
        <w:r w:rsidRPr="0051709F">
          <w:rPr>
            <w:rStyle w:val="Hipervnculo"/>
            <w:rFonts w:asciiTheme="minorHAnsi" w:eastAsiaTheme="majorEastAsia" w:hAnsiTheme="minorHAnsi" w:cstheme="minorHAnsi"/>
            <w:sz w:val="24"/>
            <w:szCs w:val="24"/>
          </w:rPr>
          <w:t>https://apps.who.int/iris/handle/10665/350449</w:t>
        </w:r>
      </w:hyperlink>
      <w:r w:rsidRPr="0051709F">
        <w:rPr>
          <w:rFonts w:asciiTheme="minorHAnsi" w:hAnsiTheme="minorHAnsi" w:cstheme="minorHAnsi"/>
          <w:color w:val="000000"/>
          <w:sz w:val="24"/>
          <w:szCs w:val="24"/>
          <w:lang w:val="en-US"/>
        </w:rPr>
        <w:t xml:space="preserve"> </w:t>
      </w:r>
      <w:r w:rsidR="00BA190E" w:rsidRPr="0051709F">
        <w:rPr>
          <w:rFonts w:asciiTheme="minorHAnsi" w:hAnsiTheme="minorHAnsi" w:cstheme="minorHAnsi"/>
          <w:color w:val="000000"/>
          <w:sz w:val="24"/>
          <w:szCs w:val="24"/>
          <w:lang w:val="en-US"/>
        </w:rPr>
        <w:t xml:space="preserve"> </w:t>
      </w:r>
    </w:p>
    <w:p w14:paraId="534FC110"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(2022a). </w:t>
      </w:r>
      <w:r w:rsidRPr="0051709F">
        <w:rPr>
          <w:rFonts w:asciiTheme="minorHAnsi" w:eastAsia="Times New Roman" w:hAnsiTheme="minorHAnsi" w:cstheme="minorHAnsi"/>
          <w:i/>
          <w:iCs/>
          <w:sz w:val="24"/>
          <w:szCs w:val="24"/>
        </w:rPr>
        <w:t>Global status report on physical activity 2022: country profiles.</w:t>
      </w:r>
    </w:p>
    <w:p w14:paraId="35AE61D3"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lastRenderedPageBreak/>
        <w:t xml:space="preserve">World Health Organization. (2022b). </w:t>
      </w:r>
      <w:r w:rsidRPr="0051709F">
        <w:rPr>
          <w:rFonts w:asciiTheme="minorHAnsi" w:eastAsia="Times New Roman" w:hAnsiTheme="minorHAnsi" w:cstheme="minorHAnsi"/>
          <w:i/>
          <w:iCs/>
          <w:sz w:val="24"/>
          <w:szCs w:val="24"/>
        </w:rPr>
        <w:t>Physical activity and sedentary behaviour: a brief to support older people</w:t>
      </w:r>
      <w:r w:rsidRPr="0051709F">
        <w:rPr>
          <w:rFonts w:asciiTheme="minorHAnsi" w:eastAsia="Times New Roman" w:hAnsiTheme="minorHAnsi" w:cstheme="minorHAnsi"/>
          <w:sz w:val="24"/>
          <w:szCs w:val="24"/>
        </w:rPr>
        <w:t>.</w:t>
      </w:r>
    </w:p>
    <w:p w14:paraId="133B0CFC"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(2022c). </w:t>
      </w:r>
      <w:r w:rsidRPr="0051709F">
        <w:rPr>
          <w:rFonts w:asciiTheme="minorHAnsi" w:eastAsia="Times New Roman" w:hAnsiTheme="minorHAnsi" w:cstheme="minorHAnsi"/>
          <w:i/>
          <w:iCs/>
          <w:sz w:val="24"/>
          <w:szCs w:val="24"/>
        </w:rPr>
        <w:t>Physical activity and sedentary behaviour: a brief to support people living with type 2 diabetes</w:t>
      </w:r>
      <w:r w:rsidRPr="0051709F">
        <w:rPr>
          <w:rFonts w:asciiTheme="minorHAnsi" w:eastAsia="Times New Roman" w:hAnsiTheme="minorHAnsi" w:cstheme="minorHAnsi"/>
          <w:sz w:val="24"/>
          <w:szCs w:val="24"/>
        </w:rPr>
        <w:t>.</w:t>
      </w:r>
    </w:p>
    <w:p w14:paraId="67FABAD1" w14:textId="77777777" w:rsidR="00A7434C" w:rsidRPr="0051709F" w:rsidRDefault="00A7434C" w:rsidP="00E6399B">
      <w:pPr>
        <w:pStyle w:val="Prrafodelista"/>
        <w:numPr>
          <w:ilvl w:val="0"/>
          <w:numId w:val="78"/>
        </w:numPr>
        <w:autoSpaceDE w:val="0"/>
        <w:autoSpaceDN w:val="0"/>
        <w:jc w:val="both"/>
        <w:rPr>
          <w:rFonts w:asciiTheme="minorHAnsi" w:eastAsia="Times New Roman" w:hAnsiTheme="minorHAnsi" w:cstheme="minorHAnsi"/>
          <w:sz w:val="24"/>
          <w:szCs w:val="24"/>
        </w:rPr>
      </w:pPr>
      <w:r w:rsidRPr="00C13402">
        <w:rPr>
          <w:rFonts w:asciiTheme="minorHAnsi" w:eastAsia="Times New Roman" w:hAnsiTheme="minorHAnsi" w:cstheme="minorHAnsi"/>
          <w:sz w:val="24"/>
          <w:szCs w:val="24"/>
        </w:rPr>
        <w:t xml:space="preserve">Wu, X. Y., Han, L. H., Zhang, J. H., Luo, S., Hu, J. W., &amp; Sun, K. (2017). </w:t>
      </w:r>
      <w:r w:rsidRPr="0051709F">
        <w:rPr>
          <w:rFonts w:asciiTheme="minorHAnsi" w:eastAsia="Times New Roman" w:hAnsiTheme="minorHAnsi" w:cstheme="minorHAnsi"/>
          <w:sz w:val="24"/>
          <w:szCs w:val="24"/>
        </w:rPr>
        <w:t xml:space="preserve">The influence of physical activity, sedentary behavior on health-related quality of life among the general population of children and adolescents: A systematic review. </w:t>
      </w:r>
      <w:r w:rsidRPr="0051709F">
        <w:rPr>
          <w:rFonts w:asciiTheme="minorHAnsi" w:eastAsia="Times New Roman" w:hAnsiTheme="minorHAnsi" w:cstheme="minorHAnsi"/>
          <w:i/>
          <w:iCs/>
          <w:sz w:val="24"/>
          <w:szCs w:val="24"/>
        </w:rPr>
        <w:t>PLoS ONE</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12</w:t>
      </w:r>
      <w:r w:rsidRPr="0051709F">
        <w:rPr>
          <w:rFonts w:asciiTheme="minorHAnsi" w:eastAsia="Times New Roman" w:hAnsiTheme="minorHAnsi" w:cstheme="minorHAnsi"/>
          <w:sz w:val="24"/>
          <w:szCs w:val="24"/>
        </w:rPr>
        <w:t>(11). https://doi.org/10.1371/journal.pone.0187668</w:t>
      </w:r>
    </w:p>
    <w:p w14:paraId="0E622A08" w14:textId="77777777" w:rsidR="007A55EF" w:rsidRPr="0051709F" w:rsidRDefault="007A55EF" w:rsidP="00E6399B">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Young DR, Hivert MF, Alhassan S, et al. Sedentary behavior and cardiovascular mor- bidity and mortality: a science advisory from the American Heart Association. Circulation 2016;134(13):e262-e279. </w:t>
      </w:r>
    </w:p>
    <w:p w14:paraId="3D8EB8EF" w14:textId="77777777" w:rsidR="00A4777B" w:rsidRPr="0051709F" w:rsidRDefault="00BA190E"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sz w:val="24"/>
          <w:szCs w:val="24"/>
          <w:lang w:val="en-US"/>
        </w:rPr>
        <w:t xml:space="preserve">Zask, A., Van Beurden, E., Barnett, L., Brooks, L.O., y Dietrich, U.C. (2001). Active school playgrounds: myth or reality? Results of the “Move it Grove it” project. </w:t>
      </w:r>
      <w:r w:rsidRPr="0051709F">
        <w:rPr>
          <w:rFonts w:asciiTheme="minorHAnsi" w:hAnsiTheme="minorHAnsi" w:cstheme="minorHAnsi"/>
          <w:i/>
          <w:color w:val="000000"/>
          <w:sz w:val="24"/>
          <w:szCs w:val="24"/>
          <w:lang w:val="en-US"/>
        </w:rPr>
        <w:t>Preventive Medicine, 33(</w:t>
      </w:r>
      <w:r w:rsidRPr="0051709F">
        <w:rPr>
          <w:rFonts w:asciiTheme="minorHAnsi" w:hAnsiTheme="minorHAnsi" w:cstheme="minorHAnsi"/>
          <w:color w:val="000000"/>
          <w:sz w:val="24"/>
          <w:szCs w:val="24"/>
          <w:lang w:val="en-US"/>
        </w:rPr>
        <w:t>5), 402-408.</w:t>
      </w:r>
      <w:r w:rsidR="00A4777B" w:rsidRPr="0051709F">
        <w:rPr>
          <w:rFonts w:asciiTheme="minorHAnsi" w:hAnsiTheme="minorHAnsi" w:cstheme="minorHAnsi"/>
          <w:sz w:val="24"/>
          <w:szCs w:val="24"/>
        </w:rPr>
        <w:t xml:space="preserve"> </w:t>
      </w:r>
    </w:p>
    <w:p w14:paraId="16352795" w14:textId="7114463C" w:rsidR="005F46AB" w:rsidRPr="0051709F" w:rsidRDefault="00A4777B" w:rsidP="00E6399B">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sz w:val="24"/>
          <w:szCs w:val="24"/>
          <w:lang w:val="en-US"/>
        </w:rPr>
        <w:t xml:space="preserve">Zhou, S., Davison, K., Qin, F., Lin, K. F., Chow, B. C., &amp; Zhao, J. X. (2019). The roles of exercise professionals in the health care system: A comparison between Australia and China. </w:t>
      </w:r>
      <w:r w:rsidRPr="0051709F">
        <w:rPr>
          <w:rFonts w:asciiTheme="minorHAnsi" w:hAnsiTheme="minorHAnsi" w:cstheme="minorHAnsi"/>
          <w:i/>
          <w:color w:val="000000"/>
          <w:sz w:val="24"/>
          <w:szCs w:val="24"/>
          <w:lang w:val="en-US"/>
        </w:rPr>
        <w:t>J Exerc Sci Fit, 17</w:t>
      </w:r>
      <w:r w:rsidRPr="0051709F">
        <w:rPr>
          <w:rFonts w:asciiTheme="minorHAnsi" w:hAnsiTheme="minorHAnsi" w:cstheme="minorHAnsi"/>
          <w:color w:val="000000"/>
          <w:sz w:val="24"/>
          <w:szCs w:val="24"/>
          <w:lang w:val="en-US"/>
        </w:rPr>
        <w:t>(3), 81-90. doi:10.1016/j.jesf.2019.04.001</w:t>
      </w:r>
      <w:r w:rsidR="006A7B3D" w:rsidRPr="0051709F">
        <w:rPr>
          <w:rFonts w:asciiTheme="minorHAnsi" w:hAnsiTheme="minorHAnsi" w:cstheme="minorHAnsi"/>
          <w:color w:val="000000" w:themeColor="text1"/>
          <w:sz w:val="24"/>
          <w:szCs w:val="24"/>
          <w:lang w:val="en-US"/>
        </w:rPr>
        <w:t xml:space="preserve"> </w:t>
      </w:r>
      <w:r w:rsidR="005F46AB" w:rsidRPr="0051709F">
        <w:rPr>
          <w:rFonts w:asciiTheme="minorHAnsi" w:hAnsiTheme="minorHAnsi" w:cstheme="minorHAnsi"/>
          <w:sz w:val="24"/>
          <w:szCs w:val="24"/>
          <w:lang w:val="en-US"/>
        </w:rPr>
        <w:t xml:space="preserve">Zuniga-Teran, A. A., Orr, B. J., Gimblett, R. H., Chalfoun, N. V., Marsh, S. E., Guertin, D. P., &amp; Going, S. B. (2017). Designing healthy communities: Testing the walkability model. </w:t>
      </w:r>
      <w:r w:rsidR="005F46AB" w:rsidRPr="0051709F">
        <w:rPr>
          <w:rFonts w:asciiTheme="minorHAnsi" w:hAnsiTheme="minorHAnsi" w:cstheme="minorHAnsi"/>
          <w:i/>
          <w:iCs/>
          <w:sz w:val="24"/>
          <w:szCs w:val="24"/>
          <w:lang w:val="en-US"/>
        </w:rPr>
        <w:t>Frontiers of Architectural Research</w:t>
      </w:r>
      <w:r w:rsidR="005F46AB" w:rsidRPr="0051709F">
        <w:rPr>
          <w:rFonts w:asciiTheme="minorHAnsi" w:hAnsiTheme="minorHAnsi" w:cstheme="minorHAnsi"/>
          <w:sz w:val="24"/>
          <w:szCs w:val="24"/>
          <w:lang w:val="en-US"/>
        </w:rPr>
        <w:t xml:space="preserve">, </w:t>
      </w:r>
      <w:r w:rsidR="005F46AB" w:rsidRPr="0051709F">
        <w:rPr>
          <w:rFonts w:asciiTheme="minorHAnsi" w:hAnsiTheme="minorHAnsi" w:cstheme="minorHAnsi"/>
          <w:i/>
          <w:iCs/>
          <w:sz w:val="24"/>
          <w:szCs w:val="24"/>
          <w:lang w:val="en-US"/>
        </w:rPr>
        <w:t>6</w:t>
      </w:r>
      <w:r w:rsidR="005F46AB" w:rsidRPr="0051709F">
        <w:rPr>
          <w:rFonts w:asciiTheme="minorHAnsi" w:hAnsiTheme="minorHAnsi" w:cstheme="minorHAnsi"/>
          <w:sz w:val="24"/>
          <w:szCs w:val="24"/>
          <w:lang w:val="en-US"/>
        </w:rPr>
        <w:t>(1), 63–73. https://doi.org/10.1016/j.foar.2016.11.005</w:t>
      </w:r>
    </w:p>
    <w:p w14:paraId="7944B81A" w14:textId="5EFF84BD" w:rsidR="00A65EF6" w:rsidRPr="0085322A" w:rsidRDefault="005F46AB" w:rsidP="00A356E4">
      <w:pPr>
        <w:pStyle w:val="Bibliografa"/>
        <w:numPr>
          <w:ilvl w:val="0"/>
          <w:numId w:val="78"/>
        </w:numPr>
        <w:jc w:val="both"/>
        <w:rPr>
          <w:rFonts w:asciiTheme="minorHAnsi" w:hAnsiTheme="minorHAnsi" w:cstheme="minorHAnsi"/>
          <w:sz w:val="24"/>
          <w:szCs w:val="24"/>
          <w:lang w:val="en-US"/>
        </w:rPr>
      </w:pPr>
      <w:r w:rsidRPr="0085322A">
        <w:rPr>
          <w:rFonts w:asciiTheme="minorHAnsi" w:hAnsiTheme="minorHAnsi" w:cstheme="minorHAnsi"/>
          <w:sz w:val="24"/>
          <w:szCs w:val="24"/>
          <w:lang w:val="en-US"/>
        </w:rPr>
        <w:t xml:space="preserve">109 Executive Board, World Health Organization, WHOEB. (2002). </w:t>
      </w:r>
      <w:r w:rsidRPr="0085322A">
        <w:rPr>
          <w:rFonts w:asciiTheme="minorHAnsi" w:hAnsiTheme="minorHAnsi" w:cstheme="minorHAnsi"/>
          <w:i/>
          <w:iCs/>
          <w:sz w:val="24"/>
          <w:szCs w:val="24"/>
          <w:lang w:val="en-US"/>
        </w:rPr>
        <w:t>EB 109/14. Executive Board 109th session, Geneva, 14-21 January 2002: Summary records</w:t>
      </w:r>
      <w:r w:rsidRPr="0085322A">
        <w:rPr>
          <w:rFonts w:asciiTheme="minorHAnsi" w:hAnsiTheme="minorHAnsi" w:cstheme="minorHAnsi"/>
          <w:sz w:val="24"/>
          <w:szCs w:val="24"/>
          <w:lang w:val="en-US"/>
        </w:rPr>
        <w:t xml:space="preserve"> (No. EB109/2002/REC/2; pp. 78–83). Geneva: World Health Organization, WHO. Retrieved from World Health Organization, WHO website: https://apps.who.it/iris/handle/10665/259565</w:t>
      </w:r>
      <w:r w:rsidR="00F63AB7" w:rsidRPr="0085322A">
        <w:rPr>
          <w:rFonts w:asciiTheme="minorHAnsi" w:hAnsiTheme="minorHAnsi" w:cstheme="minorHAnsi"/>
          <w:sz w:val="24"/>
          <w:szCs w:val="24"/>
        </w:rPr>
        <w:fldChar w:fldCharType="end"/>
      </w:r>
    </w:p>
    <w:p w14:paraId="3F59F7C8"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sz w:val="24"/>
          <w:szCs w:val="24"/>
        </w:rPr>
        <w:fldChar w:fldCharType="begin" w:fldLock="1"/>
      </w:r>
      <w:r w:rsidRPr="0051709F">
        <w:rPr>
          <w:rFonts w:asciiTheme="minorHAnsi" w:hAnsiTheme="minorHAnsi" w:cstheme="minorHAnsi"/>
          <w:sz w:val="24"/>
          <w:szCs w:val="24"/>
        </w:rPr>
        <w:instrText xml:space="preserve">ADDIN Mendeley Bibliography CSL_BIBLIOGRAPHY </w:instrText>
      </w:r>
      <w:r w:rsidRPr="0051709F">
        <w:rPr>
          <w:rFonts w:asciiTheme="minorHAnsi" w:hAnsiTheme="minorHAnsi" w:cstheme="minorHAnsi"/>
          <w:sz w:val="24"/>
          <w:szCs w:val="24"/>
        </w:rPr>
        <w:fldChar w:fldCharType="separate"/>
      </w:r>
      <w:r w:rsidRPr="0051709F">
        <w:rPr>
          <w:rFonts w:asciiTheme="minorHAnsi" w:hAnsiTheme="minorHAnsi" w:cstheme="minorHAnsi"/>
          <w:noProof/>
          <w:sz w:val="24"/>
          <w:szCs w:val="24"/>
        </w:rPr>
        <w:t xml:space="preserve">Breda, J., Jakovljevic, J., Rathmes, G., Mendes, R., Fontaine, O., Hollmann, S. . ., &amp; Galea, G. (2018). Promoting health-enhancing physical activity in Europe: Current state of surveillance, policy development and implementation. </w:t>
      </w:r>
      <w:r w:rsidRPr="0051709F">
        <w:rPr>
          <w:rFonts w:asciiTheme="minorHAnsi" w:hAnsiTheme="minorHAnsi" w:cstheme="minorHAnsi"/>
          <w:i/>
          <w:iCs/>
          <w:noProof/>
          <w:sz w:val="24"/>
          <w:szCs w:val="24"/>
        </w:rPr>
        <w:t>Health Policy</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122</w:t>
      </w:r>
      <w:r w:rsidRPr="0051709F">
        <w:rPr>
          <w:rFonts w:asciiTheme="minorHAnsi" w:hAnsiTheme="minorHAnsi" w:cstheme="minorHAnsi"/>
          <w:noProof/>
          <w:sz w:val="24"/>
          <w:szCs w:val="24"/>
        </w:rPr>
        <w:t>(5), 519–527. https://doi.org/https://doi.org/10.1016/j.healthpol.2018.01.015</w:t>
      </w:r>
    </w:p>
    <w:p w14:paraId="79838B8B"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Brustad, R. J. (1993). Who will go out and play? parental and psychological influences on children’s attraction to physical activity. </w:t>
      </w:r>
      <w:r w:rsidRPr="0051709F">
        <w:rPr>
          <w:rFonts w:asciiTheme="minorHAnsi" w:hAnsiTheme="minorHAnsi" w:cstheme="minorHAnsi"/>
          <w:i/>
          <w:iCs/>
          <w:sz w:val="24"/>
          <w:szCs w:val="24"/>
        </w:rPr>
        <w:t>Pediatric Exercise Science, 5</w:t>
      </w:r>
      <w:r w:rsidRPr="0051709F">
        <w:rPr>
          <w:rFonts w:asciiTheme="minorHAnsi" w:hAnsiTheme="minorHAnsi" w:cstheme="minorHAnsi"/>
          <w:sz w:val="24"/>
          <w:szCs w:val="24"/>
        </w:rPr>
        <w:t>, 210-223.</w:t>
      </w:r>
    </w:p>
    <w:p w14:paraId="468D562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Brustad, R. J. (1996). Attraction to physical activity in urban schoolchildren: Parent socialization and gender influences. </w:t>
      </w:r>
      <w:r w:rsidRPr="0051709F">
        <w:rPr>
          <w:rFonts w:asciiTheme="minorHAnsi" w:hAnsiTheme="minorHAnsi" w:cstheme="minorHAnsi"/>
          <w:i/>
          <w:iCs/>
          <w:sz w:val="24"/>
          <w:szCs w:val="24"/>
        </w:rPr>
        <w:t>Research Quarterly for Exercise &amp; Sport, 67</w:t>
      </w:r>
      <w:r w:rsidRPr="0051709F">
        <w:rPr>
          <w:rFonts w:asciiTheme="minorHAnsi" w:hAnsiTheme="minorHAnsi" w:cstheme="minorHAnsi"/>
          <w:sz w:val="24"/>
          <w:szCs w:val="24"/>
        </w:rPr>
        <w:t>, 316-323.</w:t>
      </w:r>
    </w:p>
    <w:p w14:paraId="372FA76F" w14:textId="77777777" w:rsidR="00A65EF6" w:rsidRPr="0051709F" w:rsidRDefault="00A65EF6" w:rsidP="00A65EF6">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noProof/>
          <w:sz w:val="24"/>
          <w:szCs w:val="24"/>
        </w:rPr>
        <w:t xml:space="preserve">Bull F, Milton K, Kahlmeier S. Health-enhancing physical activity (HEPA) Policy Audit Tool (PAT). World Heal Organ. 2011;1–30. </w:t>
      </w:r>
    </w:p>
    <w:p w14:paraId="3A3711CF" w14:textId="77777777" w:rsidR="00A65EF6" w:rsidRPr="0051709F" w:rsidRDefault="00A65EF6" w:rsidP="00A65EF6">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n-GB"/>
        </w:rPr>
        <w:t xml:space="preserve">Bull F, Milton K, Kahlmeier S, Arlotti A, Jurican AB, Belander O, et al. </w:t>
      </w:r>
      <w:r w:rsidRPr="0051709F">
        <w:rPr>
          <w:rFonts w:asciiTheme="minorHAnsi" w:hAnsiTheme="minorHAnsi" w:cstheme="minorHAnsi"/>
          <w:sz w:val="24"/>
          <w:szCs w:val="24"/>
        </w:rPr>
        <w:t>Turning the tide: national policy approaches to increasing physical activity in seven European countries. Br J Sports Med. 2015;49(11):749-56</w:t>
      </w:r>
    </w:p>
    <w:p w14:paraId="6DB30CC9"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Bull, F. C., Al-Ansari, S. S., Biddle, S., Borodulin, K., Buman, M. P., Cardon, G., ... &amp; Willumsen, J. F. (2020). World Health Organization 2020 guidelines on physical activity and sedentary behaviour. British journal of sports medicine, 54(24), 1451-1462.</w:t>
      </w:r>
    </w:p>
    <w:p w14:paraId="08FE6C0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Burns, R. (1982). </w:t>
      </w:r>
      <w:r w:rsidRPr="0051709F">
        <w:rPr>
          <w:rFonts w:asciiTheme="minorHAnsi" w:hAnsiTheme="minorHAnsi" w:cstheme="minorHAnsi"/>
          <w:i/>
          <w:iCs/>
          <w:sz w:val="24"/>
          <w:szCs w:val="24"/>
        </w:rPr>
        <w:t>Self concept development and education</w:t>
      </w:r>
      <w:r w:rsidRPr="0051709F">
        <w:rPr>
          <w:rFonts w:asciiTheme="minorHAnsi" w:hAnsiTheme="minorHAnsi" w:cstheme="minorHAnsi"/>
          <w:sz w:val="24"/>
          <w:szCs w:val="24"/>
        </w:rPr>
        <w:t>. Londres: Holt.</w:t>
      </w:r>
    </w:p>
    <w:p w14:paraId="238285A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Butcher, K., Sallis, J. F., Mayer, J. A., y Woodruff, S. (2008). Correlates of physical activity guidelines compliance for adolescents in 100 U.S. cities. </w:t>
      </w:r>
      <w:r w:rsidRPr="0051709F">
        <w:rPr>
          <w:rFonts w:asciiTheme="minorHAnsi" w:hAnsiTheme="minorHAnsi" w:cstheme="minorHAnsi"/>
          <w:i/>
          <w:iCs/>
          <w:sz w:val="24"/>
          <w:szCs w:val="24"/>
        </w:rPr>
        <w:t>Journal of Adolescent Health, 42</w:t>
      </w:r>
      <w:r w:rsidRPr="0051709F">
        <w:rPr>
          <w:rFonts w:asciiTheme="minorHAnsi" w:hAnsiTheme="minorHAnsi" w:cstheme="minorHAnsi"/>
          <w:sz w:val="24"/>
          <w:szCs w:val="24"/>
        </w:rPr>
        <w:t xml:space="preserve">, 360-368. </w:t>
      </w:r>
    </w:p>
    <w:p w14:paraId="614D69D2" w14:textId="77777777" w:rsidR="00A65EF6" w:rsidRPr="0051709F" w:rsidRDefault="00A65EF6" w:rsidP="00A65EF6">
      <w:pPr>
        <w:pStyle w:val="Prrafodelista"/>
        <w:numPr>
          <w:ilvl w:val="0"/>
          <w:numId w:val="78"/>
        </w:numPr>
        <w:jc w:val="both"/>
        <w:rPr>
          <w:rFonts w:asciiTheme="minorHAnsi" w:eastAsia="Calibri" w:hAnsiTheme="minorHAnsi" w:cstheme="minorHAnsi"/>
          <w:color w:val="000000" w:themeColor="text1"/>
          <w:sz w:val="24"/>
          <w:szCs w:val="24"/>
        </w:rPr>
      </w:pPr>
      <w:r w:rsidRPr="0051709F">
        <w:rPr>
          <w:rFonts w:asciiTheme="minorHAnsi" w:eastAsia="Calibri" w:hAnsiTheme="minorHAnsi" w:cstheme="minorHAnsi"/>
          <w:color w:val="000000" w:themeColor="text1"/>
          <w:sz w:val="24"/>
          <w:szCs w:val="24"/>
          <w:lang w:val="es-ES"/>
        </w:rPr>
        <w:t xml:space="preserve">Cañada D, Gómez-Lorente JJ, González-Gross M. La importancia de la clase de EF en el desarrollo del niño. En Redondo C, Glez-Gross M, et al. eds. Actividad física, deporte, ejercicio y salud en niños y adolescentes. </w:t>
      </w:r>
      <w:r w:rsidRPr="0051709F">
        <w:rPr>
          <w:rFonts w:asciiTheme="minorHAnsi" w:eastAsia="Calibri" w:hAnsiTheme="minorHAnsi" w:cstheme="minorHAnsi"/>
          <w:color w:val="000000" w:themeColor="text1"/>
          <w:sz w:val="24"/>
          <w:szCs w:val="24"/>
        </w:rPr>
        <w:t>Ed. Everest. 2010)</w:t>
      </w:r>
    </w:p>
    <w:p w14:paraId="71E1928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Cale, L. (2000). Physical activity promotion in secondary schools. </w:t>
      </w:r>
      <w:r w:rsidRPr="0051709F">
        <w:rPr>
          <w:rFonts w:asciiTheme="minorHAnsi" w:hAnsiTheme="minorHAnsi" w:cstheme="minorHAnsi"/>
          <w:i/>
          <w:iCs/>
          <w:sz w:val="24"/>
          <w:szCs w:val="24"/>
        </w:rPr>
        <w:t>European Physical Education Review, 6</w:t>
      </w:r>
      <w:r w:rsidRPr="0051709F">
        <w:rPr>
          <w:rFonts w:asciiTheme="minorHAnsi" w:hAnsiTheme="minorHAnsi" w:cstheme="minorHAnsi"/>
          <w:sz w:val="24"/>
          <w:szCs w:val="24"/>
        </w:rPr>
        <w:t>, 71-90.</w:t>
      </w:r>
    </w:p>
    <w:p w14:paraId="75C00F53"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Cale, L. (2021). Physical education’s journey on the road to health. </w:t>
      </w:r>
      <w:r w:rsidRPr="0051709F">
        <w:rPr>
          <w:rStyle w:val="html-italic"/>
          <w:rFonts w:asciiTheme="minorHAnsi" w:eastAsiaTheme="majorEastAsia" w:hAnsiTheme="minorHAnsi" w:cstheme="minorHAnsi"/>
        </w:rPr>
        <w:t>Sport, Education and Society,</w:t>
      </w:r>
      <w:r w:rsidRPr="0051709F">
        <w:rPr>
          <w:rFonts w:asciiTheme="minorHAnsi" w:hAnsiTheme="minorHAnsi" w:cstheme="minorHAnsi"/>
        </w:rPr>
        <w:t> </w:t>
      </w:r>
      <w:r w:rsidRPr="0051709F">
        <w:rPr>
          <w:rStyle w:val="html-italic"/>
          <w:rFonts w:asciiTheme="minorHAnsi" w:eastAsiaTheme="majorEastAsia" w:hAnsiTheme="minorHAnsi" w:cstheme="minorHAnsi"/>
        </w:rPr>
        <w:t>26</w:t>
      </w:r>
      <w:r w:rsidRPr="0051709F">
        <w:rPr>
          <w:rFonts w:asciiTheme="minorHAnsi" w:hAnsiTheme="minorHAnsi" w:cstheme="minorHAnsi"/>
        </w:rPr>
        <w:t xml:space="preserve">, 486-499. </w:t>
      </w:r>
    </w:p>
    <w:p w14:paraId="6418D6C4"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GB"/>
        </w:rPr>
      </w:pPr>
      <w:r w:rsidRPr="0051709F">
        <w:rPr>
          <w:rFonts w:asciiTheme="minorHAnsi" w:hAnsiTheme="minorHAnsi" w:cstheme="minorHAnsi"/>
        </w:rPr>
        <w:t xml:space="preserve">Calonge-Pascual, S., Casajús, J.A., &amp; González, M. (2017). </w:t>
      </w:r>
      <w:r w:rsidRPr="0051709F">
        <w:rPr>
          <w:rFonts w:asciiTheme="minorHAnsi" w:hAnsiTheme="minorHAnsi" w:cstheme="minorHAnsi"/>
          <w:lang w:val="en-GB"/>
        </w:rPr>
        <w:t xml:space="preserve">Physical activity as prevention and treatment resource of chronic diseases in the syllabus of Medicine and Sport Sciences at Spanish universities. </w:t>
      </w:r>
      <w:r w:rsidRPr="0051709F">
        <w:rPr>
          <w:rFonts w:asciiTheme="minorHAnsi" w:hAnsiTheme="minorHAnsi" w:cstheme="minorHAnsi"/>
          <w:i/>
          <w:iCs/>
          <w:color w:val="222222"/>
          <w:shd w:val="clear" w:color="auto" w:fill="FFFFFF"/>
          <w:lang w:val="en-GB"/>
        </w:rPr>
        <w:t xml:space="preserve">Nutricion Hospitalaria, </w:t>
      </w:r>
      <w:r w:rsidRPr="0051709F">
        <w:rPr>
          <w:rFonts w:asciiTheme="minorHAnsi" w:hAnsiTheme="minorHAnsi" w:cstheme="minorHAnsi"/>
          <w:i/>
          <w:lang w:val="en-GB"/>
        </w:rPr>
        <w:t>34</w:t>
      </w:r>
      <w:r w:rsidRPr="0051709F">
        <w:rPr>
          <w:rFonts w:asciiTheme="minorHAnsi" w:hAnsiTheme="minorHAnsi" w:cstheme="minorHAnsi"/>
          <w:lang w:val="en-GB"/>
        </w:rPr>
        <w:t>(4), 961-968.  doi: 10.20960/nh.730.</w:t>
      </w:r>
    </w:p>
    <w:p w14:paraId="27F40189"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Calonge-Pascual, S., Casajús, J.A., &amp; González, M. </w:t>
      </w:r>
      <w:r w:rsidRPr="0051709F">
        <w:rPr>
          <w:rFonts w:asciiTheme="minorHAnsi" w:hAnsiTheme="minorHAnsi" w:cstheme="minorHAnsi"/>
          <w:color w:val="222222"/>
          <w:shd w:val="clear" w:color="auto" w:fill="FFFFFF"/>
        </w:rPr>
        <w:t xml:space="preserve">(2022). </w:t>
      </w:r>
      <w:r w:rsidRPr="0051709F">
        <w:rPr>
          <w:rFonts w:asciiTheme="minorHAnsi" w:hAnsiTheme="minorHAnsi" w:cstheme="minorHAnsi"/>
          <w:color w:val="222222"/>
          <w:shd w:val="clear" w:color="auto" w:fill="FFFFFF"/>
          <w:lang w:val="en-GB"/>
        </w:rPr>
        <w:t>Physical exercise training in the syllabus of bachelor of science in nursing degrees: an environmental scan. </w:t>
      </w:r>
      <w:r w:rsidRPr="0051709F">
        <w:rPr>
          <w:rFonts w:asciiTheme="minorHAnsi" w:hAnsiTheme="minorHAnsi" w:cstheme="minorHAnsi"/>
          <w:i/>
          <w:iCs/>
          <w:color w:val="222222"/>
          <w:shd w:val="clear" w:color="auto" w:fill="FFFFFF"/>
        </w:rPr>
        <w:t>Contemporary Nurse</w:t>
      </w:r>
      <w:r w:rsidRPr="0051709F">
        <w:rPr>
          <w:rFonts w:asciiTheme="minorHAnsi" w:hAnsiTheme="minorHAnsi" w:cstheme="minorHAnsi"/>
          <w:color w:val="222222"/>
          <w:shd w:val="clear" w:color="auto" w:fill="FFFFFF"/>
        </w:rPr>
        <w:t>, </w:t>
      </w:r>
      <w:r w:rsidRPr="0051709F">
        <w:rPr>
          <w:rFonts w:asciiTheme="minorHAnsi" w:hAnsiTheme="minorHAnsi" w:cstheme="minorHAnsi"/>
          <w:i/>
          <w:iCs/>
          <w:color w:val="222222"/>
          <w:shd w:val="clear" w:color="auto" w:fill="FFFFFF"/>
        </w:rPr>
        <w:t>58</w:t>
      </w:r>
      <w:r w:rsidRPr="0051709F">
        <w:rPr>
          <w:rFonts w:asciiTheme="minorHAnsi" w:hAnsiTheme="minorHAnsi" w:cstheme="minorHAnsi"/>
          <w:color w:val="222222"/>
          <w:shd w:val="clear" w:color="auto" w:fill="FFFFFF"/>
        </w:rPr>
        <w:t>(2-3), 192-211.</w:t>
      </w:r>
      <w:r w:rsidRPr="0051709F">
        <w:rPr>
          <w:rFonts w:asciiTheme="minorHAnsi" w:hAnsiTheme="minorHAnsi" w:cstheme="minorHAnsi"/>
        </w:rPr>
        <w:t xml:space="preserve"> </w:t>
      </w:r>
    </w:p>
    <w:p w14:paraId="56EBA090" w14:textId="77777777" w:rsidR="00A65EF6" w:rsidRPr="0051709F" w:rsidRDefault="00A65EF6" w:rsidP="00A65EF6">
      <w:pPr>
        <w:pStyle w:val="Prrafodelista"/>
        <w:numPr>
          <w:ilvl w:val="0"/>
          <w:numId w:val="78"/>
        </w:numPr>
        <w:jc w:val="both"/>
        <w:rPr>
          <w:rFonts w:asciiTheme="minorHAnsi" w:eastAsiaTheme="minorEastAsia" w:hAnsiTheme="minorHAnsi" w:cstheme="minorHAnsi"/>
          <w:sz w:val="24"/>
          <w:szCs w:val="24"/>
        </w:rPr>
      </w:pPr>
      <w:r w:rsidRPr="0051709F">
        <w:rPr>
          <w:rFonts w:asciiTheme="minorHAnsi" w:eastAsiaTheme="minorEastAsia" w:hAnsiTheme="minorHAnsi" w:cstheme="minorHAnsi"/>
          <w:color w:val="212121"/>
          <w:sz w:val="24"/>
          <w:szCs w:val="24"/>
        </w:rPr>
        <w:t>Campbell F, Holmes M, Everson-Hock E, Davis S, Buckley Woods H, Anokye N, Tappenden P, Kaltenthaler E. A systematic review and economic evaluation of exercise referral schemes in primary care: a short report. Health Technol Assess. 2015 Jul;19(60):1-110. doi: 10.3310/hta19600. PMID: 26222987; PMCID: PMC4781341.</w:t>
      </w:r>
    </w:p>
    <w:p w14:paraId="287B8C35"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Cardon, G., Labarque, V., Smits, D., y De Bourdeaudhuij, I. (2009). </w:t>
      </w:r>
      <w:r w:rsidRPr="0051709F">
        <w:rPr>
          <w:rFonts w:asciiTheme="minorHAnsi" w:hAnsiTheme="minorHAnsi" w:cstheme="minorHAnsi"/>
          <w:lang w:val="en-US"/>
        </w:rPr>
        <w:t xml:space="preserve">Promoting physical activity at the pre-school playground: the effects of providing markings and play equipment. </w:t>
      </w:r>
      <w:r w:rsidRPr="0051709F">
        <w:rPr>
          <w:rFonts w:asciiTheme="minorHAnsi" w:hAnsiTheme="minorHAnsi" w:cstheme="minorHAnsi"/>
          <w:i/>
          <w:iCs/>
        </w:rPr>
        <w:t>Preventive Medicine, 48</w:t>
      </w:r>
      <w:r w:rsidRPr="0051709F">
        <w:rPr>
          <w:rFonts w:asciiTheme="minorHAnsi" w:hAnsiTheme="minorHAnsi" w:cstheme="minorHAnsi"/>
        </w:rPr>
        <w:t xml:space="preserve">, 335-340. </w:t>
      </w:r>
    </w:p>
    <w:p w14:paraId="26BE8334" w14:textId="77777777" w:rsidR="00A65EF6" w:rsidRPr="0051709F" w:rsidRDefault="00A65EF6" w:rsidP="00A65EF6">
      <w:pPr>
        <w:pStyle w:val="Prrafodelista"/>
        <w:numPr>
          <w:ilvl w:val="0"/>
          <w:numId w:val="78"/>
        </w:numPr>
        <w:jc w:val="both"/>
        <w:rPr>
          <w:rFonts w:asciiTheme="minorHAnsi" w:eastAsia="Calibri" w:hAnsiTheme="minorHAnsi" w:cstheme="minorHAnsi"/>
          <w:color w:val="202124"/>
          <w:sz w:val="24"/>
          <w:szCs w:val="24"/>
        </w:rPr>
      </w:pPr>
      <w:r w:rsidRPr="0051709F">
        <w:rPr>
          <w:rFonts w:asciiTheme="minorHAnsi" w:hAnsiTheme="minorHAnsi" w:cstheme="minorHAnsi"/>
          <w:sz w:val="24"/>
          <w:szCs w:val="24"/>
          <w:lang w:val="es-ES"/>
        </w:rPr>
        <w:t xml:space="preserve">Cardon, G., van Cauwenberghe, E., Labarque, V., Haerens, L., y Bourdeaudhuij, I. (2008). </w:t>
      </w:r>
      <w:r w:rsidRPr="0051709F">
        <w:rPr>
          <w:rFonts w:asciiTheme="minorHAnsi" w:hAnsiTheme="minorHAnsi" w:cstheme="minorHAnsi"/>
          <w:sz w:val="24"/>
          <w:szCs w:val="24"/>
        </w:rPr>
        <w:t xml:space="preserve">The contribution of preschool playground factors in explaining children’s physical activity during recess. </w:t>
      </w:r>
      <w:r w:rsidRPr="0051709F">
        <w:rPr>
          <w:rFonts w:asciiTheme="minorHAnsi" w:hAnsiTheme="minorHAnsi" w:cstheme="minorHAnsi"/>
          <w:i/>
          <w:iCs/>
          <w:sz w:val="24"/>
          <w:szCs w:val="24"/>
        </w:rPr>
        <w:t>International Journal of Behavioral Nutrition and Physical Activity, 5</w:t>
      </w:r>
      <w:r w:rsidRPr="0051709F">
        <w:rPr>
          <w:rFonts w:asciiTheme="minorHAnsi" w:hAnsiTheme="minorHAnsi" w:cstheme="minorHAnsi"/>
          <w:sz w:val="24"/>
          <w:szCs w:val="24"/>
        </w:rPr>
        <w:t>, 5-11.</w:t>
      </w:r>
    </w:p>
    <w:p w14:paraId="75BC3356"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Cassar, S., Salmon, J., Timperio, A., Naylor, P. J., van Nassau, F. et al. </w:t>
      </w:r>
      <w:r w:rsidRPr="0051709F">
        <w:rPr>
          <w:rFonts w:asciiTheme="minorHAnsi" w:hAnsiTheme="minorHAnsi" w:cstheme="minorHAnsi"/>
          <w:sz w:val="24"/>
          <w:szCs w:val="24"/>
          <w:shd w:val="clear" w:color="auto" w:fill="FFFFFF"/>
        </w:rPr>
        <w:t xml:space="preserve">(2019). Adoption, implementation and sustainability of school-based physical activity and sedentary behaviour interventions in real-world settings: a systematic review. </w:t>
      </w:r>
      <w:r w:rsidRPr="0051709F">
        <w:rPr>
          <w:rFonts w:asciiTheme="minorHAnsi" w:eastAsia="Calibri" w:hAnsiTheme="minorHAnsi" w:cstheme="minorHAnsi"/>
          <w:i/>
          <w:iCs/>
          <w:color w:val="202124"/>
          <w:sz w:val="24"/>
          <w:szCs w:val="24"/>
        </w:rPr>
        <w:t xml:space="preserve">International Journal of Behavioral Nutrition and Physical Activity, </w:t>
      </w:r>
      <w:r w:rsidRPr="0051709F">
        <w:rPr>
          <w:rFonts w:asciiTheme="minorHAnsi" w:hAnsiTheme="minorHAnsi" w:cstheme="minorHAnsi"/>
          <w:i/>
          <w:iCs/>
          <w:sz w:val="24"/>
          <w:szCs w:val="24"/>
          <w:shd w:val="clear" w:color="auto" w:fill="FFFFFF"/>
        </w:rPr>
        <w:t>16</w:t>
      </w:r>
      <w:r w:rsidRPr="0051709F">
        <w:rPr>
          <w:rFonts w:asciiTheme="minorHAnsi" w:hAnsiTheme="minorHAnsi" w:cstheme="minorHAnsi"/>
          <w:sz w:val="24"/>
          <w:szCs w:val="24"/>
          <w:shd w:val="clear" w:color="auto" w:fill="FFFFFF"/>
        </w:rPr>
        <w:t>(1), 120.</w:t>
      </w:r>
    </w:p>
    <w:p w14:paraId="500A551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Centers for Disease Control and Prevention, (2011). School health guidelines to promote healthy eating and physical activity. </w:t>
      </w:r>
      <w:r w:rsidRPr="0051709F">
        <w:rPr>
          <w:rFonts w:asciiTheme="minorHAnsi" w:hAnsiTheme="minorHAnsi" w:cstheme="minorHAnsi"/>
          <w:i/>
          <w:iCs/>
          <w:sz w:val="24"/>
          <w:szCs w:val="24"/>
        </w:rPr>
        <w:t>Morbidity and Mortality Weekly Report, 60</w:t>
      </w:r>
      <w:r w:rsidRPr="0051709F">
        <w:rPr>
          <w:rFonts w:asciiTheme="minorHAnsi" w:hAnsiTheme="minorHAnsi" w:cstheme="minorHAnsi"/>
          <w:sz w:val="24"/>
          <w:szCs w:val="24"/>
        </w:rPr>
        <w:t xml:space="preserve">, 1-76. </w:t>
      </w:r>
    </w:p>
    <w:p w14:paraId="376F2E18"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Centre for Liveable Cities, Singapore &amp; Urban Land Institute (Eds.). (2014). </w:t>
      </w:r>
      <w:r w:rsidRPr="0051709F">
        <w:rPr>
          <w:rFonts w:asciiTheme="minorHAnsi" w:hAnsiTheme="minorHAnsi" w:cstheme="minorHAnsi"/>
          <w:i/>
          <w:iCs/>
          <w:sz w:val="24"/>
          <w:szCs w:val="24"/>
          <w:lang w:val="en-US"/>
        </w:rPr>
        <w:t>Creating Healthy Places through Active Mobility</w:t>
      </w:r>
      <w:r w:rsidRPr="0051709F">
        <w:rPr>
          <w:rFonts w:asciiTheme="minorHAnsi" w:hAnsiTheme="minorHAnsi" w:cstheme="minorHAnsi"/>
          <w:sz w:val="24"/>
          <w:szCs w:val="24"/>
          <w:lang w:val="en-US"/>
        </w:rPr>
        <w:t>. Singapore: Centre for Liveable Cities; Urban Land Institute. Retrieved from https://www.clc.gov.sg/docs/default-source/books/active-mobility.pdf</w:t>
      </w:r>
    </w:p>
    <w:p w14:paraId="3F482749" w14:textId="77777777" w:rsidR="00A65EF6" w:rsidRPr="0051709F" w:rsidRDefault="00A65EF6" w:rsidP="00A65EF6">
      <w:pPr>
        <w:pStyle w:val="Bibliograf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Centro de Coordinación de Alertas y Emergencias Sanitarias. (2021). </w:t>
      </w:r>
      <w:r w:rsidRPr="0051709F">
        <w:rPr>
          <w:rFonts w:asciiTheme="minorHAnsi" w:hAnsiTheme="minorHAnsi" w:cstheme="minorHAnsi"/>
          <w:i/>
          <w:iCs/>
          <w:sz w:val="24"/>
          <w:szCs w:val="24"/>
        </w:rPr>
        <w:t>Enfermedad por el coronavirus (COVID-19). 04.01.2021</w:t>
      </w:r>
      <w:r w:rsidRPr="0051709F">
        <w:rPr>
          <w:rFonts w:asciiTheme="minorHAnsi" w:hAnsiTheme="minorHAnsi" w:cstheme="minorHAnsi"/>
          <w:sz w:val="24"/>
          <w:szCs w:val="24"/>
        </w:rPr>
        <w:t xml:space="preserve"> (No. 283). Dirección General de Salud Pública. Secretaria de Estado de Sanidad. Ministerio de Sanidad. Gobierno de España. Retrieved from Dirección General de Salud Pública. Secretaria de Estado de Sanidad. Ministerio de Sanidad. Gobierno de España. website: </w:t>
      </w:r>
      <w:r w:rsidRPr="0051709F">
        <w:rPr>
          <w:rFonts w:asciiTheme="minorHAnsi" w:hAnsiTheme="minorHAnsi" w:cstheme="minorHAnsi"/>
          <w:sz w:val="24"/>
          <w:szCs w:val="24"/>
        </w:rPr>
        <w:lastRenderedPageBreak/>
        <w:t>https://www.lamoncloa.gob.es/serviciosdeprensa/notasprensa/sanidad14/Paginas/2021/04012021_datoscovid19.aspx</w:t>
      </w:r>
    </w:p>
    <w:p w14:paraId="4E17E9D2"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n-GB"/>
        </w:rPr>
        <w:t>Chamorro-Viña C, Valentín J, Fernández L, González-Vicent M, Pérez-Ruiz M, Lucía A, Culos-Reed SN, Díaz MÁ, Pérez-Martínez A. Influence of a Moderate-Intensity Exercise Program on Early NK Cell Immune Recovery in Pediatric Patients After Reduced-Intensity Hematopoietic Stem Cell Transplantation. Integr Cancer Ther. 2017 Dec;16(4):464-472. doi: 10.1177/1534735416679515. Epub 2016 Nov 30. PMID: 27903841; PMCID: PMC5739144.</w:t>
      </w:r>
    </w:p>
    <w:p w14:paraId="0671F00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Chen Ang (2013). Effects of exergaming and the physical education curriculum. </w:t>
      </w:r>
      <w:r w:rsidRPr="0051709F">
        <w:rPr>
          <w:rFonts w:asciiTheme="minorHAnsi" w:hAnsiTheme="minorHAnsi" w:cstheme="minorHAnsi"/>
          <w:i/>
          <w:iCs/>
          <w:sz w:val="24"/>
          <w:szCs w:val="24"/>
        </w:rPr>
        <w:t>Journal of Sport and Health Science, 2</w:t>
      </w:r>
      <w:r w:rsidRPr="0051709F">
        <w:rPr>
          <w:rFonts w:asciiTheme="minorHAnsi" w:hAnsiTheme="minorHAnsi" w:cstheme="minorHAnsi"/>
          <w:sz w:val="24"/>
          <w:szCs w:val="24"/>
        </w:rPr>
        <w:t>, 129-130.</w:t>
      </w:r>
    </w:p>
    <w:p w14:paraId="5C116AF2"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Cheon, S. H., y Reeve J. (2013). </w:t>
      </w:r>
      <w:r w:rsidRPr="0051709F">
        <w:rPr>
          <w:rFonts w:asciiTheme="minorHAnsi" w:hAnsiTheme="minorHAnsi" w:cstheme="minorHAnsi"/>
          <w:sz w:val="24"/>
          <w:szCs w:val="24"/>
          <w:shd w:val="clear" w:color="auto" w:fill="FFFFFF"/>
        </w:rPr>
        <w:t xml:space="preserve">Do the benefits from autonomy-supportive PE teacher training programs endure?: A one-year follow-up investigation. </w:t>
      </w:r>
      <w:r w:rsidRPr="0051709F">
        <w:rPr>
          <w:rFonts w:asciiTheme="minorHAnsi" w:hAnsiTheme="minorHAnsi" w:cstheme="minorHAnsi"/>
          <w:i/>
          <w:iCs/>
          <w:sz w:val="24"/>
          <w:szCs w:val="24"/>
        </w:rPr>
        <w:t>Psychology of Sport and Exercise</w:t>
      </w:r>
      <w:r w:rsidRPr="0051709F">
        <w:rPr>
          <w:rFonts w:asciiTheme="minorHAnsi" w:hAnsiTheme="minorHAnsi" w:cstheme="minorHAnsi"/>
          <w:sz w:val="24"/>
          <w:szCs w:val="24"/>
          <w:shd w:val="clear" w:color="auto" w:fill="FFFFFF"/>
        </w:rPr>
        <w:t>. </w:t>
      </w:r>
      <w:hyperlink r:id="rId137" w:history="1">
        <w:r w:rsidRPr="0051709F">
          <w:rPr>
            <w:rStyle w:val="Hipervnculo"/>
            <w:rFonts w:asciiTheme="minorHAnsi" w:hAnsiTheme="minorHAnsi" w:cstheme="minorHAnsi"/>
            <w:color w:val="auto"/>
            <w:sz w:val="24"/>
            <w:szCs w:val="24"/>
            <w:shd w:val="clear" w:color="auto" w:fill="FFFFFF"/>
          </w:rPr>
          <w:t>https://doi.org/10.1016/j.psychsport.2013.02.002</w:t>
        </w:r>
      </w:hyperlink>
      <w:r w:rsidRPr="0051709F">
        <w:rPr>
          <w:rFonts w:asciiTheme="minorHAnsi" w:hAnsiTheme="minorHAnsi" w:cstheme="minorHAnsi"/>
          <w:sz w:val="24"/>
          <w:szCs w:val="24"/>
          <w:shd w:val="clear" w:color="auto" w:fill="FFFFFF"/>
        </w:rPr>
        <w:t>.</w:t>
      </w:r>
    </w:p>
    <w:p w14:paraId="2340A72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Chin, J. J., y Ludwig, D. (2013). Cómo aumentar la actividad física de los niños durante el período del recreo en las escuelas. </w:t>
      </w:r>
      <w:r w:rsidRPr="0051709F">
        <w:rPr>
          <w:rFonts w:asciiTheme="minorHAnsi" w:hAnsiTheme="minorHAnsi" w:cstheme="minorHAnsi"/>
          <w:i/>
          <w:iCs/>
          <w:sz w:val="24"/>
          <w:szCs w:val="24"/>
        </w:rPr>
        <w:t>American Journal of Public Health, 103(7)</w:t>
      </w:r>
      <w:r w:rsidRPr="0051709F">
        <w:rPr>
          <w:rFonts w:asciiTheme="minorHAnsi" w:hAnsiTheme="minorHAnsi" w:cstheme="minorHAnsi"/>
          <w:sz w:val="24"/>
          <w:szCs w:val="24"/>
        </w:rPr>
        <w:t>, 1229-1234.</w:t>
      </w:r>
    </w:p>
    <w:p w14:paraId="025A13F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Colín-Ramírez, E., Castillo-Martínez, L., Orea-Tejeda, A., Vergara-Castañeda, A., Keirns-Davis, C., y Villa-Romero, A. (2010). </w:t>
      </w:r>
      <w:r w:rsidRPr="0051709F">
        <w:rPr>
          <w:rFonts w:asciiTheme="minorHAnsi" w:hAnsiTheme="minorHAnsi" w:cstheme="minorHAnsi"/>
          <w:sz w:val="24"/>
          <w:szCs w:val="24"/>
        </w:rPr>
        <w:t xml:space="preserve">Outcomes of a school-based intervention (RESCATE) to improve physical activity patterns in Mexican children aged 8-10 years. </w:t>
      </w:r>
      <w:r w:rsidRPr="0051709F">
        <w:rPr>
          <w:rFonts w:asciiTheme="minorHAnsi" w:hAnsiTheme="minorHAnsi" w:cstheme="minorHAnsi"/>
          <w:i/>
          <w:iCs/>
          <w:sz w:val="24"/>
          <w:szCs w:val="24"/>
        </w:rPr>
        <w:t>Health Education Research, 25</w:t>
      </w:r>
      <w:r w:rsidRPr="0051709F">
        <w:rPr>
          <w:rFonts w:asciiTheme="minorHAnsi" w:hAnsiTheme="minorHAnsi" w:cstheme="minorHAnsi"/>
          <w:sz w:val="24"/>
          <w:szCs w:val="24"/>
        </w:rPr>
        <w:t>, 1042-1049.</w:t>
      </w:r>
    </w:p>
    <w:p w14:paraId="54BD6B95" w14:textId="77777777" w:rsidR="00A65EF6" w:rsidRPr="0051709F" w:rsidRDefault="00A65EF6" w:rsidP="00A65EF6">
      <w:pPr>
        <w:pStyle w:val="Bibliograf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Colomina, B. (2021). </w:t>
      </w:r>
      <w:r w:rsidRPr="0051709F">
        <w:rPr>
          <w:rFonts w:asciiTheme="minorHAnsi" w:hAnsiTheme="minorHAnsi" w:cstheme="minorHAnsi"/>
          <w:i/>
          <w:iCs/>
          <w:sz w:val="24"/>
          <w:szCs w:val="24"/>
        </w:rPr>
        <w:t>Arquitectura de rayos X</w:t>
      </w:r>
      <w:r w:rsidRPr="0051709F">
        <w:rPr>
          <w:rFonts w:asciiTheme="minorHAnsi" w:hAnsiTheme="minorHAnsi" w:cstheme="minorHAnsi"/>
          <w:sz w:val="24"/>
          <w:szCs w:val="24"/>
        </w:rPr>
        <w:t>. Barcelona: Puente Editores.</w:t>
      </w:r>
    </w:p>
    <w:p w14:paraId="01D5267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Comité Olímpico International, IOC, International Olympic Committee. Olympic Agenda 2020: 20+20 Recommendations and Sport and Active Society (https://www.olympic.org/news/olympic-agenda-2020-discussions-culminate-in-20- 20-recommendations). </w:t>
      </w:r>
    </w:p>
    <w:p w14:paraId="6930C2C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Consejo General de Colegios de Farmacéuticos. La aportación de valor del modelo de farmacia a la cohesión territorial y al reto demográfico. </w:t>
      </w:r>
      <w:r w:rsidRPr="0051709F">
        <w:rPr>
          <w:rFonts w:asciiTheme="minorHAnsi" w:hAnsiTheme="minorHAnsi" w:cstheme="minorHAnsi"/>
          <w:sz w:val="24"/>
          <w:szCs w:val="24"/>
        </w:rPr>
        <w:t xml:space="preserve">Enero 2023. </w:t>
      </w:r>
      <w:hyperlink r:id="rId138" w:history="1">
        <w:r w:rsidRPr="0051709F">
          <w:rPr>
            <w:rStyle w:val="Hipervnculo"/>
            <w:rFonts w:asciiTheme="minorHAnsi" w:hAnsiTheme="minorHAnsi" w:cstheme="minorHAnsi"/>
            <w:sz w:val="24"/>
            <w:szCs w:val="24"/>
          </w:rPr>
          <w:t>https://www.farmaceuticos.com/wp-content/uploads/2023/01/Informe-Contribucion-farmacia-reto-demografico.pdf</w:t>
        </w:r>
      </w:hyperlink>
      <w:r w:rsidRPr="0051709F">
        <w:rPr>
          <w:rFonts w:asciiTheme="minorHAnsi" w:hAnsiTheme="minorHAnsi" w:cstheme="minorHAnsi"/>
          <w:sz w:val="24"/>
          <w:szCs w:val="24"/>
        </w:rPr>
        <w:t>. Acceso: 6 de julio de 2023.</w:t>
      </w:r>
    </w:p>
    <w:p w14:paraId="0EADEEB8" w14:textId="77777777" w:rsidR="00A65EF6"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Consejo Superior de Deportes (2010). Plan Integral para la Actividad Física y el Deporte.</w:t>
      </w:r>
    </w:p>
    <w:p w14:paraId="41ABD4D2"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C</w:t>
      </w:r>
      <w:r w:rsidRPr="001D1628">
        <w:rPr>
          <w:rFonts w:asciiTheme="minorHAnsi" w:hAnsiTheme="minorHAnsi" w:cstheme="minorHAnsi"/>
          <w:noProof/>
          <w:lang w:val="es-ES"/>
        </w:rPr>
        <w:t>onsejo Superior de Deportes</w:t>
      </w:r>
      <w:r w:rsidRPr="001D1628">
        <w:rPr>
          <w:rFonts w:asciiTheme="minorHAnsi" w:hAnsiTheme="minorHAnsi" w:cstheme="minorHAnsi"/>
          <w:color w:val="212121"/>
          <w:lang w:val="es-ES"/>
        </w:rPr>
        <w:t xml:space="preserve"> (2021). "Gasto público vinculado al deporte". </w:t>
      </w:r>
      <w:r w:rsidRPr="001D1628">
        <w:rPr>
          <w:rFonts w:asciiTheme="minorHAnsi" w:hAnsiTheme="minorHAnsi" w:cstheme="minorHAnsi"/>
          <w:color w:val="212121"/>
        </w:rPr>
        <w:t>[En línea: </w:t>
      </w:r>
      <w:r w:rsidRPr="001D1628">
        <w:rPr>
          <w:rStyle w:val="apple-converted-space"/>
          <w:rFonts w:asciiTheme="minorHAnsi" w:hAnsiTheme="minorHAnsi" w:cstheme="minorHAnsi"/>
          <w:color w:val="212121"/>
        </w:rPr>
        <w:t> </w:t>
      </w:r>
      <w:r w:rsidRPr="001D1628">
        <w:rPr>
          <w:rFonts w:asciiTheme="minorHAnsi" w:hAnsiTheme="minorHAnsi" w:cstheme="minorHAnsi"/>
          <w:color w:val="212121"/>
        </w:rPr>
        <w:br/>
      </w:r>
      <w:hyperlink r:id="rId139" w:tooltip="https://estadisticas.mecd.gob.es/DeporteDynPx/deportebase/index.htm?type=pcaxis&amp;path=/d11/f11/a2012/&amp;file=pcaxis]" w:history="1">
        <w:r w:rsidRPr="001D1628">
          <w:rPr>
            <w:rStyle w:val="Hipervnculo"/>
            <w:rFonts w:asciiTheme="minorHAnsi" w:hAnsiTheme="minorHAnsi" w:cstheme="minorHAnsi"/>
            <w:color w:val="0078D7"/>
          </w:rPr>
          <w:t>https://estadisticas.mecd.gob.es/DeporteDynPx/deportebase/index.htm?type=pcaxis&amp;path=/d11/f11/a2012/&amp;file=pcaxis]</w:t>
        </w:r>
      </w:hyperlink>
    </w:p>
    <w:p w14:paraId="78105D2B"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Costa BR, Ramos VE. Risk factors for work-related musculoskeletal disorders: a systematic review of recent longitudinal studies. Am J Ind Med. 2010;53(1):285–323.</w:t>
      </w:r>
    </w:p>
    <w:p w14:paraId="26D33581"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Dahlgren, G., &amp; Whitehead, M. (1991). </w:t>
      </w:r>
      <w:r w:rsidRPr="0051709F">
        <w:rPr>
          <w:rFonts w:asciiTheme="minorHAnsi" w:eastAsia="Times New Roman" w:hAnsiTheme="minorHAnsi" w:cstheme="minorHAnsi"/>
          <w:i/>
          <w:iCs/>
          <w:sz w:val="24"/>
          <w:szCs w:val="24"/>
        </w:rPr>
        <w:t>Policies and strategies to promote social equity in health</w:t>
      </w:r>
      <w:r w:rsidRPr="0051709F">
        <w:rPr>
          <w:rFonts w:asciiTheme="minorHAnsi" w:eastAsia="Times New Roman" w:hAnsiTheme="minorHAnsi" w:cstheme="minorHAnsi"/>
          <w:sz w:val="24"/>
          <w:szCs w:val="24"/>
        </w:rPr>
        <w:t>.</w:t>
      </w:r>
    </w:p>
    <w:p w14:paraId="0FB86B8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C13402">
        <w:rPr>
          <w:rFonts w:asciiTheme="minorHAnsi" w:hAnsiTheme="minorHAnsi" w:cstheme="minorHAnsi"/>
          <w:sz w:val="24"/>
          <w:szCs w:val="24"/>
          <w:lang w:val="de-DE"/>
        </w:rPr>
        <w:t xml:space="preserve">Davidson, Z., Simen-Kapeu, A., y Veugelers, P. J. (2010). </w:t>
      </w:r>
      <w:r w:rsidRPr="0051709F">
        <w:rPr>
          <w:rFonts w:asciiTheme="minorHAnsi" w:hAnsiTheme="minorHAnsi" w:cstheme="minorHAnsi"/>
          <w:sz w:val="24"/>
          <w:szCs w:val="24"/>
        </w:rPr>
        <w:t xml:space="preserve">Neighborhood determinants of self-efficacy, physical activity, and body weights among Canadian children. </w:t>
      </w:r>
      <w:r w:rsidRPr="0051709F">
        <w:rPr>
          <w:rFonts w:asciiTheme="minorHAnsi" w:hAnsiTheme="minorHAnsi" w:cstheme="minorHAnsi"/>
          <w:i/>
          <w:iCs/>
          <w:sz w:val="24"/>
          <w:szCs w:val="24"/>
        </w:rPr>
        <w:t>Health &amp; Place, 16</w:t>
      </w:r>
      <w:r w:rsidRPr="0051709F">
        <w:rPr>
          <w:rFonts w:asciiTheme="minorHAnsi" w:hAnsiTheme="minorHAnsi" w:cstheme="minorHAnsi"/>
          <w:sz w:val="24"/>
          <w:szCs w:val="24"/>
        </w:rPr>
        <w:t>, 567-572.</w:t>
      </w:r>
    </w:p>
    <w:p w14:paraId="3101254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Davison, K. K., y Jago, R. (2009). Change in parent and peer support across ages 9 to 15 yr and adolescent girls' physical activity. </w:t>
      </w:r>
      <w:r w:rsidRPr="0051709F">
        <w:rPr>
          <w:rFonts w:asciiTheme="minorHAnsi" w:hAnsiTheme="minorHAnsi" w:cstheme="minorHAnsi"/>
          <w:i/>
          <w:iCs/>
          <w:sz w:val="24"/>
          <w:szCs w:val="24"/>
        </w:rPr>
        <w:t>Medicine &amp; Science in Sports &amp; Exercise, 41(9)</w:t>
      </w:r>
      <w:r w:rsidRPr="0051709F">
        <w:rPr>
          <w:rFonts w:asciiTheme="minorHAnsi" w:hAnsiTheme="minorHAnsi" w:cstheme="minorHAnsi"/>
          <w:sz w:val="24"/>
          <w:szCs w:val="24"/>
        </w:rPr>
        <w:t xml:space="preserve">, 1816-1825. </w:t>
      </w:r>
    </w:p>
    <w:p w14:paraId="1400FB5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Davison, K. K., y Schmalz, D. L. (2006). Youth at risk of physical inactivity may benefit more from activity-related support than youth not at risk. </w:t>
      </w:r>
      <w:r w:rsidRPr="0051709F">
        <w:rPr>
          <w:rFonts w:asciiTheme="minorHAnsi" w:hAnsiTheme="minorHAnsi" w:cstheme="minorHAnsi"/>
          <w:i/>
          <w:iCs/>
          <w:sz w:val="24"/>
          <w:szCs w:val="24"/>
        </w:rPr>
        <w:t>International Journal of Behavioral Nutrition and Physical Activity, 3</w:t>
      </w:r>
      <w:r w:rsidRPr="0051709F">
        <w:rPr>
          <w:rFonts w:asciiTheme="minorHAnsi" w:hAnsiTheme="minorHAnsi" w:cstheme="minorHAnsi"/>
          <w:sz w:val="24"/>
          <w:szCs w:val="24"/>
        </w:rPr>
        <w:t xml:space="preserve">, 5. </w:t>
      </w:r>
    </w:p>
    <w:p w14:paraId="04B67EC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Deci, E. L., Driver, R. E., Hotchkiss, L., Robbins, R. J., y McDougal, W. I. (1993). The relation of mothers’ controlling vocalizations to children’s intrinsic motivation. </w:t>
      </w:r>
      <w:r w:rsidRPr="0051709F">
        <w:rPr>
          <w:rFonts w:asciiTheme="minorHAnsi" w:hAnsiTheme="minorHAnsi" w:cstheme="minorHAnsi"/>
          <w:i/>
          <w:iCs/>
          <w:sz w:val="24"/>
          <w:szCs w:val="24"/>
        </w:rPr>
        <w:t>Journal of Expperimental Child Psychology, 55</w:t>
      </w:r>
      <w:r w:rsidRPr="0051709F">
        <w:rPr>
          <w:rFonts w:asciiTheme="minorHAnsi" w:hAnsiTheme="minorHAnsi" w:cstheme="minorHAnsi"/>
          <w:sz w:val="24"/>
          <w:szCs w:val="24"/>
        </w:rPr>
        <w:t xml:space="preserve">, 151-162. </w:t>
      </w:r>
    </w:p>
    <w:p w14:paraId="6829CFF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Deci, E. L., y Ryan, R. M. (1980). </w:t>
      </w:r>
      <w:r w:rsidRPr="0051709F">
        <w:rPr>
          <w:rFonts w:asciiTheme="minorHAnsi" w:hAnsiTheme="minorHAnsi" w:cstheme="minorHAnsi"/>
          <w:iCs/>
          <w:sz w:val="24"/>
          <w:szCs w:val="24"/>
        </w:rPr>
        <w:t>The empirical exploration of intrinsic motivational processes</w:t>
      </w:r>
      <w:r w:rsidRPr="0051709F">
        <w:rPr>
          <w:rFonts w:asciiTheme="minorHAnsi" w:hAnsiTheme="minorHAnsi" w:cstheme="minorHAnsi"/>
          <w:sz w:val="24"/>
          <w:szCs w:val="24"/>
        </w:rPr>
        <w:t xml:space="preserve">. En L. Berkowitz (Ed.), </w:t>
      </w:r>
      <w:r w:rsidRPr="0051709F">
        <w:rPr>
          <w:rFonts w:asciiTheme="minorHAnsi" w:hAnsiTheme="minorHAnsi" w:cstheme="minorHAnsi"/>
          <w:i/>
          <w:sz w:val="24"/>
          <w:szCs w:val="24"/>
        </w:rPr>
        <w:t>Advances in experimental social psychology</w:t>
      </w:r>
      <w:r w:rsidRPr="0051709F">
        <w:rPr>
          <w:rFonts w:asciiTheme="minorHAnsi" w:hAnsiTheme="minorHAnsi" w:cstheme="minorHAnsi"/>
          <w:sz w:val="24"/>
          <w:szCs w:val="24"/>
        </w:rPr>
        <w:t xml:space="preserve"> (Vol.13., pp. 39-80). New York: Academic Press.</w:t>
      </w:r>
    </w:p>
    <w:p w14:paraId="271CEBE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Dempsey, J., Kimiecik, J., y Horn, T. (1993). Parental influence on children’s moderate-to-vigorous physical activity: an expectancy-value approach. </w:t>
      </w:r>
      <w:r w:rsidRPr="0051709F">
        <w:rPr>
          <w:rFonts w:asciiTheme="minorHAnsi" w:hAnsiTheme="minorHAnsi" w:cstheme="minorHAnsi"/>
          <w:i/>
          <w:sz w:val="24"/>
          <w:szCs w:val="24"/>
        </w:rPr>
        <w:t>Pediatric Exercise Science, 5</w:t>
      </w:r>
      <w:r w:rsidRPr="0051709F">
        <w:rPr>
          <w:rFonts w:asciiTheme="minorHAnsi" w:hAnsiTheme="minorHAnsi" w:cstheme="minorHAnsi"/>
          <w:sz w:val="24"/>
          <w:szCs w:val="24"/>
        </w:rPr>
        <w:t xml:space="preserve">, 151-167. </w:t>
      </w:r>
    </w:p>
    <w:p w14:paraId="1B92282D" w14:textId="77777777" w:rsidR="00A65EF6"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Department Of Health. (2016). </w:t>
      </w:r>
      <w:r w:rsidRPr="0051709F">
        <w:rPr>
          <w:rFonts w:asciiTheme="minorHAnsi" w:eastAsia="Times New Roman" w:hAnsiTheme="minorHAnsi" w:cstheme="minorHAnsi"/>
          <w:i/>
          <w:iCs/>
          <w:sz w:val="24"/>
          <w:szCs w:val="24"/>
        </w:rPr>
        <w:t>National Physical Activity Plan for Ireland</w:t>
      </w:r>
      <w:r w:rsidRPr="0051709F">
        <w:rPr>
          <w:rFonts w:asciiTheme="minorHAnsi" w:eastAsia="Times New Roman" w:hAnsiTheme="minorHAnsi" w:cstheme="minorHAnsi"/>
          <w:sz w:val="24"/>
          <w:szCs w:val="24"/>
        </w:rPr>
        <w:t>.</w:t>
      </w:r>
    </w:p>
    <w:p w14:paraId="511C0F7A"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D513DF">
        <w:rPr>
          <w:rFonts w:asciiTheme="minorHAnsi" w:eastAsia="Times New Roman" w:hAnsiTheme="minorHAnsi" w:cstheme="minorHAnsi"/>
          <w:sz w:val="24"/>
          <w:szCs w:val="24"/>
        </w:rPr>
        <w:t xml:space="preserve">Deschesnes, M., Martin, C., &amp; Hill, A. J. (2003). Comprehensive approaches to school health promotion: how to achieve broader implementation?. </w:t>
      </w:r>
      <w:r>
        <w:rPr>
          <w:rFonts w:asciiTheme="minorHAnsi" w:eastAsia="Times New Roman" w:hAnsiTheme="minorHAnsi" w:cstheme="minorHAnsi"/>
          <w:i/>
          <w:sz w:val="24"/>
          <w:szCs w:val="24"/>
        </w:rPr>
        <w:t>Health Promotion I</w:t>
      </w:r>
      <w:r w:rsidRPr="00D513DF">
        <w:rPr>
          <w:rFonts w:asciiTheme="minorHAnsi" w:eastAsia="Times New Roman" w:hAnsiTheme="minorHAnsi" w:cstheme="minorHAnsi"/>
          <w:i/>
          <w:sz w:val="24"/>
          <w:szCs w:val="24"/>
        </w:rPr>
        <w:t>nternational, 18</w:t>
      </w:r>
      <w:r w:rsidRPr="00D513DF">
        <w:rPr>
          <w:rFonts w:asciiTheme="minorHAnsi" w:eastAsia="Times New Roman" w:hAnsiTheme="minorHAnsi" w:cstheme="minorHAnsi"/>
          <w:sz w:val="24"/>
          <w:szCs w:val="24"/>
        </w:rPr>
        <w:t>(4), 387-396.</w:t>
      </w:r>
    </w:p>
    <w:p w14:paraId="3C8A9FF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Digelidis, N., Papaioannou, A. Laparidis, K., y Christodoulidis, T. (2003). A one-year intervention in 7th grade physical education classes aiming to change motivational climate and attitudes toward exercise. </w:t>
      </w:r>
      <w:r w:rsidRPr="0051709F">
        <w:rPr>
          <w:rFonts w:asciiTheme="minorHAnsi" w:hAnsiTheme="minorHAnsi" w:cstheme="minorHAnsi"/>
          <w:i/>
          <w:sz w:val="24"/>
          <w:szCs w:val="24"/>
        </w:rPr>
        <w:t>Psychology of Sport and Exercise, 4</w:t>
      </w:r>
      <w:r w:rsidRPr="0051709F">
        <w:rPr>
          <w:rFonts w:asciiTheme="minorHAnsi" w:hAnsiTheme="minorHAnsi" w:cstheme="minorHAnsi"/>
          <w:sz w:val="24"/>
          <w:szCs w:val="24"/>
        </w:rPr>
        <w:t>, 195-210.</w:t>
      </w:r>
    </w:p>
    <w:p w14:paraId="2D2704F2" w14:textId="77777777" w:rsidR="00A65EF6" w:rsidRPr="0051709F" w:rsidRDefault="00A65EF6" w:rsidP="00A65EF6">
      <w:pPr>
        <w:pStyle w:val="refauthorsname"/>
        <w:numPr>
          <w:ilvl w:val="0"/>
          <w:numId w:val="78"/>
        </w:numPr>
        <w:shd w:val="clear" w:color="auto" w:fill="FFFFFF"/>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Ding D, Lawson KD, Kolbe-Alexander TL et al. The economic burden of physical inactivity: a global analysis of major non-communicable diseases. </w:t>
      </w:r>
      <w:r w:rsidRPr="0051709F">
        <w:rPr>
          <w:rStyle w:val="refseries"/>
          <w:rFonts w:asciiTheme="minorHAnsi" w:eastAsiaTheme="majorEastAsia" w:hAnsiTheme="minorHAnsi" w:cstheme="minorHAnsi"/>
          <w:i/>
          <w:iCs/>
          <w:color w:val="000000" w:themeColor="text1"/>
          <w:shd w:val="clear" w:color="auto" w:fill="FFFFFF"/>
        </w:rPr>
        <w:t>Lancet.</w:t>
      </w:r>
      <w:r w:rsidRPr="0051709F">
        <w:rPr>
          <w:rStyle w:val="refseries"/>
          <w:rFonts w:asciiTheme="minorHAnsi" w:eastAsiaTheme="majorEastAsia" w:hAnsiTheme="minorHAnsi" w:cstheme="minorHAnsi"/>
          <w:color w:val="000000" w:themeColor="text1"/>
          <w:shd w:val="clear" w:color="auto" w:fill="FFFFFF"/>
        </w:rPr>
        <w:t> </w:t>
      </w:r>
      <w:r w:rsidRPr="0051709F">
        <w:rPr>
          <w:rStyle w:val="refseriesdate"/>
          <w:rFonts w:asciiTheme="minorHAnsi" w:eastAsiaTheme="majorEastAsia" w:hAnsiTheme="minorHAnsi" w:cstheme="minorHAnsi"/>
          <w:color w:val="000000" w:themeColor="text1"/>
          <w:shd w:val="clear" w:color="auto" w:fill="FFFFFF"/>
        </w:rPr>
        <w:t>2016; </w:t>
      </w:r>
      <w:r w:rsidRPr="0051709F">
        <w:rPr>
          <w:rStyle w:val="refseriesvolume"/>
          <w:rFonts w:asciiTheme="minorHAnsi" w:eastAsiaTheme="majorEastAsia" w:hAnsiTheme="minorHAnsi" w:cstheme="minorHAnsi"/>
          <w:color w:val="000000" w:themeColor="text1"/>
          <w:shd w:val="clear" w:color="auto" w:fill="FFFFFF"/>
        </w:rPr>
        <w:t>388</w:t>
      </w:r>
      <w:r w:rsidRPr="0051709F">
        <w:rPr>
          <w:rFonts w:asciiTheme="minorHAnsi" w:hAnsiTheme="minorHAnsi" w:cstheme="minorHAnsi"/>
          <w:color w:val="000000" w:themeColor="text1"/>
          <w:shd w:val="clear" w:color="auto" w:fill="FFFFFF"/>
          <w:lang w:val="en-US"/>
        </w:rPr>
        <w:t>: </w:t>
      </w:r>
      <w:r w:rsidRPr="0051709F">
        <w:rPr>
          <w:rStyle w:val="refseriespages"/>
          <w:rFonts w:asciiTheme="minorHAnsi" w:eastAsiaTheme="majorEastAsia" w:hAnsiTheme="minorHAnsi" w:cstheme="minorHAnsi"/>
          <w:color w:val="000000" w:themeColor="text1"/>
          <w:shd w:val="clear" w:color="auto" w:fill="FFFFFF"/>
        </w:rPr>
        <w:t>1311-1324.</w:t>
      </w:r>
    </w:p>
    <w:p w14:paraId="4CF57F52"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rPr>
        <w:t xml:space="preserve">Dirección General de Tráfico, DGT. Gobierno de España. (2021, August 21). En 2020 fallecieron 1.370 personas en accidentes de tráfico. </w:t>
      </w:r>
      <w:r w:rsidRPr="0051709F">
        <w:rPr>
          <w:rFonts w:asciiTheme="minorHAnsi" w:hAnsiTheme="minorHAnsi" w:cstheme="minorHAnsi"/>
          <w:sz w:val="24"/>
          <w:szCs w:val="24"/>
          <w:lang w:val="en-US"/>
        </w:rPr>
        <w:t>[Nota de prensa]. Retrieved January 11, 2023, from DGT website: https://www.dgt.es/comunicacion/notas-de-prensa/en-2020-fallecieron-1.370-personas-en-accidentes-de-trafico/</w:t>
      </w:r>
    </w:p>
    <w:p w14:paraId="01224A9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Dobbins, M., DeCorby, K., Robeson, P., Husson, H., y Tirilis, D. (2009). School-based physical activity programs for promoting physical activity and fitness in children and adolescents aged 6-18. </w:t>
      </w:r>
      <w:r w:rsidRPr="0051709F">
        <w:rPr>
          <w:rFonts w:asciiTheme="minorHAnsi" w:hAnsiTheme="minorHAnsi" w:cstheme="minorHAnsi"/>
          <w:i/>
          <w:sz w:val="24"/>
          <w:szCs w:val="24"/>
        </w:rPr>
        <w:t>Cochrane Database of Systematic Reviews, 1</w:t>
      </w:r>
      <w:r w:rsidRPr="0051709F">
        <w:rPr>
          <w:rFonts w:asciiTheme="minorHAnsi" w:hAnsiTheme="minorHAnsi" w:cstheme="minorHAnsi"/>
          <w:sz w:val="24"/>
          <w:szCs w:val="24"/>
        </w:rPr>
        <w:t xml:space="preserve">. </w:t>
      </w:r>
    </w:p>
    <w:p w14:paraId="1B94B94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222222"/>
          <w:sz w:val="24"/>
          <w:szCs w:val="24"/>
          <w:shd w:val="clear" w:color="auto" w:fill="FFFFFF"/>
          <w:lang w:val="es-ES"/>
        </w:rPr>
        <w:t xml:space="preserve">Donadio, M. V. F., Cobo-Vicente, F., San Juan, A. F., Sanz-Santiago, V., Fernández-Luna, Á., Iturriaga, T., ... </w:t>
      </w:r>
      <w:r w:rsidRPr="0051709F">
        <w:rPr>
          <w:rFonts w:asciiTheme="minorHAnsi" w:hAnsiTheme="minorHAnsi" w:cstheme="minorHAnsi"/>
          <w:color w:val="222222"/>
          <w:sz w:val="24"/>
          <w:szCs w:val="24"/>
          <w:shd w:val="clear" w:color="auto" w:fill="FFFFFF"/>
        </w:rPr>
        <w:t>&amp; Pérez-Ruiz, M. (2022). Is exercise and electrostimulation effective in improving muscle strength and cardiorespiratory fitness in children with cystic fibrosis and mild-to-moderate pulmonary impairment?: Randomized controlled trial. </w:t>
      </w:r>
      <w:r w:rsidRPr="0051709F">
        <w:rPr>
          <w:rFonts w:asciiTheme="minorHAnsi" w:hAnsiTheme="minorHAnsi" w:cstheme="minorHAnsi"/>
          <w:i/>
          <w:iCs/>
          <w:color w:val="222222"/>
          <w:sz w:val="24"/>
          <w:szCs w:val="24"/>
          <w:shd w:val="clear" w:color="auto" w:fill="FFFFFF"/>
        </w:rPr>
        <w:t>Respiratory Medicine</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196</w:t>
      </w:r>
      <w:r w:rsidRPr="0051709F">
        <w:rPr>
          <w:rFonts w:asciiTheme="minorHAnsi" w:hAnsiTheme="minorHAnsi" w:cstheme="minorHAnsi"/>
          <w:color w:val="222222"/>
          <w:sz w:val="24"/>
          <w:szCs w:val="24"/>
          <w:shd w:val="clear" w:color="auto" w:fill="FFFFFF"/>
        </w:rPr>
        <w:t>, 106798.</w:t>
      </w:r>
    </w:p>
    <w:p w14:paraId="3395CA7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Duda, J. L. (1996). Maximizing motivation in sport and physical education among children and adolescents. </w:t>
      </w:r>
      <w:r w:rsidRPr="0051709F">
        <w:rPr>
          <w:rFonts w:asciiTheme="minorHAnsi" w:hAnsiTheme="minorHAnsi" w:cstheme="minorHAnsi"/>
          <w:i/>
          <w:sz w:val="24"/>
          <w:szCs w:val="24"/>
        </w:rPr>
        <w:t>Quest, 48</w:t>
      </w:r>
      <w:r w:rsidRPr="0051709F">
        <w:rPr>
          <w:rFonts w:asciiTheme="minorHAnsi" w:hAnsiTheme="minorHAnsi" w:cstheme="minorHAnsi"/>
          <w:sz w:val="24"/>
          <w:szCs w:val="24"/>
        </w:rPr>
        <w:t>, 290-302.</w:t>
      </w:r>
    </w:p>
    <w:p w14:paraId="14860AFF"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rPr>
        <w:t xml:space="preserve">Dugdill L, Brettle A, Hulme C, Mccluskey S, Long AF. Workplace physical activity interventions: a systematic review. </w:t>
      </w:r>
      <w:r w:rsidRPr="00C13402">
        <w:rPr>
          <w:rFonts w:asciiTheme="minorHAnsi" w:hAnsiTheme="minorHAnsi" w:cstheme="minorHAnsi"/>
          <w:sz w:val="24"/>
          <w:szCs w:val="24"/>
          <w:lang w:val="de-DE"/>
        </w:rPr>
        <w:t xml:space="preserve">Int J Work Heal Manag. </w:t>
      </w:r>
      <w:r w:rsidRPr="0051709F">
        <w:rPr>
          <w:rFonts w:asciiTheme="minorHAnsi" w:hAnsiTheme="minorHAnsi" w:cstheme="minorHAnsi"/>
          <w:sz w:val="24"/>
          <w:szCs w:val="24"/>
          <w:lang w:val="es-ES"/>
        </w:rPr>
        <w:t>2008;1(1):20–40.</w:t>
      </w:r>
    </w:p>
    <w:p w14:paraId="756091D7"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rPr>
        <w:t xml:space="preserve">Dyson, B., Landi, D., y Gordin, B. (2018). </w:t>
      </w:r>
      <w:r w:rsidRPr="0051709F">
        <w:rPr>
          <w:rFonts w:asciiTheme="minorHAnsi" w:hAnsiTheme="minorHAnsi" w:cstheme="minorHAnsi"/>
          <w:lang w:val="en-GB"/>
        </w:rPr>
        <w:t>Redesign of PE in Aotearoa New Zealand. En H. A. Lawson (Ed),</w:t>
      </w:r>
      <w:r w:rsidRPr="0051709F">
        <w:rPr>
          <w:rStyle w:val="html-italic"/>
          <w:rFonts w:asciiTheme="minorHAnsi" w:eastAsiaTheme="majorEastAsia" w:hAnsiTheme="minorHAnsi" w:cstheme="minorHAnsi"/>
          <w:lang w:val="en-GB"/>
        </w:rPr>
        <w:t xml:space="preserve"> Redesigning Physical Education. An Equity Agenda in which Every Child Matters</w:t>
      </w:r>
      <w:r w:rsidRPr="0051709F">
        <w:rPr>
          <w:rFonts w:asciiTheme="minorHAnsi" w:hAnsiTheme="minorHAnsi" w:cstheme="minorHAnsi"/>
          <w:lang w:val="en-GB"/>
        </w:rPr>
        <w:t xml:space="preserve"> (pp. 182-195). </w:t>
      </w:r>
      <w:r w:rsidRPr="0051709F">
        <w:rPr>
          <w:rFonts w:asciiTheme="minorHAnsi" w:hAnsiTheme="minorHAnsi" w:cstheme="minorHAnsi"/>
        </w:rPr>
        <w:t xml:space="preserve">Routledge: </w:t>
      </w:r>
    </w:p>
    <w:p w14:paraId="14C7EC51"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lang w:val="en-US"/>
        </w:rPr>
      </w:pPr>
      <w:r w:rsidRPr="0051709F">
        <w:rPr>
          <w:rFonts w:asciiTheme="minorHAnsi" w:hAnsiTheme="minorHAnsi" w:cstheme="minorHAnsi"/>
          <w:lang w:val="en-US"/>
        </w:rPr>
        <w:t xml:space="preserve">Dzewaltowski, D., Ryan, G., y Rosenkranz, R. (2008). Parental bonding may moderate the relationship between parent physical activity and youth physical activity after school. </w:t>
      </w:r>
      <w:r w:rsidRPr="0051709F">
        <w:rPr>
          <w:rFonts w:asciiTheme="minorHAnsi" w:hAnsiTheme="minorHAnsi" w:cstheme="minorHAnsi"/>
          <w:i/>
          <w:iCs/>
          <w:lang w:val="en-US"/>
        </w:rPr>
        <w:t>Psychology of Sport and Exercise, 9</w:t>
      </w:r>
      <w:r w:rsidRPr="0051709F">
        <w:rPr>
          <w:rFonts w:asciiTheme="minorHAnsi" w:hAnsiTheme="minorHAnsi" w:cstheme="minorHAnsi"/>
          <w:lang w:val="en-US"/>
        </w:rPr>
        <w:t xml:space="preserve">, 848-854. </w:t>
      </w:r>
    </w:p>
    <w:p w14:paraId="54C19D64"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lastRenderedPageBreak/>
        <w:t xml:space="preserve">Edwards, P., &amp; Tsouros, A. D. (2006). </w:t>
      </w:r>
      <w:r w:rsidRPr="0051709F">
        <w:rPr>
          <w:rFonts w:asciiTheme="minorHAnsi" w:hAnsiTheme="minorHAnsi" w:cstheme="minorHAnsi"/>
          <w:i/>
          <w:iCs/>
          <w:sz w:val="24"/>
          <w:szCs w:val="24"/>
          <w:lang w:val="en-US"/>
        </w:rPr>
        <w:t>Promoting Physical Activity and Active Living in Urban Environments: The Role of Local Governments</w:t>
      </w:r>
      <w:r w:rsidRPr="0051709F">
        <w:rPr>
          <w:rFonts w:asciiTheme="minorHAnsi" w:hAnsiTheme="minorHAnsi" w:cstheme="minorHAnsi"/>
          <w:sz w:val="24"/>
          <w:szCs w:val="24"/>
          <w:lang w:val="en-US"/>
        </w:rPr>
        <w:t>. World Health Organization. Regional Office Europe.</w:t>
      </w:r>
    </w:p>
    <w:p w14:paraId="22BFE77C"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Edwards, P., &amp; Tsouros, A. D. (2008). </w:t>
      </w:r>
      <w:r w:rsidRPr="0051709F">
        <w:rPr>
          <w:rFonts w:asciiTheme="minorHAnsi" w:hAnsiTheme="minorHAnsi" w:cstheme="minorHAnsi"/>
          <w:i/>
          <w:iCs/>
          <w:sz w:val="24"/>
          <w:szCs w:val="24"/>
          <w:lang w:val="en-US"/>
        </w:rPr>
        <w:t>A healthy city is an active city: A physical activity planning guide</w:t>
      </w:r>
      <w:r w:rsidRPr="0051709F">
        <w:rPr>
          <w:rFonts w:asciiTheme="minorHAnsi" w:hAnsiTheme="minorHAnsi" w:cstheme="minorHAnsi"/>
          <w:sz w:val="24"/>
          <w:szCs w:val="24"/>
          <w:lang w:val="en-US"/>
        </w:rPr>
        <w:t>. Kopenhagen: World Health Organization.</w:t>
      </w:r>
    </w:p>
    <w:p w14:paraId="372057F0"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Eitler, T. W., McMahon, E., &amp; Thoerig, T. (2013). </w:t>
      </w:r>
      <w:r w:rsidRPr="0051709F">
        <w:rPr>
          <w:rFonts w:asciiTheme="minorHAnsi" w:hAnsiTheme="minorHAnsi" w:cstheme="minorHAnsi"/>
          <w:i/>
          <w:iCs/>
          <w:sz w:val="24"/>
          <w:szCs w:val="24"/>
          <w:lang w:val="en-US"/>
        </w:rPr>
        <w:t>Ten principles for building healthy places</w:t>
      </w:r>
      <w:r w:rsidRPr="0051709F">
        <w:rPr>
          <w:rFonts w:asciiTheme="minorHAnsi" w:hAnsiTheme="minorHAnsi" w:cstheme="minorHAnsi"/>
          <w:sz w:val="24"/>
          <w:szCs w:val="24"/>
          <w:lang w:val="en-US"/>
        </w:rPr>
        <w:t>. Washington, DC: Urban Land Institute.</w:t>
      </w:r>
    </w:p>
    <w:p w14:paraId="6EDA6E7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Epstein, L. H., Beecher, M. D., Graf, J. L., y Roemmich, J. N. (2007). Choice of interactive dance and bicycle games in overweight and non-overweight youth. </w:t>
      </w:r>
      <w:r w:rsidRPr="0051709F">
        <w:rPr>
          <w:rFonts w:asciiTheme="minorHAnsi" w:hAnsiTheme="minorHAnsi" w:cstheme="minorHAnsi"/>
          <w:i/>
          <w:sz w:val="24"/>
          <w:szCs w:val="24"/>
        </w:rPr>
        <w:t>Annals of Behavioral Medicine, 33</w:t>
      </w:r>
      <w:r w:rsidRPr="0051709F">
        <w:rPr>
          <w:rFonts w:asciiTheme="minorHAnsi" w:hAnsiTheme="minorHAnsi" w:cstheme="minorHAnsi"/>
          <w:sz w:val="24"/>
          <w:szCs w:val="24"/>
        </w:rPr>
        <w:t>, 124-131.</w:t>
      </w:r>
    </w:p>
    <w:p w14:paraId="4CCDF5F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Ernst, M. P., y Pangrazi, R. P. (1999). </w:t>
      </w:r>
      <w:r w:rsidRPr="0051709F">
        <w:rPr>
          <w:rFonts w:asciiTheme="minorHAnsi" w:hAnsiTheme="minorHAnsi" w:cstheme="minorHAnsi"/>
          <w:sz w:val="24"/>
          <w:szCs w:val="24"/>
        </w:rPr>
        <w:t xml:space="preserve">Effects of a physical activity program on children’s activity levels and attraction to physical activity. </w:t>
      </w:r>
      <w:r w:rsidRPr="0051709F">
        <w:rPr>
          <w:rFonts w:asciiTheme="minorHAnsi" w:hAnsiTheme="minorHAnsi" w:cstheme="minorHAnsi"/>
          <w:i/>
          <w:sz w:val="24"/>
          <w:szCs w:val="24"/>
        </w:rPr>
        <w:t>Pediatric Exercise Science, 11(4)</w:t>
      </w:r>
      <w:r w:rsidRPr="0051709F">
        <w:rPr>
          <w:rFonts w:asciiTheme="minorHAnsi" w:hAnsiTheme="minorHAnsi" w:cstheme="minorHAnsi"/>
          <w:sz w:val="24"/>
          <w:szCs w:val="24"/>
        </w:rPr>
        <w:t>, 393-405.</w:t>
      </w:r>
    </w:p>
    <w:p w14:paraId="14612FD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Escalante, Y., Backx, K., Saavedra, J. M., García-Hermoso, A., y Domínguez, A. M. (2012). </w:t>
      </w:r>
      <w:r w:rsidRPr="0051709F">
        <w:rPr>
          <w:rFonts w:asciiTheme="minorHAnsi" w:hAnsiTheme="minorHAnsi" w:cstheme="minorHAnsi"/>
          <w:sz w:val="24"/>
          <w:szCs w:val="24"/>
        </w:rPr>
        <w:t xml:space="preserve">Play area and physical activity in recess in primary schools. </w:t>
      </w:r>
      <w:r w:rsidRPr="0051709F">
        <w:rPr>
          <w:rFonts w:asciiTheme="minorHAnsi" w:hAnsiTheme="minorHAnsi" w:cstheme="minorHAnsi"/>
          <w:i/>
          <w:sz w:val="24"/>
          <w:szCs w:val="24"/>
        </w:rPr>
        <w:t>International Journal of Fundamental and Applied Kinesiology, 42</w:t>
      </w:r>
      <w:r w:rsidRPr="0051709F">
        <w:rPr>
          <w:rFonts w:asciiTheme="minorHAnsi" w:hAnsiTheme="minorHAnsi" w:cstheme="minorHAnsi"/>
          <w:sz w:val="24"/>
          <w:szCs w:val="24"/>
        </w:rPr>
        <w:t xml:space="preserve">, 123-129. </w:t>
      </w:r>
    </w:p>
    <w:p w14:paraId="6F75064C"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Espada, M.; Martín, M.; Jiménez, V.; Moscoso, D.; Jiménez-Beatty, J.E.; Rivero, A. (2018). </w:t>
      </w:r>
      <w:r w:rsidRPr="0051709F">
        <w:rPr>
          <w:rFonts w:asciiTheme="minorHAnsi" w:hAnsiTheme="minorHAnsi" w:cstheme="minorHAnsi"/>
          <w:noProof/>
          <w:sz w:val="24"/>
          <w:szCs w:val="24"/>
        </w:rPr>
        <w:t xml:space="preserve">Leisure sports habits in Spanish adults: Gender and social differences. </w:t>
      </w:r>
      <w:r w:rsidRPr="0051709F">
        <w:rPr>
          <w:rFonts w:asciiTheme="minorHAnsi" w:hAnsiTheme="minorHAnsi" w:cstheme="minorHAnsi"/>
          <w:i/>
          <w:noProof/>
          <w:sz w:val="24"/>
          <w:szCs w:val="24"/>
        </w:rPr>
        <w:t>OBETS. Revista de Ciencias Sociales</w:t>
      </w:r>
      <w:r w:rsidRPr="0051709F">
        <w:rPr>
          <w:rFonts w:asciiTheme="minorHAnsi" w:hAnsiTheme="minorHAnsi" w:cstheme="minorHAnsi"/>
          <w:noProof/>
          <w:sz w:val="24"/>
          <w:szCs w:val="24"/>
        </w:rPr>
        <w:t>, 13(2), 495-513.</w:t>
      </w:r>
    </w:p>
    <w:p w14:paraId="777F7E7A"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European Commission. (2013). </w:t>
      </w:r>
      <w:r w:rsidRPr="0051709F">
        <w:rPr>
          <w:rFonts w:asciiTheme="minorHAnsi" w:hAnsiTheme="minorHAnsi" w:cstheme="minorHAnsi"/>
          <w:i/>
          <w:iCs/>
          <w:noProof/>
          <w:sz w:val="24"/>
          <w:szCs w:val="24"/>
        </w:rPr>
        <w:t>Comission staff working document. A monitoring framework for the implementation of policies to promote health enhancing physical activity (HEPA)</w:t>
      </w:r>
      <w:r w:rsidRPr="0051709F">
        <w:rPr>
          <w:rFonts w:asciiTheme="minorHAnsi" w:hAnsiTheme="minorHAnsi" w:cstheme="minorHAnsi"/>
          <w:noProof/>
          <w:sz w:val="24"/>
          <w:szCs w:val="24"/>
        </w:rPr>
        <w:t>. European Commission. https://eur-lex.europa.eu/legal-content/EN/TXT/?uri=CELEX:52013SC0310</w:t>
      </w:r>
    </w:p>
    <w:p w14:paraId="71240BAC"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Ferguson YL, Kasser T, Jahng S. Differences in life satisfaction and school satisfaction among adolescents from three nations: The role of perceived autonomy support. J Res Adolesc. 2011. </w:t>
      </w:r>
      <w:hyperlink r:id="rId140" w:history="1">
        <w:r w:rsidRPr="0051709F">
          <w:rPr>
            <w:rStyle w:val="Hipervnculo"/>
            <w:rFonts w:asciiTheme="minorHAnsi" w:hAnsiTheme="minorHAnsi" w:cstheme="minorHAnsi"/>
            <w:color w:val="auto"/>
            <w:sz w:val="24"/>
            <w:szCs w:val="24"/>
            <w:shd w:val="clear" w:color="auto" w:fill="FFFFFF"/>
          </w:rPr>
          <w:t>https://doi.org/10.1111/j.1532-7795.2010.00698.x</w:t>
        </w:r>
      </w:hyperlink>
      <w:r w:rsidRPr="0051709F">
        <w:rPr>
          <w:rFonts w:asciiTheme="minorHAnsi" w:hAnsiTheme="minorHAnsi" w:cstheme="minorHAnsi"/>
          <w:sz w:val="24"/>
          <w:szCs w:val="24"/>
          <w:shd w:val="clear" w:color="auto" w:fill="FFFFFF"/>
        </w:rPr>
        <w:t>.</w:t>
      </w:r>
    </w:p>
    <w:p w14:paraId="0EE0C15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Finnerty, T., Reeves, S., Dabinett, J., Jeanes, Y. M., y Vögele, C. (2010). Effects of peer influence on dietary intake and physical activity in schoolchildren. </w:t>
      </w:r>
      <w:r w:rsidRPr="0051709F">
        <w:rPr>
          <w:rFonts w:asciiTheme="minorHAnsi" w:hAnsiTheme="minorHAnsi" w:cstheme="minorHAnsi"/>
          <w:i/>
          <w:sz w:val="24"/>
          <w:szCs w:val="24"/>
        </w:rPr>
        <w:t>Public Health Nutrition, 13</w:t>
      </w:r>
      <w:r w:rsidRPr="0051709F">
        <w:rPr>
          <w:rFonts w:asciiTheme="minorHAnsi" w:hAnsiTheme="minorHAnsi" w:cstheme="minorHAnsi"/>
          <w:sz w:val="24"/>
          <w:szCs w:val="24"/>
        </w:rPr>
        <w:t xml:space="preserve">, 376-83. </w:t>
      </w:r>
    </w:p>
    <w:p w14:paraId="5F660A2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Fisher, A., Saxton, J., Hill, C., Webber, L., Purslow, L., y Wardle, J. (2011). Psychosocial correlates of objectively measured physical activity in children. </w:t>
      </w:r>
      <w:r w:rsidRPr="0051709F">
        <w:rPr>
          <w:rFonts w:asciiTheme="minorHAnsi" w:hAnsiTheme="minorHAnsi" w:cstheme="minorHAnsi"/>
          <w:i/>
          <w:sz w:val="24"/>
          <w:szCs w:val="24"/>
        </w:rPr>
        <w:t>European Journal of Public Health, 21</w:t>
      </w:r>
      <w:r w:rsidRPr="0051709F">
        <w:rPr>
          <w:rFonts w:asciiTheme="minorHAnsi" w:hAnsiTheme="minorHAnsi" w:cstheme="minorHAnsi"/>
          <w:sz w:val="24"/>
          <w:szCs w:val="24"/>
        </w:rPr>
        <w:t xml:space="preserve">, 145-50. </w:t>
      </w:r>
    </w:p>
    <w:p w14:paraId="68A19645"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Fox, K. R., Cooper, A., y McKenna, J. (2004). The school and promotion of children’s health-enhancing physical activity: perspectives from the United Kingdom. </w:t>
      </w:r>
      <w:r w:rsidRPr="0051709F">
        <w:rPr>
          <w:rFonts w:asciiTheme="minorHAnsi" w:hAnsiTheme="minorHAnsi" w:cstheme="minorHAnsi"/>
          <w:i/>
          <w:sz w:val="24"/>
          <w:szCs w:val="24"/>
        </w:rPr>
        <w:t>Journal of School Health, 23</w:t>
      </w:r>
      <w:r w:rsidRPr="0051709F">
        <w:rPr>
          <w:rFonts w:asciiTheme="minorHAnsi" w:hAnsiTheme="minorHAnsi" w:cstheme="minorHAnsi"/>
          <w:sz w:val="24"/>
          <w:szCs w:val="24"/>
        </w:rPr>
        <w:t xml:space="preserve">, 338-58. </w:t>
      </w:r>
    </w:p>
    <w:p w14:paraId="1A0ED62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Fox, K. R., y Harris, J. (2003). Promoting physical activity through schools. En J. McKenna y C. Riddoch (Eds.), </w:t>
      </w:r>
      <w:r w:rsidRPr="0051709F">
        <w:rPr>
          <w:rFonts w:asciiTheme="minorHAnsi" w:hAnsiTheme="minorHAnsi" w:cstheme="minorHAnsi"/>
          <w:i/>
          <w:sz w:val="24"/>
          <w:szCs w:val="24"/>
        </w:rPr>
        <w:t xml:space="preserve">Perspectives on health and exercise </w:t>
      </w:r>
      <w:r w:rsidRPr="0051709F">
        <w:rPr>
          <w:rFonts w:asciiTheme="minorHAnsi" w:hAnsiTheme="minorHAnsi" w:cstheme="minorHAnsi"/>
          <w:sz w:val="24"/>
          <w:szCs w:val="24"/>
        </w:rPr>
        <w:t>(pp. 87-98). Basingstoke: Palgrave-Macmillan.</w:t>
      </w:r>
    </w:p>
    <w:p w14:paraId="463B0830"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Frank, L. D., Andresen, M. A., &amp; Schmid, T. L. (2004). Obesity relationships with community design, physical activity, and time spent in cars. </w:t>
      </w:r>
      <w:r w:rsidRPr="0051709F">
        <w:rPr>
          <w:rFonts w:asciiTheme="minorHAnsi" w:hAnsiTheme="minorHAnsi" w:cstheme="minorHAnsi"/>
          <w:i/>
          <w:iCs/>
          <w:sz w:val="24"/>
          <w:szCs w:val="24"/>
          <w:lang w:val="en-US"/>
        </w:rPr>
        <w:t>American Journal of Preventive Medicine</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27</w:t>
      </w:r>
      <w:r w:rsidRPr="0051709F">
        <w:rPr>
          <w:rFonts w:asciiTheme="minorHAnsi" w:hAnsiTheme="minorHAnsi" w:cstheme="minorHAnsi"/>
          <w:sz w:val="24"/>
          <w:szCs w:val="24"/>
          <w:lang w:val="en-US"/>
        </w:rPr>
        <w:t>(2), 87–96. https://doi.org/10.1016/j.amepre.2004.04.011</w:t>
      </w:r>
    </w:p>
    <w:p w14:paraId="61B5E7B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Fredricks, J. A., y Eccles, J. S. (2002). </w:t>
      </w:r>
      <w:r w:rsidRPr="0051709F">
        <w:rPr>
          <w:rFonts w:asciiTheme="minorHAnsi" w:hAnsiTheme="minorHAnsi" w:cstheme="minorHAnsi"/>
          <w:sz w:val="24"/>
          <w:szCs w:val="24"/>
        </w:rPr>
        <w:t xml:space="preserve">Children’s competence and value beliefs from childhood through adolescence: Growth trajectories in two male-sex-typed domains. </w:t>
      </w:r>
      <w:r w:rsidRPr="0051709F">
        <w:rPr>
          <w:rFonts w:asciiTheme="minorHAnsi" w:hAnsiTheme="minorHAnsi" w:cstheme="minorHAnsi"/>
          <w:i/>
          <w:sz w:val="24"/>
          <w:szCs w:val="24"/>
        </w:rPr>
        <w:t>Developmental Psychology, 38</w:t>
      </w:r>
      <w:r w:rsidRPr="0051709F">
        <w:rPr>
          <w:rFonts w:asciiTheme="minorHAnsi" w:hAnsiTheme="minorHAnsi" w:cstheme="minorHAnsi"/>
          <w:sz w:val="24"/>
          <w:szCs w:val="24"/>
        </w:rPr>
        <w:t>, 519-533.</w:t>
      </w:r>
    </w:p>
    <w:p w14:paraId="1A88106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lastRenderedPageBreak/>
        <w:t xml:space="preserve">Fredricks, J. A., y Eccles, J. S. (2005). </w:t>
      </w:r>
      <w:r w:rsidRPr="0051709F">
        <w:rPr>
          <w:rFonts w:asciiTheme="minorHAnsi" w:hAnsiTheme="minorHAnsi" w:cstheme="minorHAnsi"/>
          <w:sz w:val="24"/>
          <w:szCs w:val="24"/>
        </w:rPr>
        <w:t xml:space="preserve">Family Socialization, Gender, and Sport Motivation and Involvement. </w:t>
      </w:r>
      <w:r w:rsidRPr="0051709F">
        <w:rPr>
          <w:rFonts w:asciiTheme="minorHAnsi" w:hAnsiTheme="minorHAnsi" w:cstheme="minorHAnsi"/>
          <w:i/>
          <w:sz w:val="24"/>
          <w:szCs w:val="24"/>
        </w:rPr>
        <w:t>Journal of Sport &amp; Exercise Psychology, 27(1),</w:t>
      </w:r>
      <w:r w:rsidRPr="0051709F">
        <w:rPr>
          <w:rFonts w:asciiTheme="minorHAnsi" w:hAnsiTheme="minorHAnsi" w:cstheme="minorHAnsi"/>
          <w:sz w:val="24"/>
          <w:szCs w:val="24"/>
        </w:rPr>
        <w:t xml:space="preserve"> 3-31.</w:t>
      </w:r>
    </w:p>
    <w:p w14:paraId="70E94775"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Galea, G., Vogel Kielgast, L., Tsay, S., Jewell, J., Breda, J., &amp; Racioppi, F. (2017). </w:t>
      </w:r>
      <w:r w:rsidRPr="0051709F">
        <w:rPr>
          <w:rFonts w:asciiTheme="minorHAnsi" w:hAnsiTheme="minorHAnsi" w:cstheme="minorHAnsi"/>
          <w:i/>
          <w:iCs/>
          <w:sz w:val="24"/>
          <w:szCs w:val="24"/>
          <w:lang w:val="en-US"/>
        </w:rPr>
        <w:t>Towards More Physical Activity in Cities. Transforming public spaces to promote physical activity—A key contributor to achieving the Sustainable Development Goals in Europe</w:t>
      </w:r>
      <w:r w:rsidRPr="0051709F">
        <w:rPr>
          <w:rFonts w:asciiTheme="minorHAnsi" w:hAnsiTheme="minorHAnsi" w:cstheme="minorHAnsi"/>
          <w:sz w:val="24"/>
          <w:szCs w:val="24"/>
          <w:lang w:val="en-US"/>
        </w:rPr>
        <w:t>. World Health Organization. Regional Office for Europe. Retrieved from World Health Organization. Regional Office for Europe. website: https://www.euro.who.int/__data/assets/pdf_file/0018/353043/2017_WHO_Report_FINAL_WEB.pdf</w:t>
      </w:r>
    </w:p>
    <w:p w14:paraId="406734C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Gao, Z. (2009). Students’ motivation, engagement, satisfaction, and cardiorespiratory fitness in physical education. </w:t>
      </w:r>
      <w:r w:rsidRPr="0051709F">
        <w:rPr>
          <w:rFonts w:asciiTheme="minorHAnsi" w:hAnsiTheme="minorHAnsi" w:cstheme="minorHAnsi"/>
          <w:i/>
          <w:sz w:val="24"/>
          <w:szCs w:val="24"/>
        </w:rPr>
        <w:t>Journal of Applied Sport Psychology, 21</w:t>
      </w:r>
      <w:r w:rsidRPr="0051709F">
        <w:rPr>
          <w:rFonts w:asciiTheme="minorHAnsi" w:hAnsiTheme="minorHAnsi" w:cstheme="minorHAnsi"/>
          <w:sz w:val="24"/>
          <w:szCs w:val="24"/>
        </w:rPr>
        <w:t xml:space="preserve">, S102-S115. </w:t>
      </w:r>
    </w:p>
    <w:p w14:paraId="525FEDF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Gao, Z., Podlog, L., y Huang, C. (2013). </w:t>
      </w:r>
      <w:r w:rsidRPr="0051709F">
        <w:rPr>
          <w:rFonts w:asciiTheme="minorHAnsi" w:hAnsiTheme="minorHAnsi" w:cstheme="minorHAnsi"/>
          <w:sz w:val="24"/>
          <w:szCs w:val="24"/>
        </w:rPr>
        <w:t xml:space="preserve">Associations among children’s situational motivation, physical activity participation, and enjoyment in an interactive dance game. </w:t>
      </w:r>
      <w:r w:rsidRPr="0051709F">
        <w:rPr>
          <w:rFonts w:asciiTheme="minorHAnsi" w:hAnsiTheme="minorHAnsi" w:cstheme="minorHAnsi"/>
          <w:i/>
          <w:sz w:val="24"/>
          <w:szCs w:val="24"/>
        </w:rPr>
        <w:t>Journal of Sport and Health Science, 2</w:t>
      </w:r>
      <w:r w:rsidRPr="0051709F">
        <w:rPr>
          <w:rFonts w:asciiTheme="minorHAnsi" w:hAnsiTheme="minorHAnsi" w:cstheme="minorHAnsi"/>
          <w:sz w:val="24"/>
          <w:szCs w:val="24"/>
        </w:rPr>
        <w:t>, 122-128.</w:t>
      </w:r>
    </w:p>
    <w:p w14:paraId="4539D1E2"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Gasol Foundation. (2019). </w:t>
      </w:r>
      <w:r w:rsidRPr="0051709F">
        <w:rPr>
          <w:rFonts w:asciiTheme="minorHAnsi" w:eastAsia="Times New Roman" w:hAnsiTheme="minorHAnsi" w:cstheme="minorHAnsi"/>
          <w:i/>
          <w:iCs/>
          <w:sz w:val="24"/>
          <w:szCs w:val="24"/>
        </w:rPr>
        <w:t>Estudio PASOS - Physical Activity, Sedentarism and Obesity of Spain youth</w:t>
      </w:r>
      <w:r w:rsidRPr="0051709F">
        <w:rPr>
          <w:rFonts w:asciiTheme="minorHAnsi" w:eastAsia="Times New Roman" w:hAnsiTheme="minorHAnsi" w:cstheme="minorHAnsi"/>
          <w:sz w:val="24"/>
          <w:szCs w:val="24"/>
        </w:rPr>
        <w:t>.</w:t>
      </w:r>
    </w:p>
    <w:p w14:paraId="5635B62C"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Gelius, P., Messing, S., Tcymbal, A., Whiting, S., Breda, J., &amp; Abu-Omar, K. (2022). Policy instruments for health promotion: a comparison of WHO policy guidance for tobacco, alcohol, nutrition and physical activity. </w:t>
      </w:r>
      <w:r w:rsidRPr="0051709F">
        <w:rPr>
          <w:rFonts w:asciiTheme="minorHAnsi" w:hAnsiTheme="minorHAnsi" w:cstheme="minorHAnsi"/>
          <w:i/>
          <w:iCs/>
          <w:noProof/>
          <w:sz w:val="24"/>
          <w:szCs w:val="24"/>
        </w:rPr>
        <w:t>International Journal of Health Policy and Management</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11</w:t>
      </w:r>
      <w:r w:rsidRPr="0051709F">
        <w:rPr>
          <w:rFonts w:asciiTheme="minorHAnsi" w:hAnsiTheme="minorHAnsi" w:cstheme="minorHAnsi"/>
          <w:noProof/>
          <w:sz w:val="24"/>
          <w:szCs w:val="24"/>
        </w:rPr>
        <w:t>(9), 1863–1873. https://doi.org/10.34172/IJHPM.2021.95</w:t>
      </w:r>
    </w:p>
    <w:p w14:paraId="659AA57A"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Gil-Quintana, J., Sáenz-Macana, A. M., López-Cañada, E., Úbeda-Colomer, J., &amp; Pereira-García, S. (2022). </w:t>
      </w:r>
      <w:r w:rsidRPr="0051709F">
        <w:rPr>
          <w:rFonts w:asciiTheme="minorHAnsi" w:eastAsia="Times New Roman" w:hAnsiTheme="minorHAnsi" w:cstheme="minorHAnsi"/>
          <w:sz w:val="24"/>
          <w:szCs w:val="24"/>
        </w:rPr>
        <w:t xml:space="preserve">LGBTQ people in physical activity and sport in Spain. In </w:t>
      </w:r>
      <w:r w:rsidRPr="0051709F">
        <w:rPr>
          <w:rFonts w:asciiTheme="minorHAnsi" w:eastAsia="Times New Roman" w:hAnsiTheme="minorHAnsi" w:cstheme="minorHAnsi"/>
          <w:i/>
          <w:iCs/>
          <w:sz w:val="24"/>
          <w:szCs w:val="24"/>
        </w:rPr>
        <w:t>Sport, Identity and Inclusion in Europe</w:t>
      </w:r>
      <w:r w:rsidRPr="0051709F">
        <w:rPr>
          <w:rFonts w:asciiTheme="minorHAnsi" w:eastAsia="Times New Roman" w:hAnsiTheme="minorHAnsi" w:cstheme="minorHAnsi"/>
          <w:sz w:val="24"/>
          <w:szCs w:val="24"/>
        </w:rPr>
        <w:t xml:space="preserve"> (pp. 128–139). Routledge. https://doi.org/10.4324/9781003196761-13</w:t>
      </w:r>
    </w:p>
    <w:p w14:paraId="78CB1DF2"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Giráldez, M., Tarducci, O. La prevención de los efectos sobre la salud derivados del trabajo sedentario en jóvenes asociado a las nuevas tecnologías.</w:t>
      </w:r>
      <w:r w:rsidRPr="0051709F">
        <w:rPr>
          <w:rFonts w:asciiTheme="minorHAnsi" w:hAnsiTheme="minorHAnsi" w:cstheme="minorHAnsi"/>
          <w:b/>
          <w:bCs/>
          <w:sz w:val="24"/>
          <w:szCs w:val="24"/>
          <w:lang w:val="es-ES"/>
        </w:rPr>
        <w:t xml:space="preserve"> </w:t>
      </w:r>
      <w:r w:rsidRPr="0051709F">
        <w:rPr>
          <w:rFonts w:asciiTheme="minorHAnsi" w:hAnsiTheme="minorHAnsi" w:cstheme="minorHAnsi"/>
          <w:sz w:val="24"/>
          <w:szCs w:val="24"/>
          <w:lang w:val="es-ES"/>
        </w:rPr>
        <w:t>Instituto Nacional de Seguridad y Salud en el Trabajo (INSST), Madrid, 2018.</w:t>
      </w:r>
    </w:p>
    <w:p w14:paraId="2348CAF2"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Glanz, K., y Bishop, D. B. (2010). The role of behavioral science theory in development and implementation of public health interventions. </w:t>
      </w:r>
      <w:r w:rsidRPr="0051709F">
        <w:rPr>
          <w:rFonts w:asciiTheme="minorHAnsi" w:hAnsiTheme="minorHAnsi" w:cstheme="minorHAnsi"/>
          <w:sz w:val="24"/>
          <w:szCs w:val="24"/>
        </w:rPr>
        <w:t>A</w:t>
      </w:r>
      <w:r w:rsidRPr="0051709F">
        <w:rPr>
          <w:rFonts w:asciiTheme="minorHAnsi" w:hAnsiTheme="minorHAnsi" w:cstheme="minorHAnsi"/>
          <w:i/>
          <w:iCs/>
          <w:sz w:val="24"/>
          <w:szCs w:val="24"/>
        </w:rPr>
        <w:t>nnual Review of Public Health</w:t>
      </w:r>
      <w:r w:rsidRPr="0051709F">
        <w:rPr>
          <w:rFonts w:asciiTheme="minorHAnsi" w:hAnsiTheme="minorHAnsi" w:cstheme="minorHAnsi"/>
          <w:sz w:val="24"/>
          <w:szCs w:val="24"/>
          <w:shd w:val="clear" w:color="auto" w:fill="FFFFFF"/>
        </w:rPr>
        <w:t>. </w:t>
      </w:r>
      <w:hyperlink r:id="rId141" w:history="1">
        <w:r w:rsidRPr="0051709F">
          <w:rPr>
            <w:rStyle w:val="Hipervnculo"/>
            <w:rFonts w:asciiTheme="minorHAnsi" w:hAnsiTheme="minorHAnsi" w:cstheme="minorHAnsi"/>
            <w:color w:val="auto"/>
            <w:sz w:val="24"/>
            <w:szCs w:val="24"/>
            <w:shd w:val="clear" w:color="auto" w:fill="FFFFFF"/>
          </w:rPr>
          <w:t>https://doi.org/10.1146/annurev.publhealth.012809.103604</w:t>
        </w:r>
      </w:hyperlink>
      <w:r w:rsidRPr="0051709F">
        <w:rPr>
          <w:rFonts w:asciiTheme="minorHAnsi" w:hAnsiTheme="minorHAnsi" w:cstheme="minorHAnsi"/>
          <w:sz w:val="24"/>
          <w:szCs w:val="24"/>
          <w:shd w:val="clear" w:color="auto" w:fill="FFFFFF"/>
        </w:rPr>
        <w:t>.</w:t>
      </w:r>
    </w:p>
    <w:p w14:paraId="3A9E6D79"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Global Active City Label. (n.d.). Retrieved January 14, 2023, from Active Well-being Initiative website: http://activewellbeing.org/global-active-city/</w:t>
      </w:r>
    </w:p>
    <w:p w14:paraId="6ADA805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Graf, D. L., Pratt, L. V., Hester, C. N., y Short, K. R. (2009). Playing active video games increases energy expenditure in children. </w:t>
      </w:r>
      <w:r w:rsidRPr="0051709F">
        <w:rPr>
          <w:rFonts w:asciiTheme="minorHAnsi" w:hAnsiTheme="minorHAnsi" w:cstheme="minorHAnsi"/>
          <w:i/>
          <w:sz w:val="24"/>
          <w:szCs w:val="24"/>
        </w:rPr>
        <w:t>Pediatrics, 124</w:t>
      </w:r>
      <w:r w:rsidRPr="0051709F">
        <w:rPr>
          <w:rFonts w:asciiTheme="minorHAnsi" w:hAnsiTheme="minorHAnsi" w:cstheme="minorHAnsi"/>
          <w:sz w:val="24"/>
          <w:szCs w:val="24"/>
        </w:rPr>
        <w:t>, 534-540.</w:t>
      </w:r>
    </w:p>
    <w:p w14:paraId="5B7A6B16"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lang w:val="es-ES"/>
        </w:rPr>
      </w:pPr>
      <w:r w:rsidRPr="0051709F">
        <w:rPr>
          <w:rFonts w:asciiTheme="minorHAnsi" w:eastAsia="Times New Roman" w:hAnsiTheme="minorHAnsi" w:cstheme="minorHAnsi"/>
          <w:sz w:val="24"/>
          <w:szCs w:val="24"/>
          <w:lang w:val="es-ES"/>
        </w:rPr>
        <w:t xml:space="preserve">Gobierno de España. (2023). </w:t>
      </w:r>
      <w:r w:rsidRPr="0051709F">
        <w:rPr>
          <w:rFonts w:asciiTheme="minorHAnsi" w:eastAsia="Times New Roman" w:hAnsiTheme="minorHAnsi" w:cstheme="minorHAnsi"/>
          <w:i/>
          <w:iCs/>
          <w:sz w:val="24"/>
          <w:szCs w:val="24"/>
          <w:lang w:val="es-ES"/>
        </w:rPr>
        <w:t>PLAN ESTRATÉGICO NACIONAL PARA LA REDUCCIÓN DE LA OBESIDAD INFANTIL (2022-2030) Resumen ejecutivo</w:t>
      </w:r>
      <w:r w:rsidRPr="0051709F">
        <w:rPr>
          <w:rFonts w:asciiTheme="minorHAnsi" w:eastAsia="Times New Roman" w:hAnsiTheme="minorHAnsi" w:cstheme="minorHAnsi"/>
          <w:sz w:val="24"/>
          <w:szCs w:val="24"/>
          <w:lang w:val="es-ES"/>
        </w:rPr>
        <w:t>.</w:t>
      </w:r>
    </w:p>
    <w:p w14:paraId="026B10F9"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Gómez, S. F. (2017). </w:t>
      </w:r>
      <w:r w:rsidRPr="0051709F">
        <w:rPr>
          <w:rFonts w:asciiTheme="minorHAnsi" w:eastAsia="Times New Roman" w:hAnsiTheme="minorHAnsi" w:cstheme="minorHAnsi"/>
          <w:i/>
          <w:iCs/>
          <w:sz w:val="24"/>
          <w:szCs w:val="24"/>
          <w:lang w:val="es-ES"/>
        </w:rPr>
        <w:t>Prevalencia, determinantes y prevención de la obesidad infantil</w:t>
      </w:r>
      <w:r w:rsidRPr="0051709F">
        <w:rPr>
          <w:rFonts w:asciiTheme="minorHAnsi" w:eastAsia="Times New Roman" w:hAnsiTheme="minorHAnsi" w:cstheme="minorHAnsi"/>
          <w:sz w:val="24"/>
          <w:szCs w:val="24"/>
          <w:lang w:val="es-ES"/>
        </w:rPr>
        <w:t xml:space="preserve"> [Higiene y salud pública]. </w:t>
      </w:r>
      <w:r w:rsidRPr="0051709F">
        <w:rPr>
          <w:rFonts w:asciiTheme="minorHAnsi" w:eastAsia="Times New Roman" w:hAnsiTheme="minorHAnsi" w:cstheme="minorHAnsi"/>
          <w:sz w:val="24"/>
          <w:szCs w:val="24"/>
        </w:rPr>
        <w:t>Universitat Pompeu Fabra.</w:t>
      </w:r>
    </w:p>
    <w:p w14:paraId="6076DC1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Graves, L. E., Ridgers, N. D., y Stratton, G. (2008). The contribution of upper limb and total body movement to adolescents’ energy expenditure whilst playing Nintendo Wii. European </w:t>
      </w:r>
      <w:r w:rsidRPr="0051709F">
        <w:rPr>
          <w:rFonts w:asciiTheme="minorHAnsi" w:hAnsiTheme="minorHAnsi" w:cstheme="minorHAnsi"/>
          <w:i/>
          <w:sz w:val="24"/>
          <w:szCs w:val="24"/>
        </w:rPr>
        <w:t>Journal of Applied PhysiolOgy, 104</w:t>
      </w:r>
      <w:r w:rsidRPr="0051709F">
        <w:rPr>
          <w:rFonts w:asciiTheme="minorHAnsi" w:hAnsiTheme="minorHAnsi" w:cstheme="minorHAnsi"/>
          <w:sz w:val="24"/>
          <w:szCs w:val="24"/>
        </w:rPr>
        <w:t xml:space="preserve">, 617-623. </w:t>
      </w:r>
    </w:p>
    <w:p w14:paraId="4AE69B67"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b/>
          <w:bCs/>
        </w:rPr>
      </w:pPr>
      <w:r w:rsidRPr="0051709F">
        <w:rPr>
          <w:rFonts w:asciiTheme="minorHAnsi" w:hAnsiTheme="minorHAnsi" w:cstheme="minorHAnsi"/>
          <w:lang w:val="en-GB"/>
        </w:rPr>
        <w:t xml:space="preserve">Gray, S., Hooper, O., Hardley, S., Sandford, R., Aldous, D., Stirrup, J., Carse, N., y Bryant, A. (2022). A health(y) subject? Examining discourses of health in physical education curricula across the UK. </w:t>
      </w:r>
      <w:r w:rsidRPr="0051709F">
        <w:rPr>
          <w:rFonts w:asciiTheme="minorHAnsi" w:hAnsiTheme="minorHAnsi" w:cstheme="minorHAnsi"/>
          <w:i/>
          <w:iCs/>
        </w:rPr>
        <w:t>British Educational Research Journal, </w:t>
      </w:r>
      <w:r w:rsidRPr="0051709F">
        <w:rPr>
          <w:rStyle w:val="html-italic"/>
          <w:rFonts w:asciiTheme="minorHAnsi" w:eastAsiaTheme="majorEastAsia" w:hAnsiTheme="minorHAnsi" w:cstheme="minorHAnsi"/>
        </w:rPr>
        <w:t>48</w:t>
      </w:r>
      <w:r w:rsidRPr="0051709F">
        <w:rPr>
          <w:rFonts w:asciiTheme="minorHAnsi" w:hAnsiTheme="minorHAnsi" w:cstheme="minorHAnsi"/>
        </w:rPr>
        <w:t>, 1161-1182.</w:t>
      </w:r>
    </w:p>
    <w:p w14:paraId="0BE4939D" w14:textId="77777777" w:rsidR="00A65EF6" w:rsidRPr="00C13402"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b/>
          <w:bCs/>
          <w:lang w:val="de-DE"/>
        </w:rPr>
      </w:pPr>
      <w:r w:rsidRPr="0051709F">
        <w:rPr>
          <w:rFonts w:asciiTheme="minorHAnsi" w:hAnsiTheme="minorHAnsi" w:cstheme="minorHAnsi"/>
          <w:lang w:val="en-GB"/>
        </w:rPr>
        <w:lastRenderedPageBreak/>
        <w:t>Green, K. (2009). Exploring the everyday ‘philosophies’ of physical education teachers from a sociological perspective. En R. Bailey y D. Kirk (Eds),</w:t>
      </w:r>
      <w:r w:rsidRPr="0051709F">
        <w:rPr>
          <w:rStyle w:val="html-italic"/>
          <w:rFonts w:asciiTheme="minorHAnsi" w:eastAsiaTheme="majorEastAsia" w:hAnsiTheme="minorHAnsi" w:cstheme="minorHAnsi"/>
          <w:lang w:val="en-GB"/>
        </w:rPr>
        <w:t xml:space="preserve"> The Routledge Physical Education Reader</w:t>
      </w:r>
      <w:r w:rsidRPr="0051709F">
        <w:rPr>
          <w:rFonts w:asciiTheme="minorHAnsi" w:hAnsiTheme="minorHAnsi" w:cstheme="minorHAnsi"/>
          <w:lang w:val="en-GB"/>
        </w:rPr>
        <w:t xml:space="preserve"> (pp. 183-206). </w:t>
      </w:r>
      <w:r w:rsidRPr="00C13402">
        <w:rPr>
          <w:rFonts w:asciiTheme="minorHAnsi" w:hAnsiTheme="minorHAnsi" w:cstheme="minorHAnsi"/>
          <w:lang w:val="de-DE"/>
        </w:rPr>
        <w:t>Routledge.</w:t>
      </w:r>
    </w:p>
    <w:p w14:paraId="5AFFB5A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Grolnick, W. S., y Ryan, R. M. (1989). </w:t>
      </w:r>
      <w:r w:rsidRPr="0051709F">
        <w:rPr>
          <w:rFonts w:asciiTheme="minorHAnsi" w:hAnsiTheme="minorHAnsi" w:cstheme="minorHAnsi"/>
          <w:sz w:val="24"/>
          <w:szCs w:val="24"/>
        </w:rPr>
        <w:t xml:space="preserve">Parent styles associated with children’s selfregulation and competence in school. </w:t>
      </w:r>
      <w:r w:rsidRPr="0051709F">
        <w:rPr>
          <w:rFonts w:asciiTheme="minorHAnsi" w:hAnsiTheme="minorHAnsi" w:cstheme="minorHAnsi"/>
          <w:i/>
          <w:sz w:val="24"/>
          <w:szCs w:val="24"/>
        </w:rPr>
        <w:t>Journal of Educational Psychology, 81</w:t>
      </w:r>
      <w:r w:rsidRPr="0051709F">
        <w:rPr>
          <w:rFonts w:asciiTheme="minorHAnsi" w:hAnsiTheme="minorHAnsi" w:cstheme="minorHAnsi"/>
          <w:sz w:val="24"/>
          <w:szCs w:val="24"/>
        </w:rPr>
        <w:t>, 143-154.</w:t>
      </w:r>
    </w:p>
    <w:p w14:paraId="1EE92D7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Gunter, B. (2005). Psychological effects of video games. En J. Raessens y F. Goldstein (Eds.), </w:t>
      </w:r>
      <w:r w:rsidRPr="0051709F">
        <w:rPr>
          <w:rFonts w:asciiTheme="minorHAnsi" w:hAnsiTheme="minorHAnsi" w:cstheme="minorHAnsi"/>
          <w:i/>
          <w:sz w:val="24"/>
          <w:szCs w:val="24"/>
        </w:rPr>
        <w:t>Handbook of computer game studies</w:t>
      </w:r>
      <w:r w:rsidRPr="0051709F">
        <w:rPr>
          <w:rFonts w:asciiTheme="minorHAnsi" w:hAnsiTheme="minorHAnsi" w:cstheme="minorHAnsi"/>
          <w:sz w:val="24"/>
          <w:szCs w:val="24"/>
        </w:rPr>
        <w:t xml:space="preserve"> (pp. 145-160). Cambridge: MIT Press.</w:t>
      </w:r>
    </w:p>
    <w:p w14:paraId="72825851"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Gurney, P. W. (1987). The use of operant techniques to raise self-steem in maladjusted children. </w:t>
      </w:r>
      <w:r w:rsidRPr="0051709F">
        <w:rPr>
          <w:rFonts w:asciiTheme="minorHAnsi" w:hAnsiTheme="minorHAnsi" w:cstheme="minorHAnsi"/>
          <w:i/>
          <w:sz w:val="24"/>
          <w:szCs w:val="24"/>
        </w:rPr>
        <w:t>British Journal of Educational Psychology, 57(1),</w:t>
      </w:r>
      <w:r w:rsidRPr="0051709F">
        <w:rPr>
          <w:rFonts w:asciiTheme="minorHAnsi" w:hAnsiTheme="minorHAnsi" w:cstheme="minorHAnsi"/>
          <w:sz w:val="24"/>
          <w:szCs w:val="24"/>
        </w:rPr>
        <w:t xml:space="preserve"> 87-94.</w:t>
      </w:r>
    </w:p>
    <w:p w14:paraId="0D8301B5"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color w:val="222222"/>
          <w:sz w:val="24"/>
          <w:szCs w:val="24"/>
          <w:shd w:val="clear" w:color="auto" w:fill="FFFFFF"/>
        </w:rPr>
        <w:t>Guthold, R., Stevens, G. A., Riley, L. M., &amp; Bull, F. C. (2018). Worldwide trends in insufficient physical activity from 2001 to 2016: a pooled analysis of 358 population-based surveys with 1· 9 million participants. </w:t>
      </w:r>
      <w:r w:rsidRPr="0051709F">
        <w:rPr>
          <w:rFonts w:asciiTheme="minorHAnsi" w:hAnsiTheme="minorHAnsi" w:cstheme="minorHAnsi"/>
          <w:i/>
          <w:iCs/>
          <w:color w:val="222222"/>
          <w:sz w:val="24"/>
          <w:szCs w:val="24"/>
          <w:shd w:val="clear" w:color="auto" w:fill="FFFFFF"/>
        </w:rPr>
        <w:t>The lancet global health</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6</w:t>
      </w:r>
      <w:r w:rsidRPr="0051709F">
        <w:rPr>
          <w:rFonts w:asciiTheme="minorHAnsi" w:hAnsiTheme="minorHAnsi" w:cstheme="minorHAnsi"/>
          <w:color w:val="222222"/>
          <w:sz w:val="24"/>
          <w:szCs w:val="24"/>
          <w:shd w:val="clear" w:color="auto" w:fill="FFFFFF"/>
        </w:rPr>
        <w:t>(10), e1077-e1086.</w:t>
      </w:r>
    </w:p>
    <w:p w14:paraId="75E52DFB"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Hagger, M. S., Chatzisarantis, N. L., Culverhouse, T., y Biddle, S. J. (2003). The processes by which perceived autonomy support in physical education promotes leisure-time physical activity intentions and behavior: a trans-contextual model. </w:t>
      </w:r>
      <w:r w:rsidRPr="0051709F">
        <w:rPr>
          <w:rFonts w:asciiTheme="minorHAnsi" w:hAnsiTheme="minorHAnsi" w:cstheme="minorHAnsi"/>
          <w:i/>
          <w:iCs/>
          <w:sz w:val="24"/>
          <w:szCs w:val="24"/>
        </w:rPr>
        <w:t>Journal of Educational Psychology</w:t>
      </w:r>
      <w:r w:rsidRPr="0051709F">
        <w:rPr>
          <w:rFonts w:asciiTheme="minorHAnsi" w:hAnsiTheme="minorHAnsi" w:cstheme="minorHAnsi"/>
          <w:i/>
          <w:iCs/>
          <w:sz w:val="24"/>
          <w:szCs w:val="24"/>
          <w:shd w:val="clear" w:color="auto" w:fill="FFFFFF"/>
        </w:rPr>
        <w:t>.</w:t>
      </w:r>
      <w:r w:rsidRPr="0051709F">
        <w:rPr>
          <w:rFonts w:asciiTheme="minorHAnsi" w:hAnsiTheme="minorHAnsi" w:cstheme="minorHAnsi"/>
          <w:sz w:val="24"/>
          <w:szCs w:val="24"/>
          <w:shd w:val="clear" w:color="auto" w:fill="FFFFFF"/>
        </w:rPr>
        <w:t> </w:t>
      </w:r>
      <w:hyperlink r:id="rId142" w:history="1">
        <w:r w:rsidRPr="0051709F">
          <w:rPr>
            <w:rStyle w:val="Hipervnculo"/>
            <w:rFonts w:asciiTheme="minorHAnsi" w:hAnsiTheme="minorHAnsi" w:cstheme="minorHAnsi"/>
            <w:color w:val="auto"/>
            <w:sz w:val="24"/>
            <w:szCs w:val="24"/>
            <w:shd w:val="clear" w:color="auto" w:fill="FFFFFF"/>
          </w:rPr>
          <w:t>https://doi.org/10.1037/0022-0663.95.4.784</w:t>
        </w:r>
      </w:hyperlink>
      <w:r w:rsidRPr="0051709F">
        <w:rPr>
          <w:rFonts w:asciiTheme="minorHAnsi" w:hAnsiTheme="minorHAnsi" w:cstheme="minorHAnsi"/>
          <w:sz w:val="24"/>
          <w:szCs w:val="24"/>
          <w:shd w:val="clear" w:color="auto" w:fill="FFFFFF"/>
        </w:rPr>
        <w:t>.</w:t>
      </w:r>
    </w:p>
    <w:p w14:paraId="7421DCFB"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(2016). </w:t>
      </w:r>
      <w:r w:rsidRPr="0051709F">
        <w:rPr>
          <w:rFonts w:asciiTheme="minorHAnsi" w:hAnsiTheme="minorHAnsi" w:cstheme="minorHAnsi"/>
          <w:sz w:val="24"/>
          <w:szCs w:val="24"/>
          <w:shd w:val="clear" w:color="auto" w:fill="FFFFFF"/>
        </w:rPr>
        <w:t xml:space="preserve">The trans-contextual model of autonomous motivation in education: conceptual and empirical issues and meta-analysis. </w:t>
      </w:r>
      <w:r w:rsidRPr="0051709F">
        <w:rPr>
          <w:rFonts w:asciiTheme="minorHAnsi" w:hAnsiTheme="minorHAnsi" w:cstheme="minorHAnsi"/>
          <w:i/>
          <w:iCs/>
          <w:sz w:val="24"/>
          <w:szCs w:val="24"/>
        </w:rPr>
        <w:t>Review of Educational Research</w:t>
      </w:r>
      <w:r w:rsidRPr="0051709F">
        <w:rPr>
          <w:rFonts w:asciiTheme="minorHAnsi" w:hAnsiTheme="minorHAnsi" w:cstheme="minorHAnsi"/>
          <w:sz w:val="24"/>
          <w:szCs w:val="24"/>
          <w:shd w:val="clear" w:color="auto" w:fill="FFFFFF"/>
        </w:rPr>
        <w:t>. </w:t>
      </w:r>
      <w:hyperlink r:id="rId143" w:history="1">
        <w:r w:rsidRPr="0051709F">
          <w:rPr>
            <w:rStyle w:val="Hipervnculo"/>
            <w:rFonts w:asciiTheme="minorHAnsi" w:hAnsiTheme="minorHAnsi" w:cstheme="minorHAnsi"/>
            <w:color w:val="auto"/>
            <w:sz w:val="24"/>
            <w:szCs w:val="24"/>
            <w:shd w:val="clear" w:color="auto" w:fill="FFFFFF"/>
          </w:rPr>
          <w:t>https://doi.org/10.3102/0034654315585005</w:t>
        </w:r>
      </w:hyperlink>
      <w:r w:rsidRPr="0051709F">
        <w:rPr>
          <w:rFonts w:asciiTheme="minorHAnsi" w:hAnsiTheme="minorHAnsi" w:cstheme="minorHAnsi"/>
          <w:sz w:val="24"/>
          <w:szCs w:val="24"/>
          <w:shd w:val="clear" w:color="auto" w:fill="FFFFFF"/>
        </w:rPr>
        <w:t>.</w:t>
      </w:r>
    </w:p>
    <w:p w14:paraId="5227917A"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(2016). </w:t>
      </w:r>
      <w:r w:rsidRPr="0051709F">
        <w:rPr>
          <w:rFonts w:asciiTheme="minorHAnsi" w:hAnsiTheme="minorHAnsi" w:cstheme="minorHAnsi"/>
          <w:sz w:val="24"/>
          <w:szCs w:val="24"/>
          <w:shd w:val="clear" w:color="auto" w:fill="FFFFFF"/>
        </w:rPr>
        <w:t xml:space="preserve">The trans-contextual model of autonomous motivation in education: conceptual and empirical issues and meta-analysis. </w:t>
      </w:r>
      <w:r w:rsidRPr="0051709F">
        <w:rPr>
          <w:rFonts w:asciiTheme="minorHAnsi" w:hAnsiTheme="minorHAnsi" w:cstheme="minorHAnsi"/>
          <w:i/>
          <w:iCs/>
          <w:sz w:val="24"/>
          <w:szCs w:val="24"/>
        </w:rPr>
        <w:t>Review of Educational Research</w:t>
      </w:r>
      <w:r w:rsidRPr="0051709F">
        <w:rPr>
          <w:rFonts w:asciiTheme="minorHAnsi" w:hAnsiTheme="minorHAnsi" w:cstheme="minorHAnsi"/>
          <w:i/>
          <w:iCs/>
          <w:sz w:val="24"/>
          <w:szCs w:val="24"/>
          <w:shd w:val="clear" w:color="auto" w:fill="FFFFFF"/>
        </w:rPr>
        <w:t>.</w:t>
      </w:r>
      <w:r w:rsidRPr="0051709F">
        <w:rPr>
          <w:rFonts w:asciiTheme="minorHAnsi" w:hAnsiTheme="minorHAnsi" w:cstheme="minorHAnsi"/>
          <w:sz w:val="24"/>
          <w:szCs w:val="24"/>
          <w:shd w:val="clear" w:color="auto" w:fill="FFFFFF"/>
        </w:rPr>
        <w:t> </w:t>
      </w:r>
      <w:hyperlink r:id="rId144" w:history="1">
        <w:r w:rsidRPr="0051709F">
          <w:rPr>
            <w:rStyle w:val="Hipervnculo"/>
            <w:rFonts w:asciiTheme="minorHAnsi" w:hAnsiTheme="minorHAnsi" w:cstheme="minorHAnsi"/>
            <w:color w:val="auto"/>
            <w:sz w:val="24"/>
            <w:szCs w:val="24"/>
            <w:shd w:val="clear" w:color="auto" w:fill="FFFFFF"/>
          </w:rPr>
          <w:t>https://doi.org/10.3102/0034654315585005</w:t>
        </w:r>
      </w:hyperlink>
      <w:r w:rsidRPr="0051709F">
        <w:rPr>
          <w:rFonts w:asciiTheme="minorHAnsi" w:hAnsiTheme="minorHAnsi" w:cstheme="minorHAnsi"/>
          <w:sz w:val="24"/>
          <w:szCs w:val="24"/>
          <w:shd w:val="clear" w:color="auto" w:fill="FFFFFF"/>
        </w:rPr>
        <w:t>.</w:t>
      </w:r>
    </w:p>
    <w:p w14:paraId="5304DEBE"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Hagger, M. S., y Chatzisarantis, N. L. D. (2015). </w:t>
      </w:r>
      <w:r w:rsidRPr="0051709F">
        <w:rPr>
          <w:rFonts w:asciiTheme="minorHAnsi" w:hAnsiTheme="minorHAnsi" w:cstheme="minorHAnsi"/>
          <w:sz w:val="24"/>
          <w:szCs w:val="24"/>
          <w:shd w:val="clear" w:color="auto" w:fill="FFFFFF"/>
        </w:rPr>
        <w:t xml:space="preserve">Self-determination theory. En M. T. Conner y P. Norman (Eds.), </w:t>
      </w:r>
      <w:r w:rsidRPr="0051709F">
        <w:rPr>
          <w:rFonts w:asciiTheme="minorHAnsi" w:hAnsiTheme="minorHAnsi" w:cstheme="minorHAnsi"/>
          <w:i/>
          <w:iCs/>
          <w:sz w:val="24"/>
          <w:szCs w:val="24"/>
          <w:shd w:val="clear" w:color="auto" w:fill="FFFFFF"/>
        </w:rPr>
        <w:t xml:space="preserve">Predicting and changing health behaviour: research and practice with social cognition models </w:t>
      </w:r>
      <w:r w:rsidRPr="0051709F">
        <w:rPr>
          <w:rFonts w:asciiTheme="minorHAnsi" w:hAnsiTheme="minorHAnsi" w:cstheme="minorHAnsi"/>
          <w:sz w:val="24"/>
          <w:szCs w:val="24"/>
          <w:shd w:val="clear" w:color="auto" w:fill="FFFFFF"/>
        </w:rPr>
        <w:t>(p</w:t>
      </w:r>
      <w:r w:rsidRPr="0051709F">
        <w:rPr>
          <w:rFonts w:asciiTheme="minorHAnsi" w:hAnsiTheme="minorHAnsi" w:cstheme="minorHAnsi"/>
          <w:sz w:val="24"/>
          <w:szCs w:val="24"/>
        </w:rPr>
        <w:t>p. 107-141).</w:t>
      </w:r>
      <w:r w:rsidRPr="0051709F">
        <w:rPr>
          <w:rFonts w:asciiTheme="minorHAnsi" w:hAnsiTheme="minorHAnsi" w:cstheme="minorHAnsi"/>
          <w:sz w:val="24"/>
          <w:szCs w:val="24"/>
          <w:shd w:val="clear" w:color="auto" w:fill="FFFFFF"/>
        </w:rPr>
        <w:t xml:space="preserve"> Open University Press. </w:t>
      </w:r>
    </w:p>
    <w:p w14:paraId="7CE20EA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Hagger, M., Chatzisarantis, N. L., Hein, V., Soós, I., Karsai, I., Lintunen, T., y Leemans, S. (2009). Teacher, peer and parent autonomy support in physical education and leisure-time physical activity: A trans-contextual model of motivation in four nations. </w:t>
      </w:r>
      <w:r w:rsidRPr="0051709F">
        <w:rPr>
          <w:rFonts w:asciiTheme="minorHAnsi" w:hAnsiTheme="minorHAnsi" w:cstheme="minorHAnsi"/>
          <w:i/>
          <w:sz w:val="24"/>
          <w:szCs w:val="24"/>
        </w:rPr>
        <w:t>Psychology &amp; Health, 24(6)</w:t>
      </w:r>
      <w:r w:rsidRPr="0051709F">
        <w:rPr>
          <w:rFonts w:asciiTheme="minorHAnsi" w:hAnsiTheme="minorHAnsi" w:cstheme="minorHAnsi"/>
          <w:sz w:val="24"/>
          <w:szCs w:val="24"/>
        </w:rPr>
        <w:t>, 689-711.</w:t>
      </w:r>
    </w:p>
    <w:p w14:paraId="07598254"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Hammerschmidt, S., Cohen, A., Hayes, G., Institute, U. L., Leadership, R. C. for P., &amp; National League of Cities. (2016). </w:t>
      </w:r>
      <w:r w:rsidRPr="0051709F">
        <w:rPr>
          <w:rFonts w:asciiTheme="minorHAnsi" w:hAnsiTheme="minorHAnsi" w:cstheme="minorHAnsi"/>
          <w:i/>
          <w:iCs/>
          <w:sz w:val="24"/>
          <w:szCs w:val="24"/>
          <w:lang w:val="en-US"/>
        </w:rPr>
        <w:t>Building Healthy Corridors: Transforming Urban and Suburban Arterials Into Thriving Places</w:t>
      </w:r>
      <w:r w:rsidRPr="0051709F">
        <w:rPr>
          <w:rFonts w:asciiTheme="minorHAnsi" w:hAnsiTheme="minorHAnsi" w:cstheme="minorHAnsi"/>
          <w:sz w:val="24"/>
          <w:szCs w:val="24"/>
          <w:lang w:val="en-US"/>
        </w:rPr>
        <w:t>. Urban Land Institute. Retrieved from https://books.google.es/books?id=zmCJvgAACAAJ</w:t>
      </w:r>
    </w:p>
    <w:p w14:paraId="0FE979A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Haug, E., Torsheim, T., y Samdal, O. (2008). Physical environmental characteristics and individual interests as correlates of physical activity in Norwegian secondary schools: the health behaviour in school-aged children study. </w:t>
      </w:r>
      <w:r w:rsidRPr="0051709F">
        <w:rPr>
          <w:rFonts w:asciiTheme="minorHAnsi" w:hAnsiTheme="minorHAnsi" w:cstheme="minorHAnsi"/>
          <w:i/>
          <w:sz w:val="24"/>
          <w:szCs w:val="24"/>
        </w:rPr>
        <w:t>International Journal of Behavioral Nutrition and Physical Activity, 5</w:t>
      </w:r>
      <w:r w:rsidRPr="0051709F">
        <w:rPr>
          <w:rFonts w:asciiTheme="minorHAnsi" w:hAnsiTheme="minorHAnsi" w:cstheme="minorHAnsi"/>
          <w:sz w:val="24"/>
          <w:szCs w:val="24"/>
        </w:rPr>
        <w:t>, 47.</w:t>
      </w:r>
    </w:p>
    <w:p w14:paraId="0AECCAC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Heitzler, C. D., Martin, S. L., Duke, J., y Huhman, M. (2006). Correlates of physical activity in a national simple of children aged 9-13 years. </w:t>
      </w:r>
      <w:r w:rsidRPr="0051709F">
        <w:rPr>
          <w:rFonts w:asciiTheme="minorHAnsi" w:hAnsiTheme="minorHAnsi" w:cstheme="minorHAnsi"/>
          <w:i/>
          <w:sz w:val="24"/>
          <w:szCs w:val="24"/>
        </w:rPr>
        <w:t>Preventive Medicine, 42</w:t>
      </w:r>
      <w:r w:rsidRPr="0051709F">
        <w:rPr>
          <w:rFonts w:asciiTheme="minorHAnsi" w:hAnsiTheme="minorHAnsi" w:cstheme="minorHAnsi"/>
          <w:sz w:val="24"/>
          <w:szCs w:val="24"/>
        </w:rPr>
        <w:t>, 254-260.</w:t>
      </w:r>
    </w:p>
    <w:p w14:paraId="392CA065"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lastRenderedPageBreak/>
        <w:t>Held C, Iqbal R, Lear SA, Rosengren A, Islam S, Mathew J, et al. Physical activity levels, ownership of goods promoting sedentary behaviour and risk of myocardial infarction: results of the INTERHEART study. Eur Hear J Adv. 2012;33(2):452–66.</w:t>
      </w:r>
    </w:p>
    <w:p w14:paraId="00120395"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s-ES"/>
        </w:rPr>
      </w:pPr>
      <w:r w:rsidRPr="00C13402">
        <w:rPr>
          <w:rFonts w:asciiTheme="minorHAnsi" w:hAnsiTheme="minorHAnsi" w:cstheme="minorHAnsi"/>
          <w:sz w:val="24"/>
          <w:szCs w:val="24"/>
          <w:lang w:val="de-DE"/>
        </w:rPr>
        <w:t xml:space="preserve">Hernaiz-Sánchez, A., y Bäder-Gilabert, A. (2023). </w:t>
      </w:r>
      <w:r w:rsidRPr="0051709F">
        <w:rPr>
          <w:rFonts w:asciiTheme="minorHAnsi" w:eastAsia="Calibri" w:hAnsiTheme="minorHAnsi" w:cstheme="minorHAnsi"/>
          <w:sz w:val="24"/>
          <w:szCs w:val="24"/>
          <w:lang w:val="es-ES"/>
        </w:rPr>
        <w:t xml:space="preserve">Influencia de la Educación Física en los niveles de actividad física en la adolescencia. Una revisión sistemática. </w:t>
      </w:r>
      <w:r w:rsidRPr="0051709F">
        <w:rPr>
          <w:rFonts w:asciiTheme="minorHAnsi" w:eastAsia="Calibri" w:hAnsiTheme="minorHAnsi" w:cstheme="minorHAnsi"/>
          <w:i/>
          <w:iCs/>
          <w:sz w:val="24"/>
          <w:szCs w:val="24"/>
          <w:lang w:val="es-ES"/>
        </w:rPr>
        <w:t>Revista de Educación, 401</w:t>
      </w:r>
      <w:r w:rsidRPr="0051709F">
        <w:rPr>
          <w:rFonts w:asciiTheme="minorHAnsi" w:eastAsia="Calibri" w:hAnsiTheme="minorHAnsi" w:cstheme="minorHAnsi"/>
          <w:sz w:val="24"/>
          <w:szCs w:val="24"/>
          <w:lang w:val="es-ES"/>
        </w:rPr>
        <w:t>, 129-154. https://doi.org/10.4438/1988-592X-RE-2023-401-586</w:t>
      </w:r>
    </w:p>
    <w:p w14:paraId="4E202A25" w14:textId="77777777" w:rsidR="00A65EF6" w:rsidRPr="0051709F" w:rsidRDefault="00A65EF6" w:rsidP="00A65EF6">
      <w:pPr>
        <w:pStyle w:val="Prrafodelista"/>
        <w:numPr>
          <w:ilvl w:val="0"/>
          <w:numId w:val="78"/>
        </w:numPr>
        <w:jc w:val="both"/>
        <w:rPr>
          <w:rFonts w:asciiTheme="minorHAnsi" w:hAnsiTheme="minorHAnsi" w:cstheme="minorHAnsi"/>
          <w:color w:val="33312F"/>
          <w:sz w:val="24"/>
          <w:szCs w:val="24"/>
        </w:rPr>
      </w:pPr>
      <w:r w:rsidRPr="0051709F">
        <w:rPr>
          <w:rFonts w:asciiTheme="minorHAnsi" w:hAnsiTheme="minorHAnsi" w:cstheme="minorHAnsi"/>
          <w:sz w:val="24"/>
          <w:szCs w:val="24"/>
          <w:lang w:val="es-ES"/>
        </w:rPr>
        <w:t xml:space="preserve">Hill Consulting 2018. Cómo promover un buen uso de la bicicleta. BIO Banco Internacional de Desarrollo y Universidad de los Andes. </w:t>
      </w:r>
      <w:r w:rsidRPr="0051709F">
        <w:rPr>
          <w:rFonts w:asciiTheme="minorHAnsi" w:hAnsiTheme="minorHAnsi" w:cstheme="minorHAnsi"/>
          <w:sz w:val="24"/>
          <w:szCs w:val="24"/>
        </w:rPr>
        <w:t>Producto del Bien Público</w:t>
      </w:r>
      <w:r w:rsidRPr="0051709F">
        <w:rPr>
          <w:rFonts w:asciiTheme="minorHAnsi" w:hAnsiTheme="minorHAnsi" w:cstheme="minorHAnsi"/>
          <w:color w:val="33312F"/>
          <w:sz w:val="24"/>
          <w:szCs w:val="24"/>
        </w:rPr>
        <w:t xml:space="preserve"> RG-T2219</w:t>
      </w:r>
    </w:p>
    <w:p w14:paraId="42FD9E11"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Hirano, A., Suzuki, Y., Kuzuya, M., Onishi, J., Hasegawa, J., Ban, N., &amp; Umegaki, H. (2011). </w:t>
      </w:r>
      <w:r w:rsidRPr="0051709F">
        <w:rPr>
          <w:rFonts w:asciiTheme="minorHAnsi" w:eastAsia="Times New Roman" w:hAnsiTheme="minorHAnsi" w:cstheme="minorHAnsi"/>
          <w:sz w:val="24"/>
          <w:szCs w:val="24"/>
        </w:rPr>
        <w:t xml:space="preserve">Association between the caregiver’s burden and physical activity in community-dwelling caregivers of dementia patients. </w:t>
      </w:r>
      <w:r w:rsidRPr="0051709F">
        <w:rPr>
          <w:rFonts w:asciiTheme="minorHAnsi" w:eastAsia="Times New Roman" w:hAnsiTheme="minorHAnsi" w:cstheme="minorHAnsi"/>
          <w:i/>
          <w:iCs/>
          <w:sz w:val="24"/>
          <w:szCs w:val="24"/>
        </w:rPr>
        <w:t>Archives of Gerontology and Geriatrics</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52</w:t>
      </w:r>
      <w:r w:rsidRPr="0051709F">
        <w:rPr>
          <w:rFonts w:asciiTheme="minorHAnsi" w:eastAsia="Times New Roman" w:hAnsiTheme="minorHAnsi" w:cstheme="minorHAnsi"/>
          <w:sz w:val="24"/>
          <w:szCs w:val="24"/>
        </w:rPr>
        <w:t>(3), 295–298. https://doi.org/10.1016/J.ARCHGER.2010.04.011</w:t>
      </w:r>
    </w:p>
    <w:p w14:paraId="16A5C46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Hoehner, C. M., Soares, J., Parra, P. D., Ribeiro, I. C., Joshu, C. E., Pratt, M., Legetic, B. D., Malta, D. C., Matsudo, V. R., Ramos, L. R., Simoes, E. J., y Brownson, R. C. (2008). </w:t>
      </w:r>
      <w:r w:rsidRPr="0051709F">
        <w:rPr>
          <w:rFonts w:asciiTheme="minorHAnsi" w:hAnsiTheme="minorHAnsi" w:cstheme="minorHAnsi"/>
          <w:sz w:val="24"/>
          <w:szCs w:val="24"/>
        </w:rPr>
        <w:t xml:space="preserve">Physical activity interventions in Latin America: a systematic review. </w:t>
      </w:r>
      <w:r w:rsidRPr="0051709F">
        <w:rPr>
          <w:rFonts w:asciiTheme="minorHAnsi" w:hAnsiTheme="minorHAnsi" w:cstheme="minorHAnsi"/>
          <w:i/>
          <w:sz w:val="24"/>
          <w:szCs w:val="24"/>
        </w:rPr>
        <w:t>American Journal of Preventive Medicine, 34</w:t>
      </w:r>
      <w:r w:rsidRPr="0051709F">
        <w:rPr>
          <w:rFonts w:asciiTheme="minorHAnsi" w:hAnsiTheme="minorHAnsi" w:cstheme="minorHAnsi"/>
          <w:sz w:val="24"/>
          <w:szCs w:val="24"/>
        </w:rPr>
        <w:t xml:space="preserve">, 224-33. </w:t>
      </w:r>
    </w:p>
    <w:p w14:paraId="706B545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Hohepa, M., Scragg, R., Schofield, G., Kolt, G. S., y Schaaf, D. (2007). Social support for youth physical activity: Importance of siblings, parents, friends and school support across a segmented school day.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xml:space="preserve">, 54. </w:t>
      </w:r>
    </w:p>
    <w:p w14:paraId="608E7F2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Huberty, J., Siahpush, M., y Beighle, A. (2011). Ready for Recess: a pilot study to increase the physical activity in elementary school children. </w:t>
      </w:r>
      <w:r w:rsidRPr="0051709F">
        <w:rPr>
          <w:rFonts w:asciiTheme="minorHAnsi" w:hAnsiTheme="minorHAnsi" w:cstheme="minorHAnsi"/>
          <w:i/>
          <w:sz w:val="24"/>
          <w:szCs w:val="24"/>
        </w:rPr>
        <w:t>Journal of School Health, 81</w:t>
      </w:r>
      <w:r w:rsidRPr="0051709F">
        <w:rPr>
          <w:rFonts w:asciiTheme="minorHAnsi" w:hAnsiTheme="minorHAnsi" w:cstheme="minorHAnsi"/>
          <w:sz w:val="24"/>
          <w:szCs w:val="24"/>
        </w:rPr>
        <w:t xml:space="preserve">, 251-257. </w:t>
      </w:r>
    </w:p>
    <w:p w14:paraId="55B1631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Hupin, D., Raffin, J., Barth, N., Berger, M., Garet, M., Stampone, K., . . . Roche, F. (2019). Even a Previous Light-Active Physical Activity at Work Still Reduces Late Myocardial Infarction and Stroke in Retired Adults Aged&gt;65 Years by 32%: The PROOF Cohort Study. Front Public Health, 7, 51. doi:10.3389/fpubh.2019.00051</w:t>
      </w:r>
    </w:p>
    <w:p w14:paraId="11328A3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Ickes, M., Erwin, H., y Beighle, A. (2012). Systematic review of recess interventions to increase physical activity. </w:t>
      </w:r>
      <w:r w:rsidRPr="0051709F">
        <w:rPr>
          <w:rFonts w:asciiTheme="minorHAnsi" w:hAnsiTheme="minorHAnsi" w:cstheme="minorHAnsi"/>
          <w:i/>
          <w:sz w:val="24"/>
          <w:szCs w:val="24"/>
        </w:rPr>
        <w:t>Journal of Physical Activity and Health, 10(6),</w:t>
      </w:r>
      <w:r w:rsidRPr="0051709F">
        <w:rPr>
          <w:rFonts w:asciiTheme="minorHAnsi" w:hAnsiTheme="minorHAnsi" w:cstheme="minorHAnsi"/>
          <w:sz w:val="24"/>
          <w:szCs w:val="24"/>
        </w:rPr>
        <w:t xml:space="preserve"> 910-26.</w:t>
      </w:r>
    </w:p>
    <w:p w14:paraId="5AEC8624"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Instituto Nacional de Seguridad e Higiene en el Trabajo (INSHT). Encuesta Nacional de Condiciones de Trabajo. 2015.6a/EWCS España. Madrid, 2017.</w:t>
      </w:r>
    </w:p>
    <w:p w14:paraId="3EE2F51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Instituto Nacional de Seguridad y Salud en el Trabajo (INSST). </w:t>
      </w:r>
      <w:r w:rsidRPr="0051709F">
        <w:rPr>
          <w:rFonts w:asciiTheme="minorHAnsi" w:hAnsiTheme="minorHAnsi" w:cstheme="minorHAnsi"/>
          <w:i/>
          <w:iCs/>
          <w:sz w:val="24"/>
          <w:szCs w:val="24"/>
          <w:lang w:val="es-ES"/>
        </w:rPr>
        <w:t>ESENER (Encuesta europea de empresas sobre riesgos nuevos y emergentes) 2019, Datos de España</w:t>
      </w:r>
      <w:r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rPr>
        <w:t xml:space="preserve">Madrid, Octubre 2020. </w:t>
      </w:r>
      <w:hyperlink r:id="rId145" w:history="1">
        <w:r w:rsidRPr="0051709F">
          <w:rPr>
            <w:rStyle w:val="Hipervnculo"/>
            <w:rFonts w:asciiTheme="minorHAnsi" w:hAnsiTheme="minorHAnsi" w:cstheme="minorHAnsi"/>
            <w:sz w:val="24"/>
            <w:szCs w:val="24"/>
          </w:rPr>
          <w:t>https://www.insst.es/documentacion/catalogo-de-publicaciones/esener-2019-datos-de-espana</w:t>
        </w:r>
      </w:hyperlink>
    </w:p>
    <w:p w14:paraId="23E116F3"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Janssen, I., y LeBlanc, A. G. (2010). </w:t>
      </w:r>
      <w:r w:rsidRPr="0051709F">
        <w:rPr>
          <w:rFonts w:asciiTheme="minorHAnsi" w:hAnsiTheme="minorHAnsi" w:cstheme="minorHAnsi"/>
          <w:sz w:val="24"/>
          <w:szCs w:val="24"/>
          <w:shd w:val="clear" w:color="auto" w:fill="FFFFFF"/>
        </w:rPr>
        <w:t xml:space="preserve">Systematic review of the health benefits of physical activity and fitness in school-aged children and youth. </w:t>
      </w:r>
      <w:r w:rsidRPr="0051709F">
        <w:rPr>
          <w:rFonts w:asciiTheme="minorHAnsi" w:hAnsiTheme="minorHAnsi" w:cstheme="minorHAnsi"/>
          <w:sz w:val="24"/>
          <w:szCs w:val="24"/>
        </w:rPr>
        <w:t xml:space="preserve">International </w:t>
      </w:r>
      <w:r w:rsidRPr="0051709F">
        <w:rPr>
          <w:rFonts w:asciiTheme="minorHAnsi" w:hAnsiTheme="minorHAnsi" w:cstheme="minorHAnsi"/>
          <w:i/>
          <w:iCs/>
          <w:sz w:val="24"/>
          <w:szCs w:val="24"/>
        </w:rPr>
        <w:t>Journal of Behavioral Nutrition and Physical Activity</w:t>
      </w:r>
      <w:r w:rsidRPr="0051709F">
        <w:rPr>
          <w:rFonts w:asciiTheme="minorHAnsi" w:hAnsiTheme="minorHAnsi" w:cstheme="minorHAnsi"/>
          <w:sz w:val="24"/>
          <w:szCs w:val="24"/>
          <w:shd w:val="clear" w:color="auto" w:fill="FFFFFF"/>
        </w:rPr>
        <w:t>. </w:t>
      </w:r>
      <w:hyperlink r:id="rId146" w:history="1">
        <w:r w:rsidRPr="0051709F">
          <w:rPr>
            <w:rStyle w:val="Hipervnculo"/>
            <w:rFonts w:asciiTheme="minorHAnsi" w:hAnsiTheme="minorHAnsi" w:cstheme="minorHAnsi"/>
            <w:color w:val="auto"/>
            <w:sz w:val="24"/>
            <w:szCs w:val="24"/>
            <w:shd w:val="clear" w:color="auto" w:fill="FFFFFF"/>
          </w:rPr>
          <w:t>https://doi.org/10.1186/1479-5868-7-40</w:t>
        </w:r>
      </w:hyperlink>
      <w:r w:rsidRPr="0051709F">
        <w:rPr>
          <w:rFonts w:asciiTheme="minorHAnsi" w:hAnsiTheme="minorHAnsi" w:cstheme="minorHAnsi"/>
          <w:sz w:val="24"/>
          <w:szCs w:val="24"/>
          <w:shd w:val="clear" w:color="auto" w:fill="FFFFFF"/>
        </w:rPr>
        <w:t>.</w:t>
      </w:r>
    </w:p>
    <w:p w14:paraId="0D3A2679"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rPr>
        <w:t xml:space="preserve">Jess, M., McMillan, P., y Carse, N. (2023). </w:t>
      </w:r>
      <w:r w:rsidRPr="0051709F">
        <w:rPr>
          <w:rFonts w:asciiTheme="minorHAnsi" w:hAnsiTheme="minorHAnsi" w:cstheme="minorHAnsi"/>
          <w:lang w:val="en-GB"/>
        </w:rPr>
        <w:t xml:space="preserve">Physical education and health: A bright future? En L. Cale y J. Harris (Eds.), </w:t>
      </w:r>
      <w:r w:rsidRPr="0051709F">
        <w:rPr>
          <w:rFonts w:asciiTheme="minorHAnsi" w:hAnsiTheme="minorHAnsi" w:cstheme="minorHAnsi"/>
          <w:i/>
          <w:iCs/>
          <w:lang w:val="en-GB"/>
        </w:rPr>
        <w:t>Physical</w:t>
      </w:r>
      <w:r w:rsidRPr="0051709F">
        <w:rPr>
          <w:rStyle w:val="html-italic"/>
          <w:rFonts w:asciiTheme="minorHAnsi" w:eastAsiaTheme="majorEastAsia" w:hAnsiTheme="minorHAnsi" w:cstheme="minorHAnsi"/>
          <w:lang w:val="en-GB"/>
        </w:rPr>
        <w:t xml:space="preserve"> Education Pedagogies for Health</w:t>
      </w:r>
      <w:r w:rsidRPr="0051709F">
        <w:rPr>
          <w:rFonts w:asciiTheme="minorHAnsi" w:hAnsiTheme="minorHAnsi" w:cstheme="minorHAnsi"/>
          <w:lang w:val="en-GB"/>
        </w:rPr>
        <w:t xml:space="preserve"> (pp. 109-122). </w:t>
      </w:r>
      <w:r w:rsidRPr="0051709F">
        <w:rPr>
          <w:rFonts w:asciiTheme="minorHAnsi" w:hAnsiTheme="minorHAnsi" w:cstheme="minorHAnsi"/>
        </w:rPr>
        <w:t>Routledge.</w:t>
      </w:r>
    </w:p>
    <w:p w14:paraId="0AE29A4C"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lastRenderedPageBreak/>
        <w:t>Jirathananuwat A, Pongpirul K. Promoting physical activity in the workplace: a systematic meta-review. J Occup Health. 2017;59(5):385–93.</w:t>
      </w:r>
    </w:p>
    <w:p w14:paraId="3245FAC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333333"/>
          <w:sz w:val="24"/>
          <w:szCs w:val="24"/>
        </w:rPr>
        <w:t>Jones D, Molitor D, Reif  J. What do workplace wellness programs do? evidence from the Illinois Workplace Wellness Study. NBER Working Paper Series. 2018; 24229.</w:t>
      </w:r>
    </w:p>
    <w:p w14:paraId="41B25B5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Jordan, M., Donne, B., y Fletcher, D. (2011). </w:t>
      </w:r>
      <w:r w:rsidRPr="0051709F">
        <w:rPr>
          <w:rFonts w:asciiTheme="minorHAnsi" w:hAnsiTheme="minorHAnsi" w:cstheme="minorHAnsi"/>
          <w:sz w:val="24"/>
          <w:szCs w:val="24"/>
        </w:rPr>
        <w:t xml:space="preserve">Only lower limb controlled interactive computer gaming enables an effective increase in energy expenditure. </w:t>
      </w:r>
      <w:r w:rsidRPr="0051709F">
        <w:rPr>
          <w:rFonts w:asciiTheme="minorHAnsi" w:hAnsiTheme="minorHAnsi" w:cstheme="minorHAnsi"/>
          <w:i/>
          <w:sz w:val="24"/>
          <w:szCs w:val="24"/>
        </w:rPr>
        <w:t>European Jiurnal of Applied Physiology, 111</w:t>
      </w:r>
      <w:r w:rsidRPr="0051709F">
        <w:rPr>
          <w:rFonts w:asciiTheme="minorHAnsi" w:hAnsiTheme="minorHAnsi" w:cstheme="minorHAnsi"/>
          <w:sz w:val="24"/>
          <w:szCs w:val="24"/>
        </w:rPr>
        <w:t>, 1465-1472.</w:t>
      </w:r>
    </w:p>
    <w:p w14:paraId="7267EC0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222222"/>
          <w:sz w:val="24"/>
          <w:szCs w:val="24"/>
          <w:shd w:val="clear" w:color="auto" w:fill="FFFFFF"/>
          <w:lang w:val="es-ES"/>
        </w:rPr>
        <w:t>Jordi, M. (2017). Estudio de percepciones sobre la salud en usuarios de la bicicleta como medio de transporte. </w:t>
      </w:r>
      <w:r w:rsidRPr="0051709F">
        <w:rPr>
          <w:rFonts w:asciiTheme="minorHAnsi" w:hAnsiTheme="minorHAnsi" w:cstheme="minorHAnsi"/>
          <w:i/>
          <w:iCs/>
          <w:color w:val="222222"/>
          <w:sz w:val="24"/>
          <w:szCs w:val="24"/>
          <w:shd w:val="clear" w:color="auto" w:fill="FFFFFF"/>
        </w:rPr>
        <w:t>Salud colectiva</w:t>
      </w:r>
      <w:r w:rsidRPr="0051709F">
        <w:rPr>
          <w:rFonts w:asciiTheme="minorHAnsi" w:hAnsiTheme="minorHAnsi" w:cstheme="minorHAnsi"/>
          <w:color w:val="222222"/>
          <w:sz w:val="24"/>
          <w:szCs w:val="24"/>
          <w:shd w:val="clear" w:color="auto" w:fill="FFFFFF"/>
        </w:rPr>
        <w:t>, </w:t>
      </w:r>
      <w:r w:rsidRPr="0051709F">
        <w:rPr>
          <w:rFonts w:asciiTheme="minorHAnsi" w:hAnsiTheme="minorHAnsi" w:cstheme="minorHAnsi"/>
          <w:i/>
          <w:iCs/>
          <w:color w:val="222222"/>
          <w:sz w:val="24"/>
          <w:szCs w:val="24"/>
          <w:shd w:val="clear" w:color="auto" w:fill="FFFFFF"/>
        </w:rPr>
        <w:t>13</w:t>
      </w:r>
      <w:r w:rsidRPr="0051709F">
        <w:rPr>
          <w:rFonts w:asciiTheme="minorHAnsi" w:hAnsiTheme="minorHAnsi" w:cstheme="minorHAnsi"/>
          <w:color w:val="222222"/>
          <w:sz w:val="24"/>
          <w:szCs w:val="24"/>
          <w:shd w:val="clear" w:color="auto" w:fill="FFFFFF"/>
        </w:rPr>
        <w:t>, 307-320.</w:t>
      </w:r>
    </w:p>
    <w:p w14:paraId="17D6C24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Kahn, E. B., Ramsey, L. T., Brownson, R. C., Heath, G. W., Howze, E. H., Powell, K. E., Stone, E. J., Rajab, M. W., Corso, P., y the Task Force on Community Preventive Services (2002). The effectiveness of interventions to increase physical activity: a systematic review. </w:t>
      </w:r>
      <w:r w:rsidRPr="0051709F">
        <w:rPr>
          <w:rFonts w:asciiTheme="minorHAnsi" w:hAnsiTheme="minorHAnsi" w:cstheme="minorHAnsi"/>
          <w:i/>
          <w:sz w:val="24"/>
          <w:szCs w:val="24"/>
        </w:rPr>
        <w:t>American Journal of Preventive Medicine, 22</w:t>
      </w:r>
      <w:r w:rsidRPr="0051709F">
        <w:rPr>
          <w:rFonts w:asciiTheme="minorHAnsi" w:hAnsiTheme="minorHAnsi" w:cstheme="minorHAnsi"/>
          <w:sz w:val="24"/>
          <w:szCs w:val="24"/>
        </w:rPr>
        <w:t>, 73-107.</w:t>
      </w:r>
    </w:p>
    <w:p w14:paraId="24E8E442"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Khan KM, Thompsom AM, Blaire SN, Sallis JF, Powell KE, Bull FC, Bauman AE. Physical activity, exercise and sport: their role in the health of nations. Lancet. 2012;380:59–64</w:t>
      </w:r>
    </w:p>
    <w:p w14:paraId="15897B1D"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n-GB"/>
        </w:rPr>
        <w:t xml:space="preserve">Kann L, McManus T, Harris WA, Shari L. Shanklin, &amp; Katherine H. Flint. </w:t>
      </w:r>
      <w:r w:rsidRPr="0051709F">
        <w:rPr>
          <w:rFonts w:asciiTheme="minorHAnsi" w:eastAsia="Times New Roman" w:hAnsiTheme="minorHAnsi" w:cstheme="minorHAnsi"/>
          <w:sz w:val="24"/>
          <w:szCs w:val="24"/>
        </w:rPr>
        <w:t xml:space="preserve">(2018). Youth Risk Behavior Surveillance . </w:t>
      </w:r>
      <w:r w:rsidRPr="0051709F">
        <w:rPr>
          <w:rFonts w:asciiTheme="minorHAnsi" w:eastAsia="Times New Roman" w:hAnsiTheme="minorHAnsi" w:cstheme="minorHAnsi"/>
          <w:i/>
          <w:iCs/>
          <w:sz w:val="24"/>
          <w:szCs w:val="24"/>
        </w:rPr>
        <w:t xml:space="preserve">United States, 2017 MMWR Surveill Summ </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67</w:t>
      </w:r>
      <w:r w:rsidRPr="0051709F">
        <w:rPr>
          <w:rFonts w:asciiTheme="minorHAnsi" w:eastAsia="Times New Roman" w:hAnsiTheme="minorHAnsi" w:cstheme="minorHAnsi"/>
          <w:sz w:val="24"/>
          <w:szCs w:val="24"/>
        </w:rPr>
        <w:t>, 1–114.</w:t>
      </w:r>
    </w:p>
    <w:p w14:paraId="5644D7C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Kimiecik, J. (2002). </w:t>
      </w:r>
      <w:r w:rsidRPr="0051709F">
        <w:rPr>
          <w:rFonts w:asciiTheme="minorHAnsi" w:hAnsiTheme="minorHAnsi" w:cstheme="minorHAnsi"/>
          <w:i/>
          <w:sz w:val="24"/>
          <w:szCs w:val="24"/>
        </w:rPr>
        <w:t>The intrinsic exerciser: Discovering the joy of exercise</w:t>
      </w:r>
      <w:r w:rsidRPr="0051709F">
        <w:rPr>
          <w:rFonts w:asciiTheme="minorHAnsi" w:hAnsiTheme="minorHAnsi" w:cstheme="minorHAnsi"/>
          <w:sz w:val="24"/>
          <w:szCs w:val="24"/>
        </w:rPr>
        <w:t>. Boston, MA: Houghton Mifflin.</w:t>
      </w:r>
    </w:p>
    <w:p w14:paraId="2A17021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Kimiecik, J. C., Horn, T. S., y Shurin, C. S. (1996). Relationships among children’s beliefs, perceptions of their parents’ beliefs, and their moderate-to-vigorous physical activity. </w:t>
      </w:r>
      <w:r w:rsidRPr="0051709F">
        <w:rPr>
          <w:rFonts w:asciiTheme="minorHAnsi" w:hAnsiTheme="minorHAnsi" w:cstheme="minorHAnsi"/>
          <w:i/>
          <w:sz w:val="24"/>
          <w:szCs w:val="24"/>
        </w:rPr>
        <w:t>Research Quarterly for Exercise and Sport, 67</w:t>
      </w:r>
      <w:r w:rsidRPr="0051709F">
        <w:rPr>
          <w:rFonts w:asciiTheme="minorHAnsi" w:hAnsiTheme="minorHAnsi" w:cstheme="minorHAnsi"/>
          <w:sz w:val="24"/>
          <w:szCs w:val="24"/>
        </w:rPr>
        <w:t>, 324-336.</w:t>
      </w:r>
    </w:p>
    <w:p w14:paraId="4FB86F3E"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KING’S CROSS CENTRAL LIMITED PARTNERSHIP. (2022). </w:t>
      </w:r>
      <w:r w:rsidRPr="0051709F">
        <w:rPr>
          <w:rFonts w:asciiTheme="minorHAnsi" w:hAnsiTheme="minorHAnsi" w:cstheme="minorHAnsi"/>
          <w:i/>
          <w:iCs/>
          <w:sz w:val="24"/>
          <w:szCs w:val="24"/>
          <w:lang w:val="en-US"/>
        </w:rPr>
        <w:t>X King´s Cross Overview</w:t>
      </w:r>
      <w:r w:rsidRPr="0051709F">
        <w:rPr>
          <w:rFonts w:asciiTheme="minorHAnsi" w:hAnsiTheme="minorHAnsi" w:cstheme="minorHAnsi"/>
          <w:sz w:val="24"/>
          <w:szCs w:val="24"/>
          <w:lang w:val="en-US"/>
        </w:rPr>
        <w:t>. London.</w:t>
      </w:r>
    </w:p>
    <w:p w14:paraId="71908885"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 xml:space="preserve">Kirk, D. (2010). Four relational issues and the bigger picture. En D. Kirk (Ed), </w:t>
      </w:r>
      <w:r w:rsidRPr="0051709F">
        <w:rPr>
          <w:rStyle w:val="html-italic"/>
          <w:rFonts w:asciiTheme="minorHAnsi" w:eastAsiaTheme="majorEastAsia" w:hAnsiTheme="minorHAnsi" w:cstheme="minorHAnsi"/>
          <w:lang w:val="en-GB"/>
        </w:rPr>
        <w:t>Physical Education Futures</w:t>
      </w:r>
      <w:r w:rsidRPr="0051709F">
        <w:rPr>
          <w:rFonts w:asciiTheme="minorHAnsi" w:hAnsiTheme="minorHAnsi" w:cstheme="minorHAnsi"/>
          <w:lang w:val="en-GB"/>
        </w:rPr>
        <w:t xml:space="preserve"> (pp. 97-120). </w:t>
      </w:r>
      <w:r w:rsidRPr="0051709F">
        <w:rPr>
          <w:rFonts w:asciiTheme="minorHAnsi" w:hAnsiTheme="minorHAnsi" w:cstheme="minorHAnsi"/>
        </w:rPr>
        <w:t>Routledge.</w:t>
      </w:r>
    </w:p>
    <w:p w14:paraId="50D23ED7"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shd w:val="clear" w:color="auto" w:fill="FFFFFF"/>
        </w:rPr>
      </w:pPr>
      <w:r w:rsidRPr="0051709F">
        <w:rPr>
          <w:rFonts w:asciiTheme="minorHAnsi" w:hAnsiTheme="minorHAnsi" w:cstheme="minorHAnsi"/>
          <w:shd w:val="clear" w:color="auto" w:fill="FFFFFF"/>
          <w:lang w:val="en-GB"/>
        </w:rPr>
        <w:t xml:space="preserve">Kirk, D., Bardid, F., Lamb, C. A., Miller, J. D., &amp; Teraoka, E. (2018). Redesigning physical education in Scotland. In H. A. Lawson (Ed.), </w:t>
      </w:r>
      <w:r w:rsidRPr="0051709F">
        <w:rPr>
          <w:rFonts w:asciiTheme="minorHAnsi" w:hAnsiTheme="minorHAnsi" w:cstheme="minorHAnsi"/>
          <w:i/>
          <w:iCs/>
          <w:shd w:val="clear" w:color="auto" w:fill="FFFFFF"/>
          <w:lang w:val="en-GB"/>
        </w:rPr>
        <w:t xml:space="preserve">Redesigning Physical Education: An Equity Agenda in Which Every Child Matters Milton Park. </w:t>
      </w:r>
      <w:r w:rsidRPr="0051709F">
        <w:rPr>
          <w:rFonts w:asciiTheme="minorHAnsi" w:hAnsiTheme="minorHAnsi" w:cstheme="minorHAnsi"/>
          <w:shd w:val="clear" w:color="auto" w:fill="FFFFFF"/>
        </w:rPr>
        <w:t>Routledge.</w:t>
      </w:r>
    </w:p>
    <w:p w14:paraId="2CC1A6E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rPr>
        <w:t>Klepac Pogrmilovic B, O’Sullivan G, Milton K, Biddle SJH, Bauman A, Bellew W, et al. The development of the Comprehensive Analysis of Policy on Physical Activity (CAPPA) framework. Int J Behav Nutr Phys Act. 2019;16(1):1–15.</w:t>
      </w:r>
    </w:p>
    <w:p w14:paraId="1C2DD6B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Kriemler, S., Meyer, U., Martin, E., Van Sluijs, E. M. F., Andersen, L. B., y Martin, B. W. (2011). Effect of school-based interventions on physical activity and fitness in children and adolescents: a review of reviews and systematic update. </w:t>
      </w:r>
      <w:r w:rsidRPr="0051709F">
        <w:rPr>
          <w:rFonts w:asciiTheme="minorHAnsi" w:hAnsiTheme="minorHAnsi" w:cstheme="minorHAnsi"/>
          <w:i/>
          <w:sz w:val="24"/>
          <w:szCs w:val="24"/>
        </w:rPr>
        <w:t>British Journal of Sports Medicine, 45</w:t>
      </w:r>
      <w:r w:rsidRPr="0051709F">
        <w:rPr>
          <w:rFonts w:asciiTheme="minorHAnsi" w:hAnsiTheme="minorHAnsi" w:cstheme="minorHAnsi"/>
          <w:sz w:val="24"/>
          <w:szCs w:val="24"/>
        </w:rPr>
        <w:t xml:space="preserve">, 923-930. </w:t>
      </w:r>
    </w:p>
    <w:p w14:paraId="25933E0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Kriemler, S., Meyer, U., Martin, E., Van Sluijs, E. M., Andersen, L. B., y Martin, B. W., (2011). Effect of school-based interventions on physical activity and fitness in children and adolescents: a review of reviews and systematic update. </w:t>
      </w:r>
      <w:r w:rsidRPr="0051709F">
        <w:rPr>
          <w:rFonts w:asciiTheme="minorHAnsi" w:hAnsiTheme="minorHAnsi" w:cstheme="minorHAnsi"/>
          <w:i/>
          <w:sz w:val="24"/>
          <w:szCs w:val="24"/>
        </w:rPr>
        <w:t>British Journal of Sports Medicine, 45</w:t>
      </w:r>
      <w:r w:rsidRPr="0051709F">
        <w:rPr>
          <w:rFonts w:asciiTheme="minorHAnsi" w:hAnsiTheme="minorHAnsi" w:cstheme="minorHAnsi"/>
          <w:sz w:val="24"/>
          <w:szCs w:val="24"/>
        </w:rPr>
        <w:t>, 923-930.</w:t>
      </w:r>
    </w:p>
    <w:p w14:paraId="1CBEEBE2"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Lagardera, F. (1992). El deporte moderno visto desde la sociología histórica. </w:t>
      </w:r>
      <w:r w:rsidRPr="0051709F">
        <w:rPr>
          <w:rFonts w:asciiTheme="minorHAnsi" w:hAnsiTheme="minorHAnsi" w:cstheme="minorHAnsi"/>
          <w:i/>
          <w:noProof/>
          <w:sz w:val="24"/>
          <w:szCs w:val="24"/>
          <w:lang w:val="es-ES"/>
        </w:rPr>
        <w:t xml:space="preserve">Actas del I Encuentro UNISPORT sobre sociología del deporte «El hecho deportivo: aspectos sociológicos, culturales y económicos» </w:t>
      </w:r>
      <w:r w:rsidRPr="0051709F">
        <w:rPr>
          <w:rFonts w:asciiTheme="minorHAnsi" w:hAnsiTheme="minorHAnsi" w:cstheme="minorHAnsi"/>
          <w:noProof/>
          <w:sz w:val="24"/>
          <w:szCs w:val="24"/>
          <w:lang w:val="es-ES"/>
        </w:rPr>
        <w:t xml:space="preserve">(1-38). </w:t>
      </w:r>
      <w:r w:rsidRPr="0051709F">
        <w:rPr>
          <w:rFonts w:asciiTheme="minorHAnsi" w:hAnsiTheme="minorHAnsi" w:cstheme="minorHAnsi"/>
          <w:noProof/>
          <w:sz w:val="24"/>
          <w:szCs w:val="24"/>
        </w:rPr>
        <w:t xml:space="preserve">Apuntes nº. 256: Málaga, </w:t>
      </w:r>
      <w:r w:rsidRPr="0051709F">
        <w:rPr>
          <w:rFonts w:asciiTheme="minorHAnsi" w:hAnsiTheme="minorHAnsi" w:cstheme="minorHAnsi"/>
          <w:noProof/>
          <w:sz w:val="24"/>
          <w:szCs w:val="24"/>
        </w:rPr>
        <w:lastRenderedPageBreak/>
        <w:t>UNISPORT Andalucía.</w:t>
      </w:r>
    </w:p>
    <w:p w14:paraId="636BFB11"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it-IT"/>
        </w:rPr>
      </w:pPr>
      <w:r w:rsidRPr="0051709F">
        <w:rPr>
          <w:rFonts w:asciiTheme="minorHAnsi" w:hAnsiTheme="minorHAnsi" w:cstheme="minorHAnsi"/>
          <w:sz w:val="24"/>
          <w:szCs w:val="24"/>
        </w:rPr>
        <w:t xml:space="preserve">Lahoz, C. F., &amp; Blasco, J. A. (2023a). </w:t>
      </w:r>
      <w:r w:rsidRPr="0051709F">
        <w:rPr>
          <w:rFonts w:asciiTheme="minorHAnsi" w:hAnsiTheme="minorHAnsi" w:cstheme="minorHAnsi"/>
          <w:sz w:val="24"/>
          <w:szCs w:val="24"/>
          <w:lang w:val="en-US"/>
        </w:rPr>
        <w:t xml:space="preserve">Hamburg at the Forefront of the Active Cities. In </w:t>
      </w:r>
      <w:r w:rsidRPr="0051709F">
        <w:rPr>
          <w:rFonts w:asciiTheme="minorHAnsi" w:hAnsiTheme="minorHAnsi" w:cstheme="minorHAnsi"/>
          <w:i/>
          <w:iCs/>
          <w:sz w:val="24"/>
          <w:szCs w:val="24"/>
          <w:lang w:val="en-US"/>
        </w:rPr>
        <w:t>Intersecting Health, Livability, and Human Behavior in Urban Environments</w:t>
      </w:r>
      <w:r w:rsidRPr="0051709F">
        <w:rPr>
          <w:rFonts w:asciiTheme="minorHAnsi" w:hAnsiTheme="minorHAnsi" w:cstheme="minorHAnsi"/>
          <w:sz w:val="24"/>
          <w:szCs w:val="24"/>
          <w:lang w:val="en-US"/>
        </w:rPr>
        <w:t xml:space="preserve"> (pp. 59–82). </w:t>
      </w:r>
      <w:r w:rsidRPr="0051709F">
        <w:rPr>
          <w:rFonts w:asciiTheme="minorHAnsi" w:hAnsiTheme="minorHAnsi" w:cstheme="minorHAnsi"/>
          <w:sz w:val="24"/>
          <w:szCs w:val="24"/>
          <w:lang w:val="it-IT"/>
        </w:rPr>
        <w:t>IGI Global. https://doi.org/10.4018/978-1-6684-6924-8.ch004</w:t>
      </w:r>
    </w:p>
    <w:p w14:paraId="408B9D55"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it-IT"/>
        </w:rPr>
        <w:t xml:space="preserve">Lahoz, C. F., &amp; Blasco, J. A. (2023b). </w:t>
      </w:r>
      <w:r w:rsidRPr="0051709F">
        <w:rPr>
          <w:rFonts w:asciiTheme="minorHAnsi" w:hAnsiTheme="minorHAnsi" w:cstheme="minorHAnsi"/>
          <w:sz w:val="24"/>
          <w:szCs w:val="24"/>
          <w:lang w:val="en-US"/>
        </w:rPr>
        <w:t xml:space="preserve">Healthy Cities in the 21st Century: Toward the Active City. In </w:t>
      </w:r>
      <w:r w:rsidRPr="0051709F">
        <w:rPr>
          <w:rFonts w:asciiTheme="minorHAnsi" w:hAnsiTheme="minorHAnsi" w:cstheme="minorHAnsi"/>
          <w:i/>
          <w:iCs/>
          <w:sz w:val="24"/>
          <w:szCs w:val="24"/>
          <w:lang w:val="en-US"/>
        </w:rPr>
        <w:t>Green Research, Developments, and Programs</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Sustainable and Healthy Building Environments</w:t>
      </w:r>
      <w:r w:rsidRPr="0051709F">
        <w:rPr>
          <w:rFonts w:asciiTheme="minorHAnsi" w:hAnsiTheme="minorHAnsi" w:cstheme="minorHAnsi"/>
          <w:sz w:val="24"/>
          <w:szCs w:val="24"/>
          <w:lang w:val="en-US"/>
        </w:rPr>
        <w:t xml:space="preserve"> (Roberto Alonso González Lezcano, pp. 75–98). New York: Nova Science Publishers. https://doi.org/10.52305/TKOH1520</w:t>
      </w:r>
    </w:p>
    <w:p w14:paraId="471F9DC5"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Lane, C., McCrabb, S., Nathan, N., Naylor, P. J., Bauman, A. et al. (2021). How effective are physical activity interventions when they are scaled-up: a systematic review. </w:t>
      </w:r>
      <w:r w:rsidRPr="0051709F">
        <w:rPr>
          <w:rFonts w:asciiTheme="minorHAnsi" w:hAnsiTheme="minorHAnsi" w:cstheme="minorHAnsi"/>
          <w:i/>
          <w:iCs/>
          <w:sz w:val="24"/>
          <w:szCs w:val="24"/>
        </w:rPr>
        <w:t xml:space="preserve">International Journal of Behavioral Nutrition and Physical Activity, </w:t>
      </w:r>
      <w:r w:rsidRPr="0051709F">
        <w:rPr>
          <w:rFonts w:asciiTheme="minorHAnsi" w:hAnsiTheme="minorHAnsi" w:cstheme="minorHAnsi"/>
          <w:i/>
          <w:iCs/>
          <w:sz w:val="24"/>
          <w:szCs w:val="24"/>
          <w:shd w:val="clear" w:color="auto" w:fill="FFFFFF"/>
        </w:rPr>
        <w:t>18</w:t>
      </w:r>
      <w:r w:rsidRPr="0051709F">
        <w:rPr>
          <w:rFonts w:asciiTheme="minorHAnsi" w:hAnsiTheme="minorHAnsi" w:cstheme="minorHAnsi"/>
          <w:sz w:val="24"/>
          <w:szCs w:val="24"/>
          <w:shd w:val="clear" w:color="auto" w:fill="FFFFFF"/>
        </w:rPr>
        <w:t>(1), 16.</w:t>
      </w:r>
    </w:p>
    <w:p w14:paraId="22F46AE1"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Lanningham-Foster, L., Jensen, T. B., Foster, R. C., Redmond, A. B., Walker, B. A., Heinz, D., y Levine, J. A. (2006). Energy expenditure of sedentary screen time compared with active screen time for children. </w:t>
      </w:r>
      <w:r w:rsidRPr="0051709F">
        <w:rPr>
          <w:rFonts w:asciiTheme="minorHAnsi" w:hAnsiTheme="minorHAnsi" w:cstheme="minorHAnsi"/>
          <w:i/>
          <w:sz w:val="24"/>
          <w:szCs w:val="24"/>
        </w:rPr>
        <w:t>Pediatrics, 118(6),</w:t>
      </w:r>
      <w:r w:rsidRPr="0051709F">
        <w:rPr>
          <w:rFonts w:asciiTheme="minorHAnsi" w:hAnsiTheme="minorHAnsi" w:cstheme="minorHAnsi"/>
          <w:sz w:val="24"/>
          <w:szCs w:val="24"/>
        </w:rPr>
        <w:t xml:space="preserve"> 1831-1835. </w:t>
      </w:r>
    </w:p>
    <w:p w14:paraId="15B50B30"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Lastovkova A, Carder M, Rasmussen HM, Sjoberg L, De GGJ, Sauni R, et al. Burnout syndrome as an occupational disease in the European Union: an exploratory study. Ind Health. 2018;56(1):160–5.</w:t>
      </w:r>
    </w:p>
    <w:p w14:paraId="5D7AF4E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Lee, S. M., Sallis, J. F., y Biddle, S. J. H. (2010). Active communities for youth and families: using research to create momentum for change. </w:t>
      </w:r>
      <w:r w:rsidRPr="0051709F">
        <w:rPr>
          <w:rFonts w:asciiTheme="minorHAnsi" w:hAnsiTheme="minorHAnsi" w:cstheme="minorHAnsi"/>
          <w:i/>
          <w:sz w:val="24"/>
          <w:szCs w:val="24"/>
        </w:rPr>
        <w:t>Preventive Medicine, 50(Suppl.),</w:t>
      </w:r>
      <w:r w:rsidRPr="0051709F">
        <w:rPr>
          <w:rFonts w:asciiTheme="minorHAnsi" w:hAnsiTheme="minorHAnsi" w:cstheme="minorHAnsi"/>
          <w:sz w:val="24"/>
          <w:szCs w:val="24"/>
        </w:rPr>
        <w:t xml:space="preserve"> S3-S5.</w:t>
      </w:r>
    </w:p>
    <w:p w14:paraId="5112DC52"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Lee, I-M, Shiroma EJ, Lobelo F, Puska P, Blair SN, Katzmarzyk PT, et al. Effect of physical inactivity on major non-communicable diseases worldwide: an analysis of burden of disease and life expectancy. Lancet. 2012;380:219–29.</w:t>
      </w:r>
    </w:p>
    <w:p w14:paraId="5B9B26C8"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Lindsey I, Chapman T. Enhancing the contribution of sport to the Sustainable Development Goals. London: Commonwealth Secretariat; 2017.</w:t>
      </w:r>
    </w:p>
    <w:p w14:paraId="6A2B9D32"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Lion A, Vuillemin A, Thornton JS, Theisen D, Stranges S, Ward M. Physical activity promotion in primary care: a Utopian quest? </w:t>
      </w:r>
      <w:r w:rsidRPr="0051709F">
        <w:rPr>
          <w:rFonts w:asciiTheme="minorHAnsi" w:eastAsia="Calibri" w:hAnsiTheme="minorHAnsi" w:cstheme="minorHAnsi"/>
          <w:sz w:val="24"/>
          <w:szCs w:val="24"/>
        </w:rPr>
        <w:t>Health Promot Int. 2018. 1;34(4):877-886</w:t>
      </w:r>
    </w:p>
    <w:p w14:paraId="263A7F80"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Litman, T. (2007). Developing Indicators for Comprehensive and Sustainable Transport Planning. </w:t>
      </w:r>
      <w:r w:rsidRPr="0051709F">
        <w:rPr>
          <w:rFonts w:asciiTheme="minorHAnsi" w:hAnsiTheme="minorHAnsi" w:cstheme="minorHAnsi"/>
          <w:i/>
          <w:iCs/>
          <w:sz w:val="24"/>
          <w:szCs w:val="24"/>
          <w:lang w:val="en-US"/>
        </w:rPr>
        <w:t>Transportation Research Record</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2017</w:t>
      </w:r>
      <w:r w:rsidRPr="0051709F">
        <w:rPr>
          <w:rFonts w:asciiTheme="minorHAnsi" w:hAnsiTheme="minorHAnsi" w:cstheme="minorHAnsi"/>
          <w:sz w:val="24"/>
          <w:szCs w:val="24"/>
          <w:lang w:val="en-US"/>
        </w:rPr>
        <w:t>(1), 10–15. https://doi.org/10.3141/2017-02</w:t>
      </w:r>
    </w:p>
    <w:p w14:paraId="2D3A206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Lubans, D. R., Morgan, P. J., Aguiar, E. J., y Callister, R. (2011). </w:t>
      </w:r>
      <w:r w:rsidRPr="0051709F">
        <w:rPr>
          <w:rFonts w:asciiTheme="minorHAnsi" w:hAnsiTheme="minorHAnsi" w:cstheme="minorHAnsi"/>
          <w:sz w:val="24"/>
          <w:szCs w:val="24"/>
        </w:rPr>
        <w:t xml:space="preserve">Randomized controlled trial of the Physical Activity Leaders (PALs) program for adolescent boys from disadvantaged secondary schools. </w:t>
      </w:r>
      <w:r w:rsidRPr="0051709F">
        <w:rPr>
          <w:rFonts w:asciiTheme="minorHAnsi" w:hAnsiTheme="minorHAnsi" w:cstheme="minorHAnsi"/>
          <w:i/>
          <w:sz w:val="24"/>
          <w:szCs w:val="24"/>
        </w:rPr>
        <w:t>Preventive Medicine, 52</w:t>
      </w:r>
      <w:r w:rsidRPr="0051709F">
        <w:rPr>
          <w:rFonts w:asciiTheme="minorHAnsi" w:hAnsiTheme="minorHAnsi" w:cstheme="minorHAnsi"/>
          <w:sz w:val="24"/>
          <w:szCs w:val="24"/>
        </w:rPr>
        <w:t xml:space="preserve">, 239-246. </w:t>
      </w:r>
    </w:p>
    <w:p w14:paraId="29F9CD2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Lubans, D. R., Morgan, P. J., Dewar, D., Collins, C. E., Plotnikoff, R. C., Okely, A. D., Batterham, M. J., Finn, T., y Callister, R. (2010). The Nutrition and Enjoyable Activity for Teen Girls (NEAT girls) randomized controlled trial for adolescent girls from disadvantaged secondary schools: rationale, study protocol, and baseline results. </w:t>
      </w:r>
      <w:r w:rsidRPr="0051709F">
        <w:rPr>
          <w:rFonts w:asciiTheme="minorHAnsi" w:hAnsiTheme="minorHAnsi" w:cstheme="minorHAnsi"/>
          <w:i/>
          <w:sz w:val="24"/>
          <w:szCs w:val="24"/>
        </w:rPr>
        <w:t>BMC Public Health, 10</w:t>
      </w:r>
      <w:r w:rsidRPr="0051709F">
        <w:rPr>
          <w:rFonts w:asciiTheme="minorHAnsi" w:hAnsiTheme="minorHAnsi" w:cstheme="minorHAnsi"/>
          <w:sz w:val="24"/>
          <w:szCs w:val="24"/>
        </w:rPr>
        <w:t xml:space="preserve">, 652. </w:t>
      </w:r>
    </w:p>
    <w:p w14:paraId="6F406B25"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sz w:val="24"/>
          <w:szCs w:val="24"/>
        </w:rPr>
        <w:t xml:space="preserve">Lubans, D.R., Foster, C., y Biddle, S.J.H. (2008). A review of mediators of behavior in interventions to promote physical activity among children and adolescents. </w:t>
      </w:r>
      <w:r w:rsidRPr="0051709F">
        <w:rPr>
          <w:rFonts w:asciiTheme="minorHAnsi" w:hAnsiTheme="minorHAnsi" w:cstheme="minorHAnsi"/>
          <w:i/>
          <w:sz w:val="24"/>
          <w:szCs w:val="24"/>
        </w:rPr>
        <w:t>Preventive Medicine, 47</w:t>
      </w:r>
      <w:r w:rsidRPr="0051709F">
        <w:rPr>
          <w:rFonts w:asciiTheme="minorHAnsi" w:hAnsiTheme="minorHAnsi" w:cstheme="minorHAnsi"/>
          <w:sz w:val="24"/>
          <w:szCs w:val="24"/>
        </w:rPr>
        <w:t>, 463-470.</w:t>
      </w:r>
    </w:p>
    <w:p w14:paraId="155B4EB3"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Lucía A, Nogales-Gadea G, Pérez M, Martín MA, Andreu AL, Arenas J. McArdle disease: what do neurologists need to know? </w:t>
      </w:r>
      <w:r w:rsidRPr="0051709F">
        <w:rPr>
          <w:rFonts w:asciiTheme="minorHAnsi" w:eastAsia="Calibri" w:hAnsiTheme="minorHAnsi" w:cstheme="minorHAnsi"/>
          <w:sz w:val="24"/>
          <w:szCs w:val="24"/>
        </w:rPr>
        <w:t>Nat Clin Pract Neurol. 2008 Oct;4(10):568-77. doi: 10.1038/ncpneuro0913. PMID: 18833216.</w:t>
      </w:r>
    </w:p>
    <w:p w14:paraId="6AE6DE00"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lastRenderedPageBreak/>
        <w:t xml:space="preserve">MacCallum, L., Howson, N., &amp; Gopu, N. (2016). </w:t>
      </w:r>
      <w:r w:rsidRPr="0051709F">
        <w:rPr>
          <w:rFonts w:asciiTheme="minorHAnsi" w:hAnsiTheme="minorHAnsi" w:cstheme="minorHAnsi"/>
          <w:i/>
          <w:iCs/>
          <w:sz w:val="24"/>
          <w:szCs w:val="24"/>
          <w:lang w:val="en-US"/>
        </w:rPr>
        <w:t>Design to move. A Physical Activity Action Agenda. A Guide for City Leaders</w:t>
      </w:r>
      <w:r w:rsidRPr="0051709F">
        <w:rPr>
          <w:rFonts w:asciiTheme="minorHAnsi" w:hAnsiTheme="minorHAnsi" w:cstheme="minorHAnsi"/>
          <w:sz w:val="24"/>
          <w:szCs w:val="24"/>
          <w:lang w:val="en-US"/>
        </w:rPr>
        <w:t>. The American College of Sports Medicine (ACSM). NIKE, Inc. The International Council of Sport Science and Physical Education (ICSSPE).</w:t>
      </w:r>
    </w:p>
    <w:p w14:paraId="35DF8FF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Malm, C., Jackobson, J., Isaksson, A. Physical Activity and Sports—Real Health Benefits: A Review with Insight into the Public Health of Sweden. </w:t>
      </w:r>
      <w:r w:rsidRPr="0051709F">
        <w:rPr>
          <w:rFonts w:asciiTheme="minorHAnsi" w:hAnsiTheme="minorHAnsi" w:cstheme="minorHAnsi"/>
          <w:i/>
          <w:iCs/>
          <w:sz w:val="24"/>
          <w:szCs w:val="24"/>
        </w:rPr>
        <w:t>Sports</w:t>
      </w:r>
      <w:r w:rsidRPr="0051709F">
        <w:rPr>
          <w:rFonts w:asciiTheme="minorHAnsi" w:hAnsiTheme="minorHAnsi" w:cstheme="minorHAnsi"/>
          <w:sz w:val="24"/>
          <w:szCs w:val="24"/>
        </w:rPr>
        <w:t xml:space="preserve"> 2019, 7, 127; doi:10.3390/sports7050127</w:t>
      </w:r>
    </w:p>
    <w:p w14:paraId="5CA2311F"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Manttiri S, Oksa J, Lusa S, Korkiakangas E, Punakallio A, Oksanen T, et al. Interventions to promote work ability by increasing physical activity among workers with physically strenuous jobs: a scoping review. Scand J Public Health. 2021;49(2):206–18.</w:t>
      </w:r>
    </w:p>
    <w:p w14:paraId="554355EA" w14:textId="77777777" w:rsidR="00A65EF6" w:rsidRPr="0051709F" w:rsidRDefault="00A65EF6" w:rsidP="00A65EF6">
      <w:pPr>
        <w:pStyle w:val="Prrafodelista"/>
        <w:numPr>
          <w:ilvl w:val="0"/>
          <w:numId w:val="78"/>
        </w:numPr>
        <w:jc w:val="both"/>
        <w:rPr>
          <w:rFonts w:asciiTheme="minorHAnsi" w:hAnsiTheme="minorHAnsi" w:cstheme="minorHAnsi"/>
          <w:color w:val="333333"/>
          <w:sz w:val="24"/>
          <w:szCs w:val="24"/>
          <w:shd w:val="clear" w:color="auto" w:fill="FFFFFF"/>
        </w:rPr>
      </w:pPr>
      <w:r w:rsidRPr="0051709F">
        <w:rPr>
          <w:rFonts w:asciiTheme="minorHAnsi" w:hAnsiTheme="minorHAnsi" w:cstheme="minorHAnsi"/>
          <w:color w:val="333333"/>
          <w:sz w:val="24"/>
          <w:szCs w:val="24"/>
          <w:shd w:val="clear" w:color="auto" w:fill="FFFFFF"/>
        </w:rPr>
        <w:t>Marin-Farrona, M., Wipfli, B., Thosar, S.S. </w:t>
      </w:r>
      <w:r w:rsidRPr="0051709F">
        <w:rPr>
          <w:rFonts w:asciiTheme="minorHAnsi" w:hAnsiTheme="minorHAnsi" w:cstheme="minorHAnsi"/>
          <w:i/>
          <w:iCs/>
          <w:color w:val="333333"/>
          <w:sz w:val="24"/>
          <w:szCs w:val="24"/>
          <w:shd w:val="clear" w:color="auto" w:fill="FFFFFF"/>
        </w:rPr>
        <w:t>et al.</w:t>
      </w:r>
      <w:r w:rsidRPr="0051709F">
        <w:rPr>
          <w:rFonts w:asciiTheme="minorHAnsi" w:hAnsiTheme="minorHAnsi" w:cstheme="minorHAnsi"/>
          <w:color w:val="333333"/>
          <w:sz w:val="24"/>
          <w:szCs w:val="24"/>
          <w:shd w:val="clear" w:color="auto" w:fill="FFFFFF"/>
        </w:rPr>
        <w:t> Effectiveness of worksite wellness programs based on physical activity to improve workers’ health and productivity: a systematic review. </w:t>
      </w:r>
      <w:r w:rsidRPr="0051709F">
        <w:rPr>
          <w:rFonts w:asciiTheme="minorHAnsi" w:hAnsiTheme="minorHAnsi" w:cstheme="minorHAnsi"/>
          <w:i/>
          <w:iCs/>
          <w:color w:val="333333"/>
          <w:sz w:val="24"/>
          <w:szCs w:val="24"/>
          <w:shd w:val="clear" w:color="auto" w:fill="FFFFFF"/>
        </w:rPr>
        <w:t>Syst Rev</w:t>
      </w:r>
      <w:r w:rsidRPr="0051709F">
        <w:rPr>
          <w:rFonts w:asciiTheme="minorHAnsi" w:hAnsiTheme="minorHAnsi" w:cstheme="minorHAnsi"/>
          <w:color w:val="333333"/>
          <w:sz w:val="24"/>
          <w:szCs w:val="24"/>
          <w:shd w:val="clear" w:color="auto" w:fill="FFFFFF"/>
        </w:rPr>
        <w:t> </w:t>
      </w:r>
      <w:r w:rsidRPr="0051709F">
        <w:rPr>
          <w:rFonts w:asciiTheme="minorHAnsi" w:hAnsiTheme="minorHAnsi" w:cstheme="minorHAnsi"/>
          <w:b/>
          <w:bCs/>
          <w:color w:val="333333"/>
          <w:sz w:val="24"/>
          <w:szCs w:val="24"/>
          <w:shd w:val="clear" w:color="auto" w:fill="FFFFFF"/>
        </w:rPr>
        <w:t>12</w:t>
      </w:r>
      <w:r w:rsidRPr="0051709F">
        <w:rPr>
          <w:rFonts w:asciiTheme="minorHAnsi" w:hAnsiTheme="minorHAnsi" w:cstheme="minorHAnsi"/>
          <w:color w:val="333333"/>
          <w:sz w:val="24"/>
          <w:szCs w:val="24"/>
          <w:shd w:val="clear" w:color="auto" w:fill="FFFFFF"/>
        </w:rPr>
        <w:t xml:space="preserve">, 87 (2023). </w:t>
      </w:r>
      <w:hyperlink r:id="rId147" w:history="1">
        <w:r w:rsidRPr="0051709F">
          <w:rPr>
            <w:rStyle w:val="Hipervnculo"/>
            <w:rFonts w:asciiTheme="minorHAnsi" w:hAnsiTheme="minorHAnsi" w:cstheme="minorHAnsi"/>
            <w:sz w:val="24"/>
            <w:szCs w:val="24"/>
            <w:shd w:val="clear" w:color="auto" w:fill="FFFFFF"/>
          </w:rPr>
          <w:t>https://doi.org/10.1186/s13643-023-02258-6</w:t>
        </w:r>
      </w:hyperlink>
    </w:p>
    <w:p w14:paraId="1343E22E"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Martín, M., Moscoso, D.; Pedrajas, N. (2013). </w:t>
      </w:r>
      <w:r w:rsidRPr="0051709F">
        <w:rPr>
          <w:rFonts w:asciiTheme="minorHAnsi" w:hAnsiTheme="minorHAnsi" w:cstheme="minorHAnsi"/>
          <w:noProof/>
          <w:sz w:val="24"/>
          <w:szCs w:val="24"/>
        </w:rPr>
        <w:t xml:space="preserve">Gender differences in motivations to practice to physical activity and sport in old age. </w:t>
      </w:r>
      <w:r w:rsidRPr="0051709F">
        <w:rPr>
          <w:rFonts w:asciiTheme="minorHAnsi" w:hAnsiTheme="minorHAnsi" w:cstheme="minorHAnsi"/>
          <w:i/>
          <w:noProof/>
          <w:sz w:val="24"/>
          <w:szCs w:val="24"/>
          <w:lang w:val="es-ES"/>
        </w:rPr>
        <w:t>Revista Internacional de Medicina y Ciencias de la Actividad Física y el Deporte</w:t>
      </w:r>
      <w:r w:rsidRPr="0051709F">
        <w:rPr>
          <w:rFonts w:asciiTheme="minorHAnsi" w:hAnsiTheme="minorHAnsi" w:cstheme="minorHAnsi"/>
          <w:noProof/>
          <w:sz w:val="24"/>
          <w:szCs w:val="24"/>
          <w:lang w:val="es-ES"/>
        </w:rPr>
        <w:t>, 13(49), 121-129.</w:t>
      </w:r>
    </w:p>
    <w:p w14:paraId="2E48AEF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Martin-Borras C, Gine-Garriga M, Puig-Ribera A, Martin C, Sola M, CuestaVargas AI. </w:t>
      </w:r>
      <w:r w:rsidRPr="0051709F">
        <w:rPr>
          <w:rFonts w:asciiTheme="minorHAnsi" w:hAnsiTheme="minorHAnsi" w:cstheme="minorHAnsi"/>
          <w:sz w:val="24"/>
          <w:szCs w:val="24"/>
        </w:rPr>
        <w:t xml:space="preserve">A new model of exercise referral scheme in primary care: is the effect on adherence to physical activity sustainable in the long term? A 15-month randomised controlled trial. BMJ open. 2018;8(3):e017211.  </w:t>
      </w:r>
    </w:p>
    <w:p w14:paraId="356D12A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Martin, K., Sinden, A., y Fleming, J. (2000). </w:t>
      </w:r>
      <w:r w:rsidRPr="0051709F">
        <w:rPr>
          <w:rFonts w:asciiTheme="minorHAnsi" w:hAnsiTheme="minorHAnsi" w:cstheme="minorHAnsi"/>
          <w:sz w:val="24"/>
          <w:szCs w:val="24"/>
        </w:rPr>
        <w:t xml:space="preserve">Inactivity may be hazardous to your image: the ef- fects of exercise participation on impression formation. </w:t>
      </w:r>
      <w:r w:rsidRPr="0051709F">
        <w:rPr>
          <w:rFonts w:asciiTheme="minorHAnsi" w:hAnsiTheme="minorHAnsi" w:cstheme="minorHAnsi"/>
          <w:i/>
          <w:sz w:val="24"/>
          <w:szCs w:val="24"/>
        </w:rPr>
        <w:t>Journal of Sport &amp; Exercise Psychology, 22</w:t>
      </w:r>
      <w:r w:rsidRPr="0051709F">
        <w:rPr>
          <w:rFonts w:asciiTheme="minorHAnsi" w:hAnsiTheme="minorHAnsi" w:cstheme="minorHAnsi"/>
          <w:sz w:val="24"/>
          <w:szCs w:val="24"/>
        </w:rPr>
        <w:t>, 283-291.</w:t>
      </w:r>
    </w:p>
    <w:p w14:paraId="34721B44"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Mayo X, Del Villar F, Jiménez A. Termómetro del sedentarismo en España: Informe sobre la inactividad física y el sedentarismo en la población adulta española. Madrid, España: Fundación España Activa; 2017.</w:t>
      </w:r>
    </w:p>
    <w:p w14:paraId="188CBDD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rPr>
        <w:t>Mayo X, Del Villar F, Iglesias-Soler E, Liguori G, Mann S, Jimenez A. A retrospective analysis of policy development on compliance with World Health Organization’s physical activity recommendations between 2002 and 2005 in European Union adults: closing the gap between research and policy. BMC Public Health [Internet]. 2018 Aug 31;18(1):1081. Available from: http://www.ncbi.nlm.nih.gov/pubmed/30165825</w:t>
      </w:r>
    </w:p>
    <w:p w14:paraId="6A5AEB0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noProof/>
          <w:sz w:val="24"/>
          <w:szCs w:val="24"/>
          <w:lang w:val="es-ES"/>
        </w:rPr>
        <w:t xml:space="preserve">Mayo X, Liguori G, Iglesias-Soler E, Copeland RJ, Clavel San Emeterio I, Lowe A, et al. </w:t>
      </w:r>
      <w:r w:rsidRPr="0051709F">
        <w:rPr>
          <w:rFonts w:asciiTheme="minorHAnsi" w:hAnsiTheme="minorHAnsi" w:cstheme="minorHAnsi"/>
          <w:noProof/>
          <w:sz w:val="24"/>
          <w:szCs w:val="24"/>
        </w:rPr>
        <w:t>The active living gender’s gap challenge: 2013–2017 Eurobarometers physical inactivity data show constant higher prevalence in women with no progress towards global reduction goals. BMC Public Health [Internet]. 2019 Dec 12;19(1):1677. Available from: http://www.ncbi.nlm.nih.gov/pubmed/31830956</w:t>
      </w:r>
    </w:p>
    <w:p w14:paraId="3CF6EE7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Mayorga-Vega, D., Montoro-Escaño, J., Merino-Marban, R., &amp; Viciana, J. (2016). </w:t>
      </w:r>
      <w:r w:rsidRPr="0051709F">
        <w:rPr>
          <w:rFonts w:asciiTheme="minorHAnsi" w:hAnsiTheme="minorHAnsi" w:cstheme="minorHAnsi"/>
          <w:sz w:val="24"/>
          <w:szCs w:val="24"/>
        </w:rPr>
        <w:t xml:space="preserve">Effects of a physical education-based programme on health-related physical fitness and its maintenance in high school students: A clusterrandomized controlled trial. </w:t>
      </w:r>
      <w:r w:rsidRPr="0051709F">
        <w:rPr>
          <w:rFonts w:asciiTheme="minorHAnsi" w:hAnsiTheme="minorHAnsi" w:cstheme="minorHAnsi"/>
          <w:i/>
          <w:iCs/>
          <w:sz w:val="24"/>
          <w:szCs w:val="24"/>
        </w:rPr>
        <w:t>European Physical Education Review, 22</w:t>
      </w:r>
      <w:r w:rsidRPr="0051709F">
        <w:rPr>
          <w:rFonts w:asciiTheme="minorHAnsi" w:hAnsiTheme="minorHAnsi" w:cstheme="minorHAnsi"/>
          <w:sz w:val="24"/>
          <w:szCs w:val="24"/>
        </w:rPr>
        <w:t>(2), 243–259. doi:10.1177/</w:t>
      </w:r>
    </w:p>
    <w:p w14:paraId="6827284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McCurdy L. E., Winterbottom K. E., Mehta S. S., y Roberts J. R. (2010). Using Nature and Outdoor Activity to Improve Children’s Health. </w:t>
      </w:r>
      <w:r w:rsidRPr="0051709F">
        <w:rPr>
          <w:rFonts w:asciiTheme="minorHAnsi" w:hAnsiTheme="minorHAnsi" w:cstheme="minorHAnsi"/>
          <w:i/>
          <w:iCs/>
          <w:sz w:val="24"/>
          <w:szCs w:val="24"/>
        </w:rPr>
        <w:t>Current Problems in Pediatric and Adolescent Health Care, 5</w:t>
      </w:r>
      <w:r w:rsidRPr="0051709F">
        <w:rPr>
          <w:rFonts w:asciiTheme="minorHAnsi" w:hAnsiTheme="minorHAnsi" w:cstheme="minorHAnsi"/>
          <w:sz w:val="24"/>
          <w:szCs w:val="24"/>
        </w:rPr>
        <w:t>, 102-117.</w:t>
      </w:r>
    </w:p>
    <w:p w14:paraId="41418FA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McCrady, S. K., &amp; Levine, J. A. (2009). Sedentariness at work: how much do we really sit? Obesity (Silver Spring), 17(11), 2103- 2105. doi:10.1038/oby.2009.117</w:t>
      </w:r>
    </w:p>
    <w:p w14:paraId="0B30BB4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McKenzie, T. L., Sallis, J. F., Elder, J. P., Berry, C. C., Hoy, P. L., Nader, P. R., Zive, M. M., y Broyles, S. L. (1997). Physical activity levels and prompts in young children at recess: a two-year study of a bi-ethnic sample. </w:t>
      </w:r>
      <w:r w:rsidRPr="0051709F">
        <w:rPr>
          <w:rFonts w:asciiTheme="minorHAnsi" w:hAnsiTheme="minorHAnsi" w:cstheme="minorHAnsi"/>
          <w:i/>
          <w:sz w:val="24"/>
          <w:szCs w:val="24"/>
        </w:rPr>
        <w:t>Research Quarterly for Exercise and Sport, 68(3),</w:t>
      </w:r>
      <w:r w:rsidRPr="0051709F">
        <w:rPr>
          <w:rFonts w:asciiTheme="minorHAnsi" w:hAnsiTheme="minorHAnsi" w:cstheme="minorHAnsi"/>
          <w:sz w:val="24"/>
          <w:szCs w:val="24"/>
        </w:rPr>
        <w:t xml:space="preserve"> 195-202. </w:t>
      </w:r>
    </w:p>
    <w:p w14:paraId="678E7DAB"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 xml:space="preserve">Mehrdad R, Abbasi M. Metabolic syndrome : a common problem among. Shiraz Univ Med Sci. 2015;6(1):34–40. Available from: </w:t>
      </w:r>
      <w:r w:rsidRPr="0051709F">
        <w:rPr>
          <w:rFonts w:asciiTheme="minorHAnsi" w:hAnsiTheme="minorHAnsi" w:cstheme="minorHAnsi"/>
          <w:color w:val="0000FF"/>
          <w:sz w:val="24"/>
          <w:szCs w:val="24"/>
        </w:rPr>
        <w:t>https:// doi. org/ 10.15171/ ijoem. 2015. 492</w:t>
      </w:r>
      <w:r w:rsidRPr="0051709F">
        <w:rPr>
          <w:rFonts w:asciiTheme="minorHAnsi" w:hAnsiTheme="minorHAnsi" w:cstheme="minorHAnsi"/>
          <w:color w:val="000000"/>
          <w:sz w:val="24"/>
          <w:szCs w:val="24"/>
        </w:rPr>
        <w:t>.</w:t>
      </w:r>
    </w:p>
    <w:p w14:paraId="6077FD42"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Messing, S., Rutten, A., Abu-Omar, K., Ungerer-Rohrich, U., Goodwin, L. et al. (2019). How Can Physical Activity Be Promoted Among Children and Adolescents? A Systematic Review of Reviews Across Settings. </w:t>
      </w:r>
      <w:r w:rsidRPr="0051709F">
        <w:rPr>
          <w:rFonts w:asciiTheme="minorHAnsi" w:hAnsiTheme="minorHAnsi" w:cstheme="minorHAnsi"/>
          <w:i/>
          <w:iCs/>
          <w:sz w:val="24"/>
          <w:szCs w:val="24"/>
        </w:rPr>
        <w:t>Frontiers in Public Health,</w:t>
      </w:r>
      <w:r w:rsidRPr="0051709F">
        <w:rPr>
          <w:rFonts w:asciiTheme="minorHAnsi" w:hAnsiTheme="minorHAnsi" w:cstheme="minorHAnsi"/>
          <w:i/>
          <w:iCs/>
          <w:sz w:val="24"/>
          <w:szCs w:val="24"/>
          <w:shd w:val="clear" w:color="auto" w:fill="FFFFFF"/>
        </w:rPr>
        <w:t xml:space="preserve"> 7</w:t>
      </w:r>
      <w:r w:rsidRPr="0051709F">
        <w:rPr>
          <w:rFonts w:asciiTheme="minorHAnsi" w:hAnsiTheme="minorHAnsi" w:cstheme="minorHAnsi"/>
          <w:sz w:val="24"/>
          <w:szCs w:val="24"/>
          <w:shd w:val="clear" w:color="auto" w:fill="FFFFFF"/>
        </w:rPr>
        <w:t>, 55.</w:t>
      </w:r>
    </w:p>
    <w:p w14:paraId="763BBBA5" w14:textId="77777777" w:rsidR="00A65EF6" w:rsidRPr="00963270"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shd w:val="clear" w:color="auto" w:fill="FFFFFF"/>
          <w:lang w:val="en-GB"/>
        </w:rPr>
        <w:t>Milton K, Bauman A, Faulkner G, et al. </w:t>
      </w:r>
      <w:r w:rsidRPr="0051709F">
        <w:rPr>
          <w:rFonts w:asciiTheme="minorHAnsi" w:hAnsiTheme="minorHAnsi" w:cstheme="minorHAnsi"/>
          <w:sz w:val="24"/>
          <w:szCs w:val="24"/>
          <w:shd w:val="clear" w:color="auto" w:fill="FFFFFF"/>
          <w:lang w:val="en-US"/>
        </w:rPr>
        <w:t>Maximising the impact of global and national physical activity guidelines—the critical role of communication strategies. </w:t>
      </w:r>
      <w:r w:rsidRPr="0051709F">
        <w:rPr>
          <w:rFonts w:asciiTheme="minorHAnsi" w:hAnsiTheme="minorHAnsi" w:cstheme="minorHAnsi"/>
          <w:i/>
          <w:iCs/>
          <w:sz w:val="24"/>
          <w:szCs w:val="24"/>
          <w:shd w:val="clear" w:color="auto" w:fill="FFFFFF"/>
          <w:lang w:val="en-US"/>
        </w:rPr>
        <w:t>Br J Sports Med</w:t>
      </w:r>
      <w:r w:rsidRPr="0051709F">
        <w:rPr>
          <w:rFonts w:asciiTheme="minorHAnsi" w:hAnsiTheme="minorHAnsi" w:cstheme="minorHAnsi"/>
          <w:sz w:val="24"/>
          <w:szCs w:val="24"/>
          <w:shd w:val="clear" w:color="auto" w:fill="FFFFFF"/>
          <w:lang w:val="en-US"/>
        </w:rPr>
        <w:t>. 2020;54(24):1463–1467. doi:10.1136/bjsports-2020-102324</w:t>
      </w:r>
    </w:p>
    <w:p w14:paraId="6C9A8DA5"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000000" w:themeColor="text1"/>
          <w:sz w:val="24"/>
          <w:szCs w:val="24"/>
          <w:shd w:val="clear" w:color="auto" w:fill="FFFFFF"/>
        </w:rPr>
        <w:t>Milton K, Cavill N, Chalkley A, Foster C, Gomersall S, Hagstromer M, Kelly P, Kolbe-Alexander T, Mair J, McLaughlin M, Nobles J, Reece L, Shilton T, Smith BJ, Schipperijn J. Eight Investments That Work for Physical Activity. J Phys Act Health. 2021 May 14;18(6):625-630. doi: 10.1123/jpah.2021-0112  </w:t>
      </w:r>
    </w:p>
    <w:p w14:paraId="0038D194" w14:textId="77777777" w:rsidR="00A65EF6" w:rsidRPr="0051709F" w:rsidRDefault="00A65EF6" w:rsidP="00A65EF6">
      <w:pPr>
        <w:pStyle w:val="Textonotapie"/>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Ministerio de Sanidad SS e I. Actividad física para la salud y reducción del sedentarismo: Recomendaciones para la población. Madrid: Ministerio de Sanidad, Servicios Sociales e Igualdad; 2015.</w:t>
      </w:r>
    </w:p>
    <w:p w14:paraId="1ECCDE21"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Ministerio para la transición ecológica y reto demográfico. Plan Nacional de Adaptación al cambio climático 2021-2030. </w:t>
      </w:r>
      <w:r w:rsidRPr="0051709F">
        <w:rPr>
          <w:rFonts w:asciiTheme="minorHAnsi" w:hAnsiTheme="minorHAnsi" w:cstheme="minorHAnsi"/>
          <w:sz w:val="24"/>
          <w:szCs w:val="24"/>
        </w:rPr>
        <w:t>MITECO ISNB: 978-84 18508-32-5</w:t>
      </w:r>
    </w:p>
    <w:p w14:paraId="347256C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Ministerio para la transición ecológica y reto demográfico 2021. Guía metodología para la identificación de los elementos de infraestructura verde en España. </w:t>
      </w:r>
      <w:r w:rsidRPr="0051709F">
        <w:rPr>
          <w:rFonts w:asciiTheme="minorHAnsi" w:hAnsiTheme="minorHAnsi" w:cstheme="minorHAnsi"/>
          <w:sz w:val="24"/>
          <w:szCs w:val="24"/>
        </w:rPr>
        <w:t>MITECO</w:t>
      </w:r>
    </w:p>
    <w:p w14:paraId="217800C3"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Ministry of Health. Spanish strategy for nutrition, physical activity and prevention of obesity. Madrid: Ministry of Health; 2005.</w:t>
      </w:r>
    </w:p>
    <w:p w14:paraId="13C204F8"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Ministry of Social Affairs and Health. (2020). </w:t>
      </w:r>
      <w:r w:rsidRPr="0051709F">
        <w:rPr>
          <w:rFonts w:asciiTheme="minorHAnsi" w:eastAsia="Times New Roman" w:hAnsiTheme="minorHAnsi" w:cstheme="minorHAnsi"/>
          <w:i/>
          <w:iCs/>
          <w:sz w:val="24"/>
          <w:szCs w:val="24"/>
        </w:rPr>
        <w:t>ON THE MOVE National strategy for physical activity promoting health and wellbeing 2020</w:t>
      </w:r>
      <w:r w:rsidRPr="0051709F">
        <w:rPr>
          <w:rFonts w:asciiTheme="minorHAnsi" w:eastAsia="Times New Roman" w:hAnsiTheme="minorHAnsi" w:cstheme="minorHAnsi"/>
          <w:sz w:val="24"/>
          <w:szCs w:val="24"/>
        </w:rPr>
        <w:t>. www.stm.fiwww.minedu.fihttp://urn.fi/</w:t>
      </w:r>
    </w:p>
    <w:p w14:paraId="1545668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Moreno, J. A., y Cervelló, E. (2010). </w:t>
      </w:r>
      <w:r w:rsidRPr="0051709F">
        <w:rPr>
          <w:rFonts w:asciiTheme="minorHAnsi" w:hAnsiTheme="minorHAnsi" w:cstheme="minorHAnsi"/>
          <w:i/>
          <w:sz w:val="24"/>
          <w:szCs w:val="24"/>
          <w:lang w:val="es-ES"/>
        </w:rPr>
        <w:t>Motivación en la actividad física y el deporte</w:t>
      </w:r>
      <w:r w:rsidRPr="0051709F">
        <w:rPr>
          <w:rFonts w:asciiTheme="minorHAnsi" w:hAnsiTheme="minorHAnsi" w:cstheme="minorHAnsi"/>
          <w:sz w:val="24"/>
          <w:szCs w:val="24"/>
          <w:lang w:val="es-ES"/>
        </w:rPr>
        <w:t xml:space="preserve">. </w:t>
      </w:r>
      <w:r w:rsidRPr="0051709F">
        <w:rPr>
          <w:rFonts w:asciiTheme="minorHAnsi" w:hAnsiTheme="minorHAnsi" w:cstheme="minorHAnsi"/>
          <w:sz w:val="24"/>
          <w:szCs w:val="24"/>
        </w:rPr>
        <w:t>Sevilla: Wanceulen.</w:t>
      </w:r>
    </w:p>
    <w:p w14:paraId="227BFB80" w14:textId="77777777" w:rsidR="00A65EF6" w:rsidRPr="0051709F" w:rsidRDefault="00A65EF6" w:rsidP="00A65EF6">
      <w:pPr>
        <w:pStyle w:val="Prrafodelista"/>
        <w:numPr>
          <w:ilvl w:val="0"/>
          <w:numId w:val="78"/>
        </w:numPr>
        <w:jc w:val="both"/>
        <w:rPr>
          <w:rFonts w:asciiTheme="minorHAnsi" w:hAnsiTheme="minorHAnsi" w:cstheme="minorHAnsi"/>
          <w:color w:val="000000" w:themeColor="text1"/>
          <w:sz w:val="24"/>
          <w:szCs w:val="24"/>
        </w:rPr>
      </w:pPr>
      <w:r w:rsidRPr="0051709F">
        <w:rPr>
          <w:rFonts w:asciiTheme="minorHAnsi" w:hAnsiTheme="minorHAnsi" w:cstheme="minorHAnsi"/>
          <w:color w:val="000000" w:themeColor="text1"/>
          <w:sz w:val="24"/>
          <w:szCs w:val="24"/>
          <w:shd w:val="clear" w:color="auto" w:fill="FFFFFF"/>
        </w:rPr>
        <w:t>Morris JN. Exercise in the prevention of coronary heart disease: today’s best buy in public health. Med Sci Sports Exerc. 1994;26:807–14.</w:t>
      </w:r>
    </w:p>
    <w:p w14:paraId="096C33E5"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Moscoso, D. (2013). “El sueño olímpico y la brecha deportiva”, El País, 21-09-2013. </w:t>
      </w:r>
    </w:p>
    <w:p w14:paraId="170F9C3B"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Moscoso, D. (2012). “Del pódium al banquillo”, El País, 10-08-2012</w:t>
      </w:r>
    </w:p>
    <w:p w14:paraId="4CE93436" w14:textId="77777777" w:rsidR="00A65EF6" w:rsidRPr="001C7FED"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1C7FED">
        <w:rPr>
          <w:rFonts w:ascii="Calibri" w:hAnsi="Calibri" w:cs="Calibri"/>
          <w:color w:val="212121"/>
          <w:sz w:val="24"/>
          <w:szCs w:val="24"/>
          <w:lang w:val="es-ES"/>
        </w:rPr>
        <w:t>Moscoso, D. (2012a). "Los españoles y el deporte. Del podium al </w:t>
      </w:r>
      <w:r w:rsidRPr="001C7FED">
        <w:rPr>
          <w:rStyle w:val="apple-converted-space"/>
          <w:rFonts w:ascii="Calibri" w:hAnsi="Calibri" w:cs="Calibri"/>
          <w:color w:val="212121"/>
          <w:sz w:val="24"/>
          <w:szCs w:val="24"/>
          <w:lang w:val="es-ES"/>
        </w:rPr>
        <w:t> </w:t>
      </w:r>
      <w:r w:rsidRPr="001C7FED">
        <w:rPr>
          <w:rFonts w:ascii="Calibri" w:hAnsi="Calibri" w:cs="Calibri"/>
          <w:color w:val="212121"/>
          <w:sz w:val="24"/>
          <w:szCs w:val="24"/>
          <w:lang w:val="es-ES"/>
        </w:rPr>
        <w:br/>
        <w:t>banquillo". Panorama Social, 14, 110-126.</w:t>
      </w:r>
      <w:r w:rsidRPr="001C7FED">
        <w:rPr>
          <w:rFonts w:asciiTheme="minorHAnsi" w:hAnsiTheme="minorHAnsi" w:cstheme="minorHAnsi"/>
          <w:noProof/>
          <w:sz w:val="24"/>
          <w:szCs w:val="24"/>
          <w:lang w:val="es-ES"/>
        </w:rPr>
        <w:t xml:space="preserve"> </w:t>
      </w:r>
    </w:p>
    <w:p w14:paraId="2984DEF9" w14:textId="77777777" w:rsidR="00A65EF6" w:rsidRPr="001C7FED"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lang w:val="es-ES"/>
        </w:rPr>
      </w:pPr>
      <w:r w:rsidRPr="0051709F">
        <w:rPr>
          <w:rFonts w:asciiTheme="minorHAnsi" w:hAnsiTheme="minorHAnsi" w:cstheme="minorHAnsi"/>
          <w:noProof/>
          <w:sz w:val="24"/>
          <w:szCs w:val="24"/>
          <w:lang w:val="es-ES"/>
        </w:rPr>
        <w:t xml:space="preserve">Moscoso, D., Moyano, E., Biedma, L., Fernández-Ballesteros, R., Martín, M., </w:t>
      </w:r>
      <w:r w:rsidRPr="0051709F">
        <w:rPr>
          <w:rFonts w:asciiTheme="minorHAnsi" w:hAnsiTheme="minorHAnsi" w:cstheme="minorHAnsi"/>
          <w:noProof/>
          <w:sz w:val="24"/>
          <w:szCs w:val="24"/>
          <w:lang w:val="es-ES"/>
        </w:rPr>
        <w:lastRenderedPageBreak/>
        <w:t xml:space="preserve">Ramos, C., Rodríguez-Morcillo, L. y Serrano, R. (2008). </w:t>
      </w:r>
      <w:r w:rsidRPr="001C7FED">
        <w:rPr>
          <w:rFonts w:asciiTheme="minorHAnsi" w:hAnsiTheme="minorHAnsi" w:cstheme="minorHAnsi"/>
          <w:i/>
          <w:noProof/>
          <w:sz w:val="24"/>
          <w:szCs w:val="24"/>
          <w:lang w:val="es-ES"/>
        </w:rPr>
        <w:t>Sport, health and quality of life</w:t>
      </w:r>
      <w:r w:rsidRPr="001C7FED">
        <w:rPr>
          <w:rFonts w:asciiTheme="minorHAnsi" w:hAnsiTheme="minorHAnsi" w:cstheme="minorHAnsi"/>
          <w:noProof/>
          <w:sz w:val="24"/>
          <w:szCs w:val="24"/>
          <w:lang w:val="es-ES"/>
        </w:rPr>
        <w:t>. Barcelona: Fundación Obra Social de La Caixa.</w:t>
      </w:r>
    </w:p>
    <w:p w14:paraId="696ACAC0"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Pinheiro, F.; Pujadas, X. (2022). </w:t>
      </w:r>
      <w:r w:rsidRPr="0051709F">
        <w:rPr>
          <w:rFonts w:asciiTheme="minorHAnsi" w:hAnsiTheme="minorHAnsi" w:cstheme="minorHAnsi"/>
          <w:noProof/>
          <w:sz w:val="24"/>
          <w:szCs w:val="24"/>
        </w:rPr>
        <w:t>Socio-cultural and historical background of sport in Spain and Portugal. Edited By J. García-Fernández, M. Grimaldi-Puyana y G. A. Bravo, Sport in the Iberian Peninsula Management, Economics and Policy. London: Routledge.</w:t>
      </w:r>
    </w:p>
    <w:p w14:paraId="40F10EDA"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Piedra, J. (2019). El colectivo LGTBI en el deporte como objeto de investigación sociológica. </w:t>
      </w:r>
      <w:r w:rsidRPr="0051709F">
        <w:rPr>
          <w:rFonts w:asciiTheme="minorHAnsi" w:hAnsiTheme="minorHAnsi" w:cstheme="minorHAnsi"/>
          <w:noProof/>
          <w:sz w:val="24"/>
          <w:szCs w:val="24"/>
        </w:rPr>
        <w:t xml:space="preserve">Estado de la cuestión. </w:t>
      </w:r>
      <w:r w:rsidRPr="0051709F">
        <w:rPr>
          <w:rFonts w:asciiTheme="minorHAnsi" w:hAnsiTheme="minorHAnsi" w:cstheme="minorHAnsi"/>
          <w:i/>
          <w:noProof/>
          <w:sz w:val="24"/>
          <w:szCs w:val="24"/>
        </w:rPr>
        <w:t>Revista Española de Sociología</w:t>
      </w:r>
      <w:r w:rsidRPr="0051709F">
        <w:rPr>
          <w:rFonts w:asciiTheme="minorHAnsi" w:hAnsiTheme="minorHAnsi" w:cstheme="minorHAnsi"/>
          <w:noProof/>
          <w:sz w:val="24"/>
          <w:szCs w:val="24"/>
        </w:rPr>
        <w:t>, 28(3), 501-516.</w:t>
      </w:r>
    </w:p>
    <w:p w14:paraId="7AD398A2" w14:textId="77777777" w:rsidR="00A65EF6" w:rsidRPr="00AD7CFE"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AD7CFE">
        <w:rPr>
          <w:rFonts w:ascii="Calibri" w:hAnsi="Calibri" w:cs="Calibri"/>
          <w:color w:val="212121"/>
          <w:sz w:val="24"/>
          <w:szCs w:val="24"/>
          <w:lang w:val="es-ES"/>
        </w:rPr>
        <w:t>Moscoso, D. y Rodríguez, A. (2019). "El sesgo de la participación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t>deportiva en España: argumentos y análisis alternativos". En Puig, N.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t>y Camps, A. (Eds.) Diálogos sobre el deporte (1975-2020) (pp.188-200). </w:t>
      </w:r>
      <w:r w:rsidRPr="00AD7CFE">
        <w:rPr>
          <w:rStyle w:val="apple-converted-space"/>
          <w:rFonts w:ascii="Calibri" w:hAnsi="Calibri" w:cs="Calibri"/>
          <w:color w:val="212121"/>
          <w:sz w:val="24"/>
          <w:szCs w:val="24"/>
          <w:lang w:val="es-ES"/>
        </w:rPr>
        <w:t> </w:t>
      </w:r>
      <w:r w:rsidRPr="00AD7CFE">
        <w:rPr>
          <w:rFonts w:ascii="Calibri" w:hAnsi="Calibri" w:cs="Calibri"/>
          <w:color w:val="212121"/>
          <w:sz w:val="24"/>
          <w:szCs w:val="24"/>
          <w:lang w:val="es-ES"/>
        </w:rPr>
        <w:br/>
      </w:r>
      <w:r w:rsidRPr="00AD7CFE">
        <w:rPr>
          <w:rFonts w:ascii="Calibri" w:hAnsi="Calibri" w:cs="Calibri"/>
          <w:color w:val="212121"/>
          <w:sz w:val="24"/>
          <w:szCs w:val="24"/>
        </w:rPr>
        <w:t>Barcelona: Inde.</w:t>
      </w:r>
    </w:p>
    <w:p w14:paraId="22937E15"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Fernández, J.; Pérez, A. (2017). </w:t>
      </w:r>
      <w:r w:rsidRPr="0051709F">
        <w:rPr>
          <w:rFonts w:asciiTheme="minorHAnsi" w:hAnsiTheme="minorHAnsi" w:cstheme="minorHAnsi"/>
          <w:noProof/>
          <w:sz w:val="24"/>
          <w:szCs w:val="24"/>
        </w:rPr>
        <w:t>The media construction of the sports` elite from the European perspective. Sport in Society 20(9), 1-13.</w:t>
      </w:r>
    </w:p>
    <w:p w14:paraId="0F58AF98"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A.; Fernández, J. (2015). </w:t>
      </w:r>
      <w:r w:rsidRPr="0051709F">
        <w:rPr>
          <w:rFonts w:asciiTheme="minorHAnsi" w:hAnsiTheme="minorHAnsi" w:cstheme="minorHAnsi"/>
          <w:noProof/>
          <w:sz w:val="24"/>
          <w:szCs w:val="24"/>
        </w:rPr>
        <w:t xml:space="preserve">Elitist rhetoric and the sports gap. Examining the discourse and reality of sport in Spain. </w:t>
      </w:r>
      <w:r w:rsidRPr="0051709F">
        <w:rPr>
          <w:rFonts w:asciiTheme="minorHAnsi" w:hAnsiTheme="minorHAnsi" w:cstheme="minorHAnsi"/>
          <w:i/>
          <w:noProof/>
          <w:sz w:val="24"/>
          <w:szCs w:val="24"/>
        </w:rPr>
        <w:t>European Journal of Sport and Society</w:t>
      </w:r>
      <w:r w:rsidRPr="0051709F">
        <w:rPr>
          <w:rFonts w:asciiTheme="minorHAnsi" w:hAnsiTheme="minorHAnsi" w:cstheme="minorHAnsi"/>
          <w:noProof/>
          <w:sz w:val="24"/>
          <w:szCs w:val="24"/>
        </w:rPr>
        <w:t xml:space="preserve">, 12(1), 33-53. </w:t>
      </w:r>
    </w:p>
    <w:p w14:paraId="58550407"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A.; Fernández, J. (2014). </w:t>
      </w:r>
      <w:r w:rsidRPr="0051709F">
        <w:rPr>
          <w:rFonts w:asciiTheme="minorHAnsi" w:hAnsiTheme="minorHAnsi" w:cstheme="minorHAnsi"/>
          <w:noProof/>
          <w:sz w:val="24"/>
          <w:szCs w:val="24"/>
        </w:rPr>
        <w:t xml:space="preserve">From democratization of sport to market hegemony: the european contexts and the spanish case. </w:t>
      </w:r>
      <w:r w:rsidRPr="0051709F">
        <w:rPr>
          <w:rFonts w:asciiTheme="minorHAnsi" w:hAnsiTheme="minorHAnsi" w:cstheme="minorHAnsi"/>
          <w:i/>
          <w:noProof/>
          <w:sz w:val="24"/>
          <w:szCs w:val="24"/>
        </w:rPr>
        <w:t>Movimento. Revista de Educaçâo Física</w:t>
      </w:r>
      <w:r w:rsidRPr="0051709F">
        <w:rPr>
          <w:rFonts w:asciiTheme="minorHAnsi" w:hAnsiTheme="minorHAnsi" w:cstheme="minorHAnsi"/>
          <w:noProof/>
          <w:sz w:val="24"/>
          <w:szCs w:val="24"/>
        </w:rPr>
        <w:t>, 20, 109-124.</w:t>
      </w:r>
    </w:p>
    <w:p w14:paraId="50886805"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Sánchez, R.; Pedrajas, N. (2015). ¿Qué significa ser activo en una sociedad sedentaria? Paradojas de los estilos de vida y el ocio en la juventud española. </w:t>
      </w:r>
      <w:r w:rsidRPr="0051709F">
        <w:rPr>
          <w:rFonts w:asciiTheme="minorHAnsi" w:hAnsiTheme="minorHAnsi" w:cstheme="minorHAnsi"/>
          <w:i/>
          <w:noProof/>
          <w:sz w:val="24"/>
          <w:szCs w:val="24"/>
        </w:rPr>
        <w:t>Empiria. Revista de Metodología de Ciencias Sociales</w:t>
      </w:r>
      <w:r w:rsidRPr="0051709F">
        <w:rPr>
          <w:rFonts w:asciiTheme="minorHAnsi" w:hAnsiTheme="minorHAnsi" w:cstheme="minorHAnsi"/>
          <w:noProof/>
          <w:sz w:val="24"/>
          <w:szCs w:val="24"/>
        </w:rPr>
        <w:t xml:space="preserve">, 30, 77-118. </w:t>
      </w:r>
    </w:p>
    <w:p w14:paraId="1C0B5BBD"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Rodríguez, M.; Sánchez, R.; Pedrajas, N. (2014). </w:t>
      </w:r>
      <w:r w:rsidRPr="0051709F">
        <w:rPr>
          <w:rFonts w:asciiTheme="minorHAnsi" w:hAnsiTheme="minorHAnsi" w:cstheme="minorHAnsi"/>
          <w:noProof/>
          <w:sz w:val="24"/>
          <w:szCs w:val="24"/>
        </w:rPr>
        <w:t xml:space="preserve">The normalization of the Active-Sedentary lifestyle in spanish youth, </w:t>
      </w:r>
      <w:r w:rsidRPr="0051709F">
        <w:rPr>
          <w:rFonts w:asciiTheme="minorHAnsi" w:hAnsiTheme="minorHAnsi" w:cstheme="minorHAnsi"/>
          <w:i/>
          <w:noProof/>
          <w:sz w:val="24"/>
          <w:szCs w:val="24"/>
        </w:rPr>
        <w:t>Advances in Applied Sociology</w:t>
      </w:r>
      <w:r w:rsidRPr="0051709F">
        <w:rPr>
          <w:rFonts w:asciiTheme="minorHAnsi" w:hAnsiTheme="minorHAnsi" w:cstheme="minorHAnsi"/>
          <w:noProof/>
          <w:sz w:val="24"/>
          <w:szCs w:val="24"/>
        </w:rPr>
        <w:t>, 4, 173-179.</w:t>
      </w:r>
    </w:p>
    <w:p w14:paraId="7ACB25EB"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Sánchez, R.; Pedrajas, N. (2013). Sedentarismo activo. Ocio, actividad física y estilos de vida de la juventud española. </w:t>
      </w:r>
      <w:r w:rsidRPr="0051709F">
        <w:rPr>
          <w:rFonts w:asciiTheme="minorHAnsi" w:hAnsiTheme="minorHAnsi" w:cstheme="minorHAnsi"/>
          <w:i/>
          <w:noProof/>
          <w:sz w:val="24"/>
          <w:szCs w:val="24"/>
        </w:rPr>
        <w:t>Archivos de Medicina del Deporte</w:t>
      </w:r>
      <w:r w:rsidRPr="0051709F">
        <w:rPr>
          <w:rFonts w:asciiTheme="minorHAnsi" w:hAnsiTheme="minorHAnsi" w:cstheme="minorHAnsi"/>
          <w:noProof/>
          <w:sz w:val="24"/>
          <w:szCs w:val="24"/>
        </w:rPr>
        <w:t>, 30(6), 260-270.</w:t>
      </w:r>
    </w:p>
    <w:p w14:paraId="5E7A946B"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Moscoso, D.; Martín, M.; Serrano, R.; Biedma, L. (2013). Ciudadanía sedentaria vs. ciudadanía activa. Un nuevo canon social en el acceso a la salud y el bienestar. </w:t>
      </w:r>
      <w:r w:rsidRPr="0051709F">
        <w:rPr>
          <w:rFonts w:asciiTheme="minorHAnsi" w:hAnsiTheme="minorHAnsi" w:cstheme="minorHAnsi"/>
          <w:i/>
          <w:noProof/>
          <w:sz w:val="24"/>
          <w:szCs w:val="24"/>
        </w:rPr>
        <w:t>Methaodos. Revista de Ciencias Sociales</w:t>
      </w:r>
      <w:r w:rsidRPr="0051709F">
        <w:rPr>
          <w:rFonts w:asciiTheme="minorHAnsi" w:hAnsiTheme="minorHAnsi" w:cstheme="minorHAnsi"/>
          <w:noProof/>
          <w:sz w:val="24"/>
          <w:szCs w:val="24"/>
        </w:rPr>
        <w:t>, 1(1), 122-139.</w:t>
      </w:r>
    </w:p>
    <w:p w14:paraId="1F9CA404"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Muir SD, Silva SSM, Woldegiorgis MA, Rider H, Meyer D, Jayawardana MW. Predictors of success of workplace physical activity interventions: a systematic review. J Phys Act Heal. 2019;16(8):647–56.</w:t>
      </w:r>
    </w:p>
    <w:p w14:paraId="574CEA72"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Mulchandani R, Chandrasekaran AM, Shivashankar R, Kondal D, Agrawal A, Panniyammakal J, et al. Effect of workplace physical activity interventions on the cardio-metabolic health of working adults : systematic review and meta-analysis. Int J Behav Nutr Phys Act. 2019;16(1):134.</w:t>
      </w:r>
    </w:p>
    <w:p w14:paraId="3CCAEBB5"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eastAsiaTheme="minorEastAsia" w:hAnsiTheme="minorHAnsi" w:cstheme="minorHAnsi"/>
          <w:color w:val="212121"/>
          <w:sz w:val="24"/>
          <w:szCs w:val="24"/>
        </w:rPr>
        <w:t>Myers A, Quirk H, Lowe A, Crank H, Broom D, Jones N, Reid H, Speers C, Copeland R. The Active Hospital pilot: A qualitative study exploring the implementation of a Trust-wide Sport and Exercise Medicine-led physical activity intervention. PLoS One. 2021 Sep 24;16(9):e0257802. doi: 10.1371/journal.pone.0257802. PMID: 34559846; PMCID: PMC8462703</w:t>
      </w:r>
    </w:p>
    <w:p w14:paraId="4FC165DB"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lastRenderedPageBreak/>
        <w:t xml:space="preserve">Naylor, P. J., Nettlefold, L., Race, D., Hoy, C., Ashe, M. C. et al. (2015). Implementation of school based physical activity interventions: a systematic review. </w:t>
      </w:r>
      <w:r w:rsidRPr="0051709F">
        <w:rPr>
          <w:rFonts w:asciiTheme="minorHAnsi" w:hAnsiTheme="minorHAnsi" w:cstheme="minorHAnsi"/>
          <w:i/>
          <w:iCs/>
          <w:sz w:val="24"/>
          <w:szCs w:val="24"/>
          <w:shd w:val="clear" w:color="auto" w:fill="FFFFFF"/>
        </w:rPr>
        <w:t>Prevention Medicine, 72</w:t>
      </w:r>
      <w:r w:rsidRPr="0051709F">
        <w:rPr>
          <w:rFonts w:asciiTheme="minorHAnsi" w:hAnsiTheme="minorHAnsi" w:cstheme="minorHAnsi"/>
          <w:sz w:val="24"/>
          <w:szCs w:val="24"/>
          <w:shd w:val="clear" w:color="auto" w:fill="FFFFFF"/>
        </w:rPr>
        <w:t>, 95-115.</w:t>
      </w:r>
    </w:p>
    <w:p w14:paraId="496D5A00"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C13402">
        <w:rPr>
          <w:rFonts w:asciiTheme="minorHAnsi" w:hAnsiTheme="minorHAnsi" w:cstheme="minorHAnsi"/>
          <w:sz w:val="24"/>
          <w:szCs w:val="24"/>
          <w:shd w:val="clear" w:color="auto" w:fill="FFFFFF"/>
        </w:rPr>
        <w:t xml:space="preserve">Ng, J. Y., Ntoumanis, N., Thøgersen-Ntoumani, C., Deci, E. L., Ryan, R. M., Duda, J. L. et al. </w:t>
      </w:r>
      <w:r w:rsidRPr="0051709F">
        <w:rPr>
          <w:rFonts w:asciiTheme="minorHAnsi" w:hAnsiTheme="minorHAnsi" w:cstheme="minorHAnsi"/>
          <w:sz w:val="24"/>
          <w:szCs w:val="24"/>
          <w:shd w:val="clear" w:color="auto" w:fill="FFFFFF"/>
        </w:rPr>
        <w:t xml:space="preserve">(2012). Self-determination theory applied to health contexts: a meta-analysis. </w:t>
      </w:r>
      <w:r w:rsidRPr="0051709F">
        <w:rPr>
          <w:rFonts w:asciiTheme="minorHAnsi" w:hAnsiTheme="minorHAnsi" w:cstheme="minorHAnsi"/>
          <w:i/>
          <w:iCs/>
          <w:sz w:val="24"/>
          <w:szCs w:val="24"/>
        </w:rPr>
        <w:t>Perspectives on Psychological Science</w:t>
      </w:r>
      <w:r w:rsidRPr="0051709F">
        <w:rPr>
          <w:rFonts w:asciiTheme="minorHAnsi" w:hAnsiTheme="minorHAnsi" w:cstheme="minorHAnsi"/>
          <w:sz w:val="24"/>
          <w:szCs w:val="24"/>
          <w:shd w:val="clear" w:color="auto" w:fill="FFFFFF"/>
        </w:rPr>
        <w:t>. </w:t>
      </w:r>
      <w:hyperlink r:id="rId148" w:history="1">
        <w:r w:rsidRPr="0051709F">
          <w:rPr>
            <w:rStyle w:val="Hipervnculo"/>
            <w:rFonts w:asciiTheme="minorHAnsi" w:hAnsiTheme="minorHAnsi" w:cstheme="minorHAnsi"/>
            <w:color w:val="auto"/>
            <w:sz w:val="24"/>
            <w:szCs w:val="24"/>
            <w:shd w:val="clear" w:color="auto" w:fill="FFFFFF"/>
          </w:rPr>
          <w:t>https://doi.org/10.1177/1745691612447309</w:t>
        </w:r>
      </w:hyperlink>
      <w:r w:rsidRPr="0051709F">
        <w:rPr>
          <w:rFonts w:asciiTheme="minorHAnsi" w:hAnsiTheme="minorHAnsi" w:cstheme="minorHAnsi"/>
          <w:sz w:val="24"/>
          <w:szCs w:val="24"/>
          <w:shd w:val="clear" w:color="auto" w:fill="FFFFFF"/>
        </w:rPr>
        <w:t>.</w:t>
      </w:r>
    </w:p>
    <w:p w14:paraId="03228AD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Ng SW, Popkin BM. Time use and physical activity: a shift away from movement across the globe. Obes Rev. 2012;13(8):659-80.</w:t>
      </w:r>
    </w:p>
    <w:p w14:paraId="5F362A75"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themeColor="text1"/>
          <w:sz w:val="24"/>
          <w:szCs w:val="24"/>
          <w:shd w:val="clear" w:color="auto" w:fill="FFFFFF"/>
          <w:lang w:val="en-US"/>
        </w:rPr>
        <w:t>OECD (2018). </w:t>
      </w:r>
      <w:r w:rsidRPr="0051709F">
        <w:rPr>
          <w:rFonts w:asciiTheme="minorHAnsi" w:hAnsiTheme="minorHAnsi" w:cstheme="minorHAnsi"/>
          <w:i/>
          <w:iCs/>
          <w:color w:val="000000" w:themeColor="text1"/>
          <w:sz w:val="24"/>
          <w:szCs w:val="24"/>
          <w:shd w:val="clear" w:color="auto" w:fill="FFFFFF"/>
          <w:lang w:val="en-US"/>
        </w:rPr>
        <w:t>Cost-Benefit Analysis and the Environment: Further Developments and Policy Use</w:t>
      </w:r>
      <w:r w:rsidRPr="0051709F">
        <w:rPr>
          <w:rFonts w:asciiTheme="minorHAnsi" w:hAnsiTheme="minorHAnsi" w:cstheme="minorHAnsi"/>
          <w:color w:val="000000" w:themeColor="text1"/>
          <w:sz w:val="24"/>
          <w:szCs w:val="24"/>
          <w:shd w:val="clear" w:color="auto" w:fill="FFFFFF"/>
          <w:lang w:val="en-US"/>
        </w:rPr>
        <w:t>, OECD Publishing, Paris, </w:t>
      </w:r>
      <w:r w:rsidR="00000000">
        <w:fldChar w:fldCharType="begin"/>
      </w:r>
      <w:r w:rsidR="00000000" w:rsidRPr="00D12DE8">
        <w:rPr>
          <w:lang w:val="de-DE"/>
        </w:rPr>
        <w:instrText>HYPERLINK "https://doi.org/10.1787/9789264085169-en"</w:instrText>
      </w:r>
      <w:r w:rsidR="00000000">
        <w:fldChar w:fldCharType="separate"/>
      </w:r>
      <w:r w:rsidRPr="0051709F">
        <w:rPr>
          <w:rStyle w:val="Hipervnculo"/>
          <w:rFonts w:asciiTheme="minorHAnsi" w:eastAsiaTheme="majorEastAsia" w:hAnsiTheme="minorHAnsi" w:cstheme="minorHAnsi"/>
          <w:color w:val="003C6A"/>
          <w:sz w:val="24"/>
          <w:szCs w:val="24"/>
          <w:shd w:val="clear" w:color="auto" w:fill="FFFFFF"/>
          <w:lang w:val="en-GB"/>
        </w:rPr>
        <w:t>https://doi.org/10.1787/9789264085169-en</w:t>
      </w:r>
      <w:r w:rsidR="00000000">
        <w:rPr>
          <w:rStyle w:val="Hipervnculo"/>
          <w:rFonts w:asciiTheme="minorHAnsi" w:eastAsiaTheme="majorEastAsia" w:hAnsiTheme="minorHAnsi" w:cstheme="minorHAnsi"/>
          <w:color w:val="003C6A"/>
          <w:sz w:val="24"/>
          <w:szCs w:val="24"/>
          <w:shd w:val="clear" w:color="auto" w:fill="FFFFFF"/>
          <w:lang w:val="en-GB"/>
        </w:rPr>
        <w:fldChar w:fldCharType="end"/>
      </w:r>
    </w:p>
    <w:p w14:paraId="3C07B31B" w14:textId="77777777" w:rsidR="00A65EF6" w:rsidRPr="0051709F" w:rsidRDefault="00A65EF6" w:rsidP="00A65EF6">
      <w:pPr>
        <w:pStyle w:val="Textonotapie"/>
        <w:numPr>
          <w:ilvl w:val="0"/>
          <w:numId w:val="78"/>
        </w:numPr>
        <w:jc w:val="both"/>
        <w:rPr>
          <w:rStyle w:val="Hipervnculo"/>
          <w:rFonts w:asciiTheme="minorHAnsi" w:eastAsiaTheme="majorEastAsia" w:hAnsiTheme="minorHAnsi" w:cstheme="minorHAnsi"/>
          <w:sz w:val="24"/>
          <w:szCs w:val="24"/>
          <w:lang w:val="en-GB"/>
        </w:rPr>
      </w:pPr>
      <w:r w:rsidRPr="0051709F">
        <w:rPr>
          <w:rFonts w:asciiTheme="minorHAnsi" w:hAnsiTheme="minorHAnsi" w:cstheme="minorHAnsi"/>
          <w:color w:val="000000" w:themeColor="text1"/>
          <w:sz w:val="24"/>
          <w:szCs w:val="24"/>
          <w:lang w:val="en-US"/>
        </w:rPr>
        <w:t>OECD and WHO/Europe</w:t>
      </w:r>
      <w:r w:rsidRPr="0051709F">
        <w:rPr>
          <w:rStyle w:val="nfasis"/>
          <w:rFonts w:asciiTheme="minorHAnsi" w:eastAsiaTheme="majorEastAsia" w:hAnsiTheme="minorHAnsi" w:cstheme="minorHAnsi"/>
          <w:color w:val="000000" w:themeColor="text1"/>
          <w:sz w:val="24"/>
          <w:szCs w:val="24"/>
          <w:lang w:val="en-GB"/>
        </w:rPr>
        <w:t>. Step up! Tackling the Burden of Insufficient Physical Activity in Europe</w:t>
      </w:r>
      <w:r w:rsidRPr="0051709F">
        <w:rPr>
          <w:rFonts w:asciiTheme="minorHAnsi" w:hAnsiTheme="minorHAnsi" w:cstheme="minorHAnsi"/>
          <w:color w:val="000000" w:themeColor="text1"/>
          <w:sz w:val="24"/>
          <w:szCs w:val="24"/>
          <w:lang w:val="en-US"/>
        </w:rPr>
        <w:t xml:space="preserve">, Feb. 2023. </w:t>
      </w:r>
      <w:r w:rsidR="00000000">
        <w:fldChar w:fldCharType="begin"/>
      </w:r>
      <w:r w:rsidR="00000000" w:rsidRPr="00D12DE8">
        <w:rPr>
          <w:lang w:val="de-DE"/>
        </w:rPr>
        <w:instrText>HYPERLINK "https://www.oecd-ilibrary.org/sites/500a9601-en/index.html?itemId=/content/publication/500a9601-en"</w:instrText>
      </w:r>
      <w:r w:rsidR="00000000">
        <w:fldChar w:fldCharType="separate"/>
      </w:r>
      <w:r w:rsidRPr="0051709F">
        <w:rPr>
          <w:rStyle w:val="Hipervnculo"/>
          <w:rFonts w:asciiTheme="minorHAnsi" w:eastAsiaTheme="majorEastAsia" w:hAnsiTheme="minorHAnsi" w:cstheme="minorHAnsi"/>
          <w:sz w:val="24"/>
          <w:szCs w:val="24"/>
          <w:lang w:val="en-GB"/>
        </w:rPr>
        <w:t>https://www.oecd-ilibrary.org/sites/500a9601-en/index.html?itemId=/content/publication/500a9601-en</w:t>
      </w:r>
      <w:r w:rsidR="00000000">
        <w:rPr>
          <w:rStyle w:val="Hipervnculo"/>
          <w:rFonts w:asciiTheme="minorHAnsi" w:eastAsiaTheme="majorEastAsia" w:hAnsiTheme="minorHAnsi" w:cstheme="minorHAnsi"/>
          <w:sz w:val="24"/>
          <w:szCs w:val="24"/>
          <w:lang w:val="en-GB"/>
        </w:rPr>
        <w:fldChar w:fldCharType="end"/>
      </w:r>
    </w:p>
    <w:p w14:paraId="0E6EF32B"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Oginga-Martins, J., &amp; Sharifi, A. (2022). </w:t>
      </w:r>
      <w:r w:rsidRPr="0051709F">
        <w:rPr>
          <w:rFonts w:asciiTheme="minorHAnsi" w:hAnsiTheme="minorHAnsi" w:cstheme="minorHAnsi"/>
          <w:i/>
          <w:iCs/>
          <w:sz w:val="24"/>
          <w:szCs w:val="24"/>
        </w:rPr>
        <w:t>World Cities Report 2022: Envisaging the Future of Cities</w:t>
      </w:r>
      <w:r w:rsidRPr="0051709F">
        <w:rPr>
          <w:rFonts w:asciiTheme="minorHAnsi" w:hAnsiTheme="minorHAnsi" w:cstheme="minorHAnsi"/>
          <w:sz w:val="24"/>
          <w:szCs w:val="24"/>
        </w:rPr>
        <w:t xml:space="preserve"> (United Nations Human Settlements Programme (UN-Habitat))</w:t>
      </w:r>
    </w:p>
    <w:p w14:paraId="517382B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O’Reilly, E., Tompkins, J. y Gallant, M. (2001). “They ought to enjoy physical activity, you know?” struggling with fun in phsical education. </w:t>
      </w:r>
      <w:r w:rsidRPr="0051709F">
        <w:rPr>
          <w:rFonts w:asciiTheme="minorHAnsi" w:hAnsiTheme="minorHAnsi" w:cstheme="minorHAnsi"/>
          <w:i/>
          <w:sz w:val="24"/>
          <w:szCs w:val="24"/>
        </w:rPr>
        <w:t>Sport, Education, and Society, 6</w:t>
      </w:r>
      <w:r w:rsidRPr="0051709F">
        <w:rPr>
          <w:rFonts w:asciiTheme="minorHAnsi" w:hAnsiTheme="minorHAnsi" w:cstheme="minorHAnsi"/>
          <w:sz w:val="24"/>
          <w:szCs w:val="24"/>
        </w:rPr>
        <w:t xml:space="preserve">, 211-221. </w:t>
      </w:r>
    </w:p>
    <w:p w14:paraId="576AE5B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Ommundsen, Y., Gundersen, K. A., y Mjaavatn, P. E. (2010). Fourth graders' social standing with peers: a prospective study on the role of first grade physical activity, weight sta- tus, and motor proficiency. </w:t>
      </w:r>
      <w:r w:rsidRPr="0051709F">
        <w:rPr>
          <w:rFonts w:asciiTheme="minorHAnsi" w:hAnsiTheme="minorHAnsi" w:cstheme="minorHAnsi"/>
          <w:i/>
          <w:sz w:val="24"/>
          <w:szCs w:val="24"/>
        </w:rPr>
        <w:t>Scandinavian Journal of Educational Research, 54</w:t>
      </w:r>
      <w:r w:rsidRPr="0051709F">
        <w:rPr>
          <w:rFonts w:asciiTheme="minorHAnsi" w:hAnsiTheme="minorHAnsi" w:cstheme="minorHAnsi"/>
          <w:sz w:val="24"/>
          <w:szCs w:val="24"/>
        </w:rPr>
        <w:t>, 377-394.</w:t>
      </w:r>
    </w:p>
    <w:p w14:paraId="3AFACC7C" w14:textId="77777777" w:rsidR="00A65EF6" w:rsidRPr="0051709F" w:rsidRDefault="00A65EF6" w:rsidP="00A65EF6">
      <w:pPr>
        <w:pStyle w:val="Prrafodelista"/>
        <w:numPr>
          <w:ilvl w:val="0"/>
          <w:numId w:val="78"/>
        </w:numPr>
        <w:jc w:val="both"/>
        <w:rPr>
          <w:rFonts w:asciiTheme="minorHAnsi" w:hAnsiTheme="minorHAnsi" w:cstheme="minorHAnsi"/>
          <w:sz w:val="24"/>
          <w:szCs w:val="24"/>
          <w:lang w:val="es-ES"/>
        </w:rPr>
      </w:pPr>
      <w:r w:rsidRPr="0051709F">
        <w:rPr>
          <w:rFonts w:asciiTheme="minorHAnsi" w:hAnsiTheme="minorHAnsi" w:cstheme="minorHAnsi"/>
          <w:sz w:val="24"/>
          <w:szCs w:val="24"/>
          <w:lang w:val="es-ES"/>
        </w:rPr>
        <w:t>Organización Panamericana de la Salud y Organización Mundial de la Salud 2018. Plan de acción mundial sobre la actividad física 2018-2030. Más personas activas para un mundo sano. ISBN: 978-92-75-32060-0</w:t>
      </w:r>
    </w:p>
    <w:p w14:paraId="42837D5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Ornelas, I., Perreira, K., y Ayala, G. (2007). </w:t>
      </w:r>
      <w:r w:rsidRPr="0051709F">
        <w:rPr>
          <w:rFonts w:asciiTheme="minorHAnsi" w:hAnsiTheme="minorHAnsi" w:cstheme="minorHAnsi"/>
          <w:sz w:val="24"/>
          <w:szCs w:val="24"/>
        </w:rPr>
        <w:t xml:space="preserve">Parental influences on adolescent physical activity: a longitudinal study.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3.</w:t>
      </w:r>
    </w:p>
    <w:p w14:paraId="496BAF8B"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hAnsiTheme="minorHAnsi" w:cstheme="minorHAnsi"/>
          <w:color w:val="222222"/>
          <w:sz w:val="24"/>
          <w:szCs w:val="24"/>
          <w:shd w:val="clear" w:color="auto" w:fill="FFFFFF"/>
          <w:lang w:val="es-ES"/>
        </w:rPr>
        <w:t>Otero, F. L., &amp; Ferrando, M. G. (1998). La perspectiva sociológica del deporte. En </w:t>
      </w:r>
      <w:r w:rsidRPr="0051709F">
        <w:rPr>
          <w:rFonts w:asciiTheme="minorHAnsi" w:hAnsiTheme="minorHAnsi" w:cstheme="minorHAnsi"/>
          <w:i/>
          <w:iCs/>
          <w:color w:val="222222"/>
          <w:sz w:val="24"/>
          <w:szCs w:val="24"/>
          <w:shd w:val="clear" w:color="auto" w:fill="FFFFFF"/>
        </w:rPr>
        <w:t>Sociología del deporte</w:t>
      </w:r>
      <w:r w:rsidRPr="0051709F">
        <w:rPr>
          <w:rFonts w:asciiTheme="minorHAnsi" w:hAnsiTheme="minorHAnsi" w:cstheme="minorHAnsi"/>
          <w:color w:val="222222"/>
          <w:sz w:val="24"/>
          <w:szCs w:val="24"/>
          <w:shd w:val="clear" w:color="auto" w:fill="FFFFFF"/>
        </w:rPr>
        <w:t> (pp. 13-40). Alianza Editorial.</w:t>
      </w:r>
    </w:p>
    <w:p w14:paraId="433A51E5"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(1995a). Differential perceptual and motivational patterns when dif- ferent goals are adopted. </w:t>
      </w:r>
      <w:r w:rsidRPr="0051709F">
        <w:rPr>
          <w:rFonts w:asciiTheme="minorHAnsi" w:hAnsiTheme="minorHAnsi" w:cstheme="minorHAnsi"/>
          <w:i/>
          <w:sz w:val="24"/>
          <w:szCs w:val="24"/>
        </w:rPr>
        <w:t>Journal of Sport and Exercise Psychology, 17</w:t>
      </w:r>
      <w:r w:rsidRPr="0051709F">
        <w:rPr>
          <w:rFonts w:asciiTheme="minorHAnsi" w:hAnsiTheme="minorHAnsi" w:cstheme="minorHAnsi"/>
          <w:sz w:val="24"/>
          <w:szCs w:val="24"/>
        </w:rPr>
        <w:t>, 18-34.</w:t>
      </w:r>
    </w:p>
    <w:p w14:paraId="2F64955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(1995b). </w:t>
      </w:r>
      <w:r w:rsidRPr="0051709F">
        <w:rPr>
          <w:rFonts w:asciiTheme="minorHAnsi" w:hAnsiTheme="minorHAnsi" w:cstheme="minorHAnsi"/>
          <w:i/>
          <w:sz w:val="24"/>
          <w:szCs w:val="24"/>
        </w:rPr>
        <w:t>Motivation and goal perspectives in children’s physical education</w:t>
      </w:r>
      <w:r w:rsidRPr="0051709F">
        <w:rPr>
          <w:rFonts w:asciiTheme="minorHAnsi" w:hAnsiTheme="minorHAnsi" w:cstheme="minorHAnsi"/>
          <w:sz w:val="24"/>
          <w:szCs w:val="24"/>
        </w:rPr>
        <w:t xml:space="preserve">. En S. J. H. Biddle (Eds.), </w:t>
      </w:r>
      <w:r w:rsidRPr="0051709F">
        <w:rPr>
          <w:rFonts w:asciiTheme="minorHAnsi" w:hAnsiTheme="minorHAnsi" w:cstheme="minorHAnsi"/>
          <w:i/>
          <w:sz w:val="24"/>
          <w:szCs w:val="24"/>
        </w:rPr>
        <w:t>European perspectives on exercise and sport psychology</w:t>
      </w:r>
      <w:r w:rsidRPr="0051709F">
        <w:rPr>
          <w:rFonts w:asciiTheme="minorHAnsi" w:hAnsiTheme="minorHAnsi" w:cstheme="minorHAnsi"/>
          <w:sz w:val="24"/>
          <w:szCs w:val="24"/>
        </w:rPr>
        <w:t xml:space="preserve"> (pp. 245-269). Champaign, IL: Human Kinetics.</w:t>
      </w:r>
    </w:p>
    <w:p w14:paraId="40C1C13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(1998a). Students’ perceptions of the physical education class environment for boys and girls and the perceived motivational climate. </w:t>
      </w:r>
      <w:r w:rsidRPr="0051709F">
        <w:rPr>
          <w:rFonts w:asciiTheme="minorHAnsi" w:hAnsiTheme="minorHAnsi" w:cstheme="minorHAnsi"/>
          <w:i/>
          <w:sz w:val="24"/>
          <w:szCs w:val="24"/>
        </w:rPr>
        <w:t>Research Quarterly for Exercise and Sport, 69</w:t>
      </w:r>
      <w:r w:rsidRPr="0051709F">
        <w:rPr>
          <w:rFonts w:asciiTheme="minorHAnsi" w:hAnsiTheme="minorHAnsi" w:cstheme="minorHAnsi"/>
          <w:sz w:val="24"/>
          <w:szCs w:val="24"/>
        </w:rPr>
        <w:t>, 267-275.</w:t>
      </w:r>
    </w:p>
    <w:p w14:paraId="641EEF1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Papaioannou, A. (1998b). Goal perspective, reasons for behaving appropriately, and self-reported discipline in physical education lessons. </w:t>
      </w:r>
      <w:r w:rsidRPr="0051709F">
        <w:rPr>
          <w:rFonts w:asciiTheme="minorHAnsi" w:hAnsiTheme="minorHAnsi" w:cstheme="minorHAnsi"/>
          <w:i/>
          <w:sz w:val="24"/>
          <w:szCs w:val="24"/>
        </w:rPr>
        <w:t>Journal of Teaching in Physical Education, 17</w:t>
      </w:r>
      <w:r w:rsidRPr="0051709F">
        <w:rPr>
          <w:rFonts w:asciiTheme="minorHAnsi" w:hAnsiTheme="minorHAnsi" w:cstheme="minorHAnsi"/>
          <w:sz w:val="24"/>
          <w:szCs w:val="24"/>
        </w:rPr>
        <w:t>, 421-441.</w:t>
      </w:r>
    </w:p>
    <w:p w14:paraId="11C72C76"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Parajára, M. do C., de Castro, B. M., Coelho, D. B., &amp; Meireles, A. L. (2020). </w:t>
      </w:r>
      <w:r w:rsidRPr="0051709F">
        <w:rPr>
          <w:rFonts w:asciiTheme="minorHAnsi" w:eastAsia="Times New Roman" w:hAnsiTheme="minorHAnsi" w:cstheme="minorHAnsi"/>
          <w:sz w:val="24"/>
          <w:szCs w:val="24"/>
        </w:rPr>
        <w:t xml:space="preserve">Are neighborhood characteristics associated with sedentary behavior in </w:t>
      </w:r>
      <w:r w:rsidRPr="0051709F">
        <w:rPr>
          <w:rFonts w:asciiTheme="minorHAnsi" w:eastAsia="Times New Roman" w:hAnsiTheme="minorHAnsi" w:cstheme="minorHAnsi"/>
          <w:sz w:val="24"/>
          <w:szCs w:val="24"/>
        </w:rPr>
        <w:lastRenderedPageBreak/>
        <w:t xml:space="preserve">adolescents? A systematic review. </w:t>
      </w:r>
      <w:r w:rsidRPr="0051709F">
        <w:rPr>
          <w:rFonts w:asciiTheme="minorHAnsi" w:eastAsia="Times New Roman" w:hAnsiTheme="minorHAnsi" w:cstheme="minorHAnsi"/>
          <w:i/>
          <w:iCs/>
          <w:sz w:val="24"/>
          <w:szCs w:val="24"/>
        </w:rPr>
        <w:t>International Journal of Environmental Health Research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30</w:t>
      </w:r>
      <w:r w:rsidRPr="0051709F">
        <w:rPr>
          <w:rFonts w:asciiTheme="minorHAnsi" w:eastAsia="Times New Roman" w:hAnsiTheme="minorHAnsi" w:cstheme="minorHAnsi"/>
          <w:sz w:val="24"/>
          <w:szCs w:val="24"/>
        </w:rPr>
        <w:t>(4), 388–408. https://doi.org/10.1080/09603123.2019.1597833</w:t>
      </w:r>
    </w:p>
    <w:p w14:paraId="21015BF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Parrish, A. M., Okely, A. D., Stanley, R. M., y Ridgers, N. D., (2013). The effect of school recess interventions on physical activity: a systematic review. </w:t>
      </w:r>
      <w:r w:rsidRPr="0051709F">
        <w:rPr>
          <w:rFonts w:asciiTheme="minorHAnsi" w:hAnsiTheme="minorHAnsi" w:cstheme="minorHAnsi"/>
          <w:i/>
          <w:sz w:val="24"/>
          <w:szCs w:val="24"/>
        </w:rPr>
        <w:t>Sports Medicine, 43(4),</w:t>
      </w:r>
      <w:r w:rsidRPr="0051709F">
        <w:rPr>
          <w:rFonts w:asciiTheme="minorHAnsi" w:hAnsiTheme="minorHAnsi" w:cstheme="minorHAnsi"/>
          <w:sz w:val="24"/>
          <w:szCs w:val="24"/>
        </w:rPr>
        <w:t xml:space="preserve"> 297-299.</w:t>
      </w:r>
    </w:p>
    <w:p w14:paraId="4C312BC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Pate, R. R., Saunders, R. P., Ward, D. S., Felton, G., Trost, S. G., y Dowda, M. (2003). Evaluation of a community-based intervention to promote physical activity in youth: Lessons from active winners. </w:t>
      </w:r>
      <w:r w:rsidRPr="0051709F">
        <w:rPr>
          <w:rFonts w:asciiTheme="minorHAnsi" w:hAnsiTheme="minorHAnsi" w:cstheme="minorHAnsi"/>
          <w:i/>
          <w:sz w:val="24"/>
          <w:szCs w:val="24"/>
        </w:rPr>
        <w:t>American Journal of Health Promotion, 17(3),</w:t>
      </w:r>
      <w:r w:rsidRPr="0051709F">
        <w:rPr>
          <w:rFonts w:asciiTheme="minorHAnsi" w:hAnsiTheme="minorHAnsi" w:cstheme="minorHAnsi"/>
          <w:sz w:val="24"/>
          <w:szCs w:val="24"/>
        </w:rPr>
        <w:t xml:space="preserve"> 171-182.</w:t>
      </w:r>
    </w:p>
    <w:p w14:paraId="15695B78" w14:textId="77777777" w:rsidR="00A65EF6" w:rsidRPr="0051709F" w:rsidRDefault="00A65EF6" w:rsidP="00A65EF6">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rPr>
        <w:t xml:space="preserve">Patterson R, McNamara E, Tainio M, et al. </w:t>
      </w:r>
      <w:r w:rsidRPr="0051709F">
        <w:rPr>
          <w:rFonts w:asciiTheme="minorHAnsi" w:hAnsiTheme="minorHAnsi" w:cstheme="minorHAnsi"/>
          <w:color w:val="000000" w:themeColor="text1"/>
          <w:lang w:val="en-US"/>
        </w:rPr>
        <w:t xml:space="preserve">Sedentary behaviour and risk of all-cause, cardiovascular and cancer mortality, and incident type 2 diabetes: a systematic re- view and dose response meta-analysis. Eur J Epidemiol 2018;33(9):811-829. </w:t>
      </w:r>
    </w:p>
    <w:p w14:paraId="05E6CCD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Peng, W., Lin, J., y Crouse, J. (2011). Is playing exergames really exercising? A meta-analysis of energy expenditure in active video games. </w:t>
      </w:r>
      <w:r w:rsidRPr="0051709F">
        <w:rPr>
          <w:rFonts w:asciiTheme="minorHAnsi" w:hAnsiTheme="minorHAnsi" w:cstheme="minorHAnsi"/>
          <w:i/>
          <w:sz w:val="24"/>
          <w:szCs w:val="24"/>
        </w:rPr>
        <w:t>Cyberpsychol Behavior, and Social Networking, 14</w:t>
      </w:r>
      <w:r w:rsidRPr="0051709F">
        <w:rPr>
          <w:rFonts w:asciiTheme="minorHAnsi" w:hAnsiTheme="minorHAnsi" w:cstheme="minorHAnsi"/>
          <w:sz w:val="24"/>
          <w:szCs w:val="24"/>
        </w:rPr>
        <w:t>, 681-688.</w:t>
      </w:r>
    </w:p>
    <w:p w14:paraId="024CD0BD"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Pengpid, S., Peltzer, K., Kassean, H. K., Tsala Tsala, J. P., Sychareun, V., &amp; Müller-Riemenschneider, F. (2015). Physical inactivity and associated factors among university students in 23 low-, middle- and high-income countries. </w:t>
      </w:r>
      <w:r w:rsidRPr="0051709F">
        <w:rPr>
          <w:rFonts w:asciiTheme="minorHAnsi" w:eastAsia="Times New Roman" w:hAnsiTheme="minorHAnsi" w:cstheme="minorHAnsi"/>
          <w:i/>
          <w:iCs/>
          <w:sz w:val="24"/>
          <w:szCs w:val="24"/>
        </w:rPr>
        <w:t>International Journal of Public Health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60</w:t>
      </w:r>
      <w:r w:rsidRPr="0051709F">
        <w:rPr>
          <w:rFonts w:asciiTheme="minorHAnsi" w:eastAsia="Times New Roman" w:hAnsiTheme="minorHAnsi" w:cstheme="minorHAnsi"/>
          <w:sz w:val="24"/>
          <w:szCs w:val="24"/>
        </w:rPr>
        <w:t>(5), 539–549. https://doi.org/10.1007/S00038-015-0680-0</w:t>
      </w:r>
    </w:p>
    <w:p w14:paraId="57F08F77"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n-GB"/>
        </w:rPr>
        <w:t>Pérez M, Foster C, González-Freire M, Arenas J, Lucia A. One-year follow-up in a child with McArdle disease: exercise is medicine. Pediatr Neurol. 2008 Feb;38(2):133-6. doi: 10.1016/j.pediatrneurol.2007.10.005. PMID: 18206796.</w:t>
      </w:r>
    </w:p>
    <w:p w14:paraId="42BCB9E6"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Perlman DM, Maier LA. Occupational lung disease. Med Clin North Am. 2019;103(3):535–48.</w:t>
      </w:r>
    </w:p>
    <w:p w14:paraId="5D348C16"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Piedra, J. (2020). Redes sociales en tiempos del COVID-19: El caso de la actividad física. </w:t>
      </w:r>
      <w:r w:rsidRPr="0051709F">
        <w:rPr>
          <w:rFonts w:asciiTheme="minorHAnsi" w:hAnsiTheme="minorHAnsi" w:cstheme="minorHAnsi"/>
          <w:i/>
          <w:noProof/>
          <w:sz w:val="24"/>
          <w:szCs w:val="24"/>
        </w:rPr>
        <w:t>Sociología Del Deporte</w:t>
      </w:r>
      <w:r w:rsidRPr="0051709F">
        <w:rPr>
          <w:rFonts w:asciiTheme="minorHAnsi" w:hAnsiTheme="minorHAnsi" w:cstheme="minorHAnsi"/>
          <w:noProof/>
          <w:sz w:val="24"/>
          <w:szCs w:val="24"/>
        </w:rPr>
        <w:t xml:space="preserve">, 1(1), 41–43. https://doi.org/10.46661/socioldeporte.4998 </w:t>
      </w:r>
    </w:p>
    <w:p w14:paraId="43EF1889" w14:textId="77777777" w:rsidR="00A65EF6" w:rsidRPr="0051709F" w:rsidRDefault="00A65EF6" w:rsidP="00A65EF6">
      <w:pPr>
        <w:pStyle w:val="Prrafodelista"/>
        <w:numPr>
          <w:ilvl w:val="0"/>
          <w:numId w:val="78"/>
        </w:numPr>
        <w:autoSpaceDE w:val="0"/>
        <w:autoSpaceDN w:val="0"/>
        <w:jc w:val="both"/>
        <w:rPr>
          <w:rStyle w:val="Hipervnculo"/>
          <w:rFonts w:asciiTheme="minorHAnsi" w:eastAsia="Times New Roman" w:hAnsiTheme="minorHAnsi" w:cstheme="minorHAnsi"/>
          <w:color w:val="auto"/>
          <w:sz w:val="24"/>
          <w:szCs w:val="24"/>
          <w:u w:val="none"/>
        </w:rPr>
      </w:pPr>
      <w:r w:rsidRPr="0051709F">
        <w:rPr>
          <w:rFonts w:asciiTheme="minorHAnsi" w:hAnsiTheme="minorHAnsi" w:cstheme="minorHAnsi"/>
          <w:color w:val="333333"/>
          <w:sz w:val="24"/>
          <w:szCs w:val="24"/>
          <w:shd w:val="clear" w:color="auto" w:fill="ECEBEB"/>
        </w:rPr>
        <w:t>Pratt, M. et al. (2015), “Can Population Levels of Physical Activity Be Increased? Global Evidence and Experience”, </w:t>
      </w:r>
      <w:r w:rsidRPr="0051709F">
        <w:rPr>
          <w:rStyle w:val="nfasis"/>
          <w:rFonts w:asciiTheme="minorHAnsi" w:hAnsiTheme="minorHAnsi" w:cstheme="minorHAnsi"/>
          <w:color w:val="333333"/>
          <w:sz w:val="24"/>
          <w:szCs w:val="24"/>
          <w:shd w:val="clear" w:color="auto" w:fill="ECEBEB"/>
        </w:rPr>
        <w:t>Progress in Cardiovascular Diseases</w:t>
      </w:r>
      <w:r w:rsidRPr="0051709F">
        <w:rPr>
          <w:rFonts w:asciiTheme="minorHAnsi" w:hAnsiTheme="minorHAnsi" w:cstheme="minorHAnsi"/>
          <w:color w:val="333333"/>
          <w:sz w:val="24"/>
          <w:szCs w:val="24"/>
          <w:shd w:val="clear" w:color="auto" w:fill="ECEBEB"/>
        </w:rPr>
        <w:t>, Vol. 57/4, pp. 356-367, </w:t>
      </w:r>
      <w:hyperlink r:id="rId149" w:tgtFrame="_blank" w:history="1">
        <w:r w:rsidRPr="0051709F">
          <w:rPr>
            <w:rStyle w:val="Hipervnculo"/>
            <w:rFonts w:asciiTheme="minorHAnsi" w:hAnsiTheme="minorHAnsi" w:cstheme="minorHAnsi"/>
            <w:color w:val="0068B6"/>
            <w:sz w:val="24"/>
            <w:szCs w:val="24"/>
            <w:shd w:val="clear" w:color="auto" w:fill="ECEBEB"/>
          </w:rPr>
          <w:t>https://doi.org/10.1016/j.pcad.2014.09.002</w:t>
        </w:r>
      </w:hyperlink>
    </w:p>
    <w:p w14:paraId="468D12DD" w14:textId="77777777" w:rsidR="00A65EF6" w:rsidRPr="0051709F" w:rsidRDefault="00A65EF6" w:rsidP="00A65EF6">
      <w:pPr>
        <w:pStyle w:val="Prrafodelista"/>
        <w:numPr>
          <w:ilvl w:val="0"/>
          <w:numId w:val="78"/>
        </w:numPr>
        <w:autoSpaceDE w:val="0"/>
        <w:autoSpaceDN w:val="0"/>
        <w:jc w:val="both"/>
        <w:rPr>
          <w:rStyle w:val="Hipervnculo"/>
          <w:rFonts w:asciiTheme="minorHAnsi" w:eastAsia="Times New Roman" w:hAnsiTheme="minorHAnsi" w:cstheme="minorHAnsi"/>
          <w:color w:val="auto"/>
          <w:sz w:val="24"/>
          <w:szCs w:val="24"/>
          <w:u w:val="none"/>
          <w:lang w:val="en-GB"/>
        </w:rPr>
      </w:pPr>
      <w:r w:rsidRPr="0051709F">
        <w:rPr>
          <w:rStyle w:val="Hipervnculo"/>
          <w:rFonts w:asciiTheme="minorHAnsi" w:eastAsia="Times New Roman" w:hAnsiTheme="minorHAnsi" w:cstheme="minorHAnsi"/>
          <w:color w:val="auto"/>
          <w:sz w:val="24"/>
          <w:szCs w:val="24"/>
          <w:u w:val="none"/>
          <w:lang w:val="es-ES"/>
        </w:rPr>
        <w:t xml:space="preserve">Previtt, T. (2015). Propuesta de bottom-up reforma del sistema sanitario. </w:t>
      </w:r>
      <w:r w:rsidRPr="0051709F">
        <w:rPr>
          <w:rStyle w:val="Hipervnculo"/>
          <w:rFonts w:asciiTheme="minorHAnsi" w:eastAsia="Times New Roman" w:hAnsiTheme="minorHAnsi" w:cstheme="minorHAnsi"/>
          <w:color w:val="auto"/>
          <w:sz w:val="24"/>
          <w:szCs w:val="24"/>
          <w:u w:val="none"/>
          <w:lang w:val="en-GB"/>
        </w:rPr>
        <w:t xml:space="preserve">Retrieved from: https://www.qualitydigest.com/inside/healthcare-column/bottom-healthcare-reform-052815.html </w:t>
      </w:r>
    </w:p>
    <w:p w14:paraId="2D1992FC"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n-GB"/>
        </w:rPr>
        <w:t xml:space="preserve">Prochaska, J. O., &amp; DiClemente, C. C. (1983). Stages and processes of self-change of smoking: Toward an integrative model of change. . </w:t>
      </w:r>
      <w:r w:rsidRPr="0051709F">
        <w:rPr>
          <w:rFonts w:asciiTheme="minorHAnsi" w:eastAsia="Times New Roman" w:hAnsiTheme="minorHAnsi" w:cstheme="minorHAnsi"/>
          <w:i/>
          <w:iCs/>
          <w:sz w:val="24"/>
          <w:szCs w:val="24"/>
        </w:rPr>
        <w:t xml:space="preserve">Journal of Consulting and Clinical Psychology </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51</w:t>
      </w:r>
      <w:r w:rsidRPr="0051709F">
        <w:rPr>
          <w:rFonts w:asciiTheme="minorHAnsi" w:eastAsia="Times New Roman" w:hAnsiTheme="minorHAnsi" w:cstheme="minorHAnsi"/>
          <w:sz w:val="24"/>
          <w:szCs w:val="24"/>
        </w:rPr>
        <w:t>(3), 390–395.</w:t>
      </w:r>
    </w:p>
    <w:p w14:paraId="49289A33" w14:textId="77777777" w:rsidR="00A65EF6" w:rsidRPr="0051709F" w:rsidRDefault="00A65EF6" w:rsidP="00A65EF6">
      <w:pPr>
        <w:pStyle w:val="Prrafodelista"/>
        <w:numPr>
          <w:ilvl w:val="0"/>
          <w:numId w:val="78"/>
        </w:numPr>
        <w:spacing w:before="200" w:after="200"/>
        <w:jc w:val="both"/>
        <w:rPr>
          <w:rFonts w:asciiTheme="minorHAnsi" w:eastAsia="Calibri" w:hAnsiTheme="minorHAnsi" w:cstheme="minorHAnsi"/>
          <w:color w:val="212121"/>
          <w:sz w:val="24"/>
          <w:szCs w:val="24"/>
          <w:lang w:val="en-GB"/>
        </w:rPr>
      </w:pPr>
      <w:r w:rsidRPr="0051709F">
        <w:rPr>
          <w:rFonts w:asciiTheme="minorHAnsi" w:eastAsia="Calibri" w:hAnsiTheme="minorHAnsi" w:cstheme="minorHAnsi"/>
          <w:color w:val="212121"/>
          <w:sz w:val="24"/>
          <w:szCs w:val="24"/>
          <w:lang w:val="en-GB"/>
        </w:rPr>
        <w:t>Public Health England (2020). Active Hospitals—The Active Hospital feasibility and acceptability pilot explores integrating physical activity interventions in a secondary care setting 2020 [</w:t>
      </w:r>
      <w:hyperlink r:id="rId150" w:history="1">
        <w:hyperlink r:id="rId151" w:history="1">
          <w:r w:rsidRPr="0051709F">
            <w:rPr>
              <w:rFonts w:asciiTheme="minorHAnsi" w:eastAsia="Cambria" w:hAnsiTheme="minorHAnsi" w:cstheme="minorHAnsi"/>
              <w:sz w:val="24"/>
              <w:szCs w:val="24"/>
              <w:lang w:val="en-GB"/>
            </w:rPr>
            <w:t>https://www.gov.uk/government/case-studies/active-hospitalshttps://www.gov.uk/government/case-studies/active-hospitals</w:t>
          </w:r>
        </w:hyperlink>
      </w:hyperlink>
      <w:r w:rsidRPr="0051709F">
        <w:rPr>
          <w:rFonts w:asciiTheme="minorHAnsi" w:eastAsia="Calibri" w:hAnsiTheme="minorHAnsi" w:cstheme="minorHAnsi"/>
          <w:color w:val="212121"/>
          <w:sz w:val="24"/>
          <w:szCs w:val="24"/>
          <w:lang w:val="en-GB"/>
        </w:rPr>
        <w:t>.</w:t>
      </w:r>
    </w:p>
    <w:p w14:paraId="35B06966"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Public Health England. (2021). </w:t>
      </w:r>
      <w:r w:rsidRPr="0051709F">
        <w:rPr>
          <w:rFonts w:asciiTheme="minorHAnsi" w:eastAsia="Times New Roman" w:hAnsiTheme="minorHAnsi" w:cstheme="minorHAnsi"/>
          <w:i/>
          <w:iCs/>
          <w:sz w:val="24"/>
          <w:szCs w:val="24"/>
        </w:rPr>
        <w:t>Understanding and addressing inequalities in physical activity</w:t>
      </w:r>
      <w:r w:rsidRPr="0051709F">
        <w:rPr>
          <w:rFonts w:asciiTheme="minorHAnsi" w:eastAsia="Times New Roman" w:hAnsiTheme="minorHAnsi" w:cstheme="minorHAnsi"/>
          <w:sz w:val="24"/>
          <w:szCs w:val="24"/>
        </w:rPr>
        <w:t>.</w:t>
      </w:r>
    </w:p>
    <w:p w14:paraId="4BC843D9"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hAnsiTheme="minorHAnsi" w:cstheme="minorHAnsi"/>
          <w:color w:val="222222"/>
          <w:sz w:val="24"/>
          <w:szCs w:val="24"/>
          <w:shd w:val="clear" w:color="auto" w:fill="FFFFFF"/>
          <w:lang w:val="es-ES"/>
        </w:rPr>
        <w:t>Piña Borrego, C. E. (2020). Cambio climático, inseguridad alimentaria y obesidad infantil. </w:t>
      </w:r>
      <w:r w:rsidRPr="0051709F">
        <w:rPr>
          <w:rFonts w:asciiTheme="minorHAnsi" w:hAnsiTheme="minorHAnsi" w:cstheme="minorHAnsi"/>
          <w:i/>
          <w:iCs/>
          <w:color w:val="222222"/>
          <w:sz w:val="24"/>
          <w:szCs w:val="24"/>
          <w:shd w:val="clear" w:color="auto" w:fill="FFFFFF"/>
          <w:lang w:val="es-ES"/>
        </w:rPr>
        <w:t>Revista Cubana de Salud Pública</w:t>
      </w:r>
      <w:r w:rsidRPr="0051709F">
        <w:rPr>
          <w:rFonts w:asciiTheme="minorHAnsi" w:hAnsiTheme="minorHAnsi" w:cstheme="minorHAnsi"/>
          <w:color w:val="222222"/>
          <w:sz w:val="24"/>
          <w:szCs w:val="24"/>
          <w:shd w:val="clear" w:color="auto" w:fill="FFFFFF"/>
          <w:lang w:val="es-ES"/>
        </w:rPr>
        <w:t>, </w:t>
      </w:r>
      <w:r w:rsidRPr="0051709F">
        <w:rPr>
          <w:rFonts w:asciiTheme="minorHAnsi" w:hAnsiTheme="minorHAnsi" w:cstheme="minorHAnsi"/>
          <w:i/>
          <w:iCs/>
          <w:color w:val="222222"/>
          <w:sz w:val="24"/>
          <w:szCs w:val="24"/>
          <w:shd w:val="clear" w:color="auto" w:fill="FFFFFF"/>
          <w:lang w:val="es-ES"/>
        </w:rPr>
        <w:t>45</w:t>
      </w:r>
      <w:r w:rsidRPr="0051709F">
        <w:rPr>
          <w:rFonts w:asciiTheme="minorHAnsi" w:hAnsiTheme="minorHAnsi" w:cstheme="minorHAnsi"/>
          <w:color w:val="222222"/>
          <w:sz w:val="24"/>
          <w:szCs w:val="24"/>
          <w:shd w:val="clear" w:color="auto" w:fill="FFFFFF"/>
          <w:lang w:val="es-ES"/>
        </w:rPr>
        <w:t>, e1964.</w:t>
      </w:r>
    </w:p>
    <w:p w14:paraId="5CDFB4D8"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s-ES"/>
        </w:rPr>
        <w:lastRenderedPageBreak/>
        <w:t xml:space="preserve">Puig-Ribera A, Martin-Cantera C, Puigdomenech E, Real J, Romaguera M, Magdalena-Belio JF, et al. </w:t>
      </w:r>
      <w:r w:rsidRPr="0051709F">
        <w:rPr>
          <w:rFonts w:asciiTheme="minorHAnsi" w:eastAsia="Calibri" w:hAnsiTheme="minorHAnsi" w:cstheme="minorHAnsi"/>
          <w:sz w:val="24"/>
          <w:szCs w:val="24"/>
          <w:lang w:val="en-GB"/>
        </w:rPr>
        <w:t>Screening Physical Activity in Family Practice: Validity of the Spanish Version of a Brief Physical Activity Questionnaire. Plos One. 2015;10(9):e0136870</w:t>
      </w:r>
    </w:p>
    <w:p w14:paraId="0D29BA95"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Ratner, F. Type 2 diabetes in children and young adults: a “new epidemic”. Clin. Diabetes, 2002; 20:217-8.</w:t>
      </w:r>
    </w:p>
    <w:p w14:paraId="14E7A020"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sz w:val="24"/>
          <w:szCs w:val="24"/>
        </w:rPr>
      </w:pPr>
      <w:r w:rsidRPr="0051709F">
        <w:rPr>
          <w:rFonts w:asciiTheme="minorHAnsi" w:hAnsiTheme="minorHAnsi" w:cstheme="minorHAnsi"/>
          <w:sz w:val="24"/>
          <w:szCs w:val="24"/>
        </w:rPr>
        <w:t>Roemer E. The evolution of organizational health scorecards and future directions. Am J Heal Promot. 2019;34(3):326–32.</w:t>
      </w:r>
      <w:r w:rsidRPr="0051709F">
        <w:rPr>
          <w:rFonts w:asciiTheme="minorHAnsi" w:hAnsiTheme="minorHAnsi" w:cstheme="minorHAnsi"/>
          <w:color w:val="000000"/>
          <w:sz w:val="24"/>
          <w:szCs w:val="24"/>
        </w:rPr>
        <w:t xml:space="preserve">                 </w:t>
      </w:r>
    </w:p>
    <w:p w14:paraId="14F6B5BB"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Reeve J, Jang H. What teachers say and do to support students' autonomy during a learning activity. J Educ Psychol. 2006. </w:t>
      </w:r>
      <w:hyperlink r:id="rId152" w:history="1">
        <w:r w:rsidRPr="0051709F">
          <w:rPr>
            <w:rStyle w:val="Hipervnculo"/>
            <w:rFonts w:asciiTheme="minorHAnsi" w:hAnsiTheme="minorHAnsi" w:cstheme="minorHAnsi"/>
            <w:color w:val="auto"/>
            <w:sz w:val="24"/>
            <w:szCs w:val="24"/>
            <w:shd w:val="clear" w:color="auto" w:fill="FFFFFF"/>
          </w:rPr>
          <w:t>https://doi.org/10.1037/0022-0663.98.1.209</w:t>
        </w:r>
      </w:hyperlink>
      <w:r w:rsidRPr="0051709F">
        <w:rPr>
          <w:rFonts w:asciiTheme="minorHAnsi" w:hAnsiTheme="minorHAnsi" w:cstheme="minorHAnsi"/>
          <w:sz w:val="24"/>
          <w:szCs w:val="24"/>
          <w:shd w:val="clear" w:color="auto" w:fill="FFFFFF"/>
        </w:rPr>
        <w:t>.</w:t>
      </w:r>
    </w:p>
    <w:p w14:paraId="57A6930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Republique Française Le Gouvernement. 2018 Plan Velo &amp; Mobilités Actives</w:t>
      </w:r>
    </w:p>
    <w:p w14:paraId="2C649545"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Rey-López, J. P., Ruiz, J. R., Ortega, F. B., Verloigne, M., Vicente-Rodriguez, G., Gracia-Marco, L., Gottrand, F., Molnar, D., Widhalm, K., Zaccaria, M., Cuenca-García, M., Sjöström, M., De Bourdeaudhuij, I., &amp; Moreno, L. A. (2012). </w:t>
      </w:r>
      <w:r w:rsidRPr="0051709F">
        <w:rPr>
          <w:rFonts w:asciiTheme="minorHAnsi" w:eastAsia="Times New Roman" w:hAnsiTheme="minorHAnsi" w:cstheme="minorHAnsi"/>
          <w:sz w:val="24"/>
          <w:szCs w:val="24"/>
        </w:rPr>
        <w:t xml:space="preserve">Reliability and validity of a screen time-based sedentary behaviour questionnaire for adolescents: The HELENA study. </w:t>
      </w:r>
      <w:r w:rsidRPr="0051709F">
        <w:rPr>
          <w:rFonts w:asciiTheme="minorHAnsi" w:eastAsia="Times New Roman" w:hAnsiTheme="minorHAnsi" w:cstheme="minorHAnsi"/>
          <w:i/>
          <w:iCs/>
          <w:sz w:val="24"/>
          <w:szCs w:val="24"/>
        </w:rPr>
        <w:t>European Journal of Public Health</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22</w:t>
      </w:r>
      <w:r w:rsidRPr="0051709F">
        <w:rPr>
          <w:rFonts w:asciiTheme="minorHAnsi" w:eastAsia="Times New Roman" w:hAnsiTheme="minorHAnsi" w:cstheme="minorHAnsi"/>
          <w:sz w:val="24"/>
          <w:szCs w:val="24"/>
        </w:rPr>
        <w:t>(3), 373–377. https://doi.org/10.1093/eurpub/ckr040</w:t>
      </w:r>
    </w:p>
    <w:p w14:paraId="29BF445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Ridgers, N. D., Stratton, G., Fairclough, S. J., y Twisk, J. W. R. (2007). Children’s physical activity levels during school recess: a quasi-experimental intervention study. </w:t>
      </w:r>
      <w:r w:rsidRPr="0051709F">
        <w:rPr>
          <w:rFonts w:asciiTheme="minorHAnsi" w:hAnsiTheme="minorHAnsi" w:cstheme="minorHAnsi"/>
          <w:i/>
          <w:sz w:val="24"/>
          <w:szCs w:val="24"/>
        </w:rPr>
        <w:t>International Journal of Behavioral Nutrition and Physical Activity, 4</w:t>
      </w:r>
      <w:r w:rsidRPr="0051709F">
        <w:rPr>
          <w:rFonts w:asciiTheme="minorHAnsi" w:hAnsiTheme="minorHAnsi" w:cstheme="minorHAnsi"/>
          <w:sz w:val="24"/>
          <w:szCs w:val="24"/>
        </w:rPr>
        <w:t xml:space="preserve">, 19. </w:t>
      </w:r>
    </w:p>
    <w:p w14:paraId="29ADBA5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Ridgers, N. D., Stratton, G., y McKenzie, T. L. (2010). Reliability and validity of the System for Observing Children’s Activity and Relationships during Play (SOCARP). </w:t>
      </w:r>
      <w:r w:rsidRPr="0051709F">
        <w:rPr>
          <w:rFonts w:asciiTheme="minorHAnsi" w:hAnsiTheme="minorHAnsi" w:cstheme="minorHAnsi"/>
          <w:i/>
          <w:sz w:val="24"/>
          <w:szCs w:val="24"/>
        </w:rPr>
        <w:t>Journal of Physical Activity and Health, 7(1)</w:t>
      </w:r>
      <w:r w:rsidRPr="0051709F">
        <w:rPr>
          <w:rFonts w:asciiTheme="minorHAnsi" w:hAnsiTheme="minorHAnsi" w:cstheme="minorHAnsi"/>
          <w:sz w:val="24"/>
          <w:szCs w:val="24"/>
        </w:rPr>
        <w:t>, 17-25.</w:t>
      </w:r>
    </w:p>
    <w:p w14:paraId="08D345D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C13402">
        <w:rPr>
          <w:rFonts w:asciiTheme="minorHAnsi" w:hAnsiTheme="minorHAnsi" w:cstheme="minorHAnsi"/>
          <w:sz w:val="24"/>
          <w:szCs w:val="24"/>
          <w:lang w:val="de-DE"/>
        </w:rPr>
        <w:t xml:space="preserve">Roberts, G. C., Kleiber, D. A., y Duda, J. L. (1981). </w:t>
      </w:r>
      <w:r w:rsidRPr="0051709F">
        <w:rPr>
          <w:rFonts w:asciiTheme="minorHAnsi" w:hAnsiTheme="minorHAnsi" w:cstheme="minorHAnsi"/>
          <w:sz w:val="24"/>
          <w:szCs w:val="24"/>
        </w:rPr>
        <w:t xml:space="preserve">An analysis of motivation in children’s sport: The role of perceived competence in participation. </w:t>
      </w:r>
      <w:r w:rsidRPr="0051709F">
        <w:rPr>
          <w:rFonts w:asciiTheme="minorHAnsi" w:hAnsiTheme="minorHAnsi" w:cstheme="minorHAnsi"/>
          <w:i/>
          <w:sz w:val="24"/>
          <w:szCs w:val="24"/>
        </w:rPr>
        <w:t>Journal of Sport Phychology, 3(3)</w:t>
      </w:r>
      <w:r w:rsidRPr="0051709F">
        <w:rPr>
          <w:rFonts w:asciiTheme="minorHAnsi" w:hAnsiTheme="minorHAnsi" w:cstheme="minorHAnsi"/>
          <w:sz w:val="24"/>
          <w:szCs w:val="24"/>
        </w:rPr>
        <w:t>, 206-216.</w:t>
      </w:r>
    </w:p>
    <w:p w14:paraId="2C2A606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Roemmich, J. N., Lambiase, M. J., McCarthy, T. F., Feda, D. M., y Kozlowski, K. F. (2012). Autonomy supportive environments and mastery as basic factors to motivate physical activity in children: a controlled laboratory study. </w:t>
      </w:r>
      <w:r w:rsidRPr="0051709F">
        <w:rPr>
          <w:rFonts w:asciiTheme="minorHAnsi" w:hAnsiTheme="minorHAnsi" w:cstheme="minorHAnsi"/>
          <w:i/>
          <w:sz w:val="24"/>
          <w:szCs w:val="24"/>
        </w:rPr>
        <w:t>International Journal of Behavioral Nutrition and Physical Activity, 9</w:t>
      </w:r>
      <w:r w:rsidRPr="0051709F">
        <w:rPr>
          <w:rFonts w:asciiTheme="minorHAnsi" w:hAnsiTheme="minorHAnsi" w:cstheme="minorHAnsi"/>
          <w:sz w:val="24"/>
          <w:szCs w:val="24"/>
        </w:rPr>
        <w:t xml:space="preserve">, 16. </w:t>
      </w:r>
    </w:p>
    <w:p w14:paraId="70C23F5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Ronda, G., Van Assema, P., y Brug, J. (2001). </w:t>
      </w:r>
      <w:r w:rsidRPr="0051709F">
        <w:rPr>
          <w:rFonts w:asciiTheme="minorHAnsi" w:hAnsiTheme="minorHAnsi" w:cstheme="minorHAnsi"/>
          <w:sz w:val="24"/>
          <w:szCs w:val="24"/>
        </w:rPr>
        <w:t xml:space="preserve">Stages of change, psychological factors and awareness of physical activity level in the Netherlands. </w:t>
      </w:r>
      <w:r w:rsidRPr="0051709F">
        <w:rPr>
          <w:rFonts w:asciiTheme="minorHAnsi" w:hAnsiTheme="minorHAnsi" w:cstheme="minorHAnsi"/>
          <w:i/>
          <w:sz w:val="24"/>
          <w:szCs w:val="24"/>
        </w:rPr>
        <w:t>Health Promotion International, 16(4)</w:t>
      </w:r>
      <w:r w:rsidRPr="0051709F">
        <w:rPr>
          <w:rFonts w:asciiTheme="minorHAnsi" w:hAnsiTheme="minorHAnsi" w:cstheme="minorHAnsi"/>
          <w:sz w:val="24"/>
          <w:szCs w:val="24"/>
        </w:rPr>
        <w:t>, 305-314.</w:t>
      </w:r>
    </w:p>
    <w:p w14:paraId="6703DAB8" w14:textId="77777777" w:rsidR="00A65EF6" w:rsidRPr="0051709F" w:rsidRDefault="00A65EF6" w:rsidP="00A65EF6">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Rosenberg D, Cook A, Gell N, Lozano P, Grothaus L, Arterburn D. Relationships be- tween sitting time and health indicators, costs, and utilization in older adults. Prev Med Rep 2015;2:247-249. </w:t>
      </w:r>
    </w:p>
    <w:p w14:paraId="19EAAC06"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rPr>
        <w:t xml:space="preserve">Rueda i Palenzuela, S. (2021). La supermanzana, nueva célula urbana para la construcción de un modelo funcional y urbanístico de Barcelona. </w:t>
      </w:r>
      <w:r w:rsidRPr="0051709F">
        <w:rPr>
          <w:rFonts w:asciiTheme="minorHAnsi" w:hAnsiTheme="minorHAnsi" w:cstheme="minorHAnsi"/>
          <w:i/>
          <w:iCs/>
          <w:sz w:val="24"/>
          <w:szCs w:val="24"/>
        </w:rPr>
        <w:t>Aproximaciones contemporáneas al paisaje urbano, 2021, ISBN 9788418979538, págs. 107-124</w:t>
      </w:r>
      <w:r w:rsidRPr="0051709F">
        <w:rPr>
          <w:rFonts w:asciiTheme="minorHAnsi" w:hAnsiTheme="minorHAnsi" w:cstheme="minorHAnsi"/>
          <w:sz w:val="24"/>
          <w:szCs w:val="24"/>
        </w:rPr>
        <w:t xml:space="preserve">, 107–124. Editorial Universidad de Alcalá. </w:t>
      </w:r>
      <w:r w:rsidRPr="0051709F">
        <w:rPr>
          <w:rFonts w:asciiTheme="minorHAnsi" w:hAnsiTheme="minorHAnsi" w:cstheme="minorHAnsi"/>
          <w:sz w:val="24"/>
          <w:szCs w:val="24"/>
          <w:lang w:val="en-US"/>
        </w:rPr>
        <w:t>Retrieved from https://dialnet.unirioja.es/servlet/articulo?codigo=8565901</w:t>
      </w:r>
    </w:p>
    <w:p w14:paraId="5AD61A3A"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Ryan, R. M., y Deci, E. L. (2000). </w:t>
      </w:r>
      <w:r w:rsidRPr="0051709F">
        <w:rPr>
          <w:rFonts w:asciiTheme="minorHAnsi" w:hAnsiTheme="minorHAnsi" w:cstheme="minorHAnsi"/>
          <w:sz w:val="24"/>
          <w:szCs w:val="24"/>
          <w:shd w:val="clear" w:color="auto" w:fill="FFFFFF"/>
        </w:rPr>
        <w:t xml:space="preserve">Self-determination theory and the facilitation of intrinsic motivation, social development, and well-being. </w:t>
      </w:r>
      <w:r w:rsidRPr="0051709F">
        <w:rPr>
          <w:rFonts w:asciiTheme="minorHAnsi" w:hAnsiTheme="minorHAnsi" w:cstheme="minorHAnsi"/>
          <w:i/>
          <w:iCs/>
          <w:sz w:val="24"/>
          <w:szCs w:val="24"/>
          <w:shd w:val="clear" w:color="auto" w:fill="FFFFFF"/>
        </w:rPr>
        <w:t>American Psychology</w:t>
      </w:r>
      <w:r w:rsidRPr="0051709F">
        <w:rPr>
          <w:rFonts w:asciiTheme="minorHAnsi" w:hAnsiTheme="minorHAnsi" w:cstheme="minorHAnsi"/>
          <w:sz w:val="24"/>
          <w:szCs w:val="24"/>
          <w:shd w:val="clear" w:color="auto" w:fill="FFFFFF"/>
        </w:rPr>
        <w:t xml:space="preserve">. </w:t>
      </w:r>
      <w:r w:rsidRPr="0051709F">
        <w:rPr>
          <w:rFonts w:asciiTheme="minorHAnsi" w:hAnsiTheme="minorHAnsi" w:cstheme="minorHAnsi"/>
          <w:sz w:val="24"/>
          <w:szCs w:val="24"/>
        </w:rPr>
        <w:t>https://doi.org/</w:t>
      </w:r>
      <w:hyperlink r:id="rId153" w:history="1">
        <w:r w:rsidRPr="0051709F">
          <w:rPr>
            <w:rStyle w:val="Hipervnculo"/>
            <w:rFonts w:asciiTheme="minorHAnsi" w:hAnsiTheme="minorHAnsi" w:cstheme="minorHAnsi"/>
            <w:color w:val="auto"/>
            <w:sz w:val="24"/>
            <w:szCs w:val="24"/>
            <w:shd w:val="clear" w:color="auto" w:fill="FFFFFF"/>
          </w:rPr>
          <w:t>10.1037110003-066X.55.1.68</w:t>
        </w:r>
      </w:hyperlink>
      <w:r w:rsidRPr="0051709F">
        <w:rPr>
          <w:rFonts w:asciiTheme="minorHAnsi" w:hAnsiTheme="minorHAnsi" w:cstheme="minorHAnsi"/>
          <w:sz w:val="24"/>
          <w:szCs w:val="24"/>
          <w:shd w:val="clear" w:color="auto" w:fill="FFFFFF"/>
        </w:rPr>
        <w:t>.</w:t>
      </w:r>
    </w:p>
    <w:p w14:paraId="62B8F7D0"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Ryan, R. M. y Deci, E. L. (2017). </w:t>
      </w:r>
      <w:r w:rsidRPr="0051709F">
        <w:rPr>
          <w:rFonts w:asciiTheme="minorHAnsi" w:hAnsiTheme="minorHAnsi" w:cstheme="minorHAnsi"/>
          <w:i/>
          <w:iCs/>
          <w:sz w:val="24"/>
          <w:szCs w:val="24"/>
          <w:shd w:val="clear" w:color="auto" w:fill="FFFFFF"/>
        </w:rPr>
        <w:t>Self-determination theory: basic psychological needs in motivation, development, and wellness</w:t>
      </w:r>
      <w:r w:rsidRPr="0051709F">
        <w:rPr>
          <w:rFonts w:asciiTheme="minorHAnsi" w:hAnsiTheme="minorHAnsi" w:cstheme="minorHAnsi"/>
          <w:sz w:val="24"/>
          <w:szCs w:val="24"/>
          <w:shd w:val="clear" w:color="auto" w:fill="FFFFFF"/>
        </w:rPr>
        <w:t>. Guilford Publications.</w:t>
      </w:r>
    </w:p>
    <w:p w14:paraId="6D07D11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shd w:val="clear" w:color="auto" w:fill="FFFFFF"/>
        </w:rPr>
        <w:lastRenderedPageBreak/>
        <w:t xml:space="preserve">Ryan, R. M. (2012). Motivation, personality, and development within embedded social contexts: an overview of self-determination theory. En E. Deci y R. M. Ryan (Eds.), </w:t>
      </w:r>
      <w:r w:rsidRPr="0051709F">
        <w:rPr>
          <w:rFonts w:asciiTheme="minorHAnsi" w:hAnsiTheme="minorHAnsi" w:cstheme="minorHAnsi"/>
          <w:i/>
          <w:iCs/>
          <w:sz w:val="24"/>
          <w:szCs w:val="24"/>
          <w:shd w:val="clear" w:color="auto" w:fill="FFFFFF"/>
        </w:rPr>
        <w:t>The Oxford handbook of human motivation</w:t>
      </w:r>
      <w:r w:rsidRPr="0051709F">
        <w:rPr>
          <w:rFonts w:asciiTheme="minorHAnsi" w:hAnsiTheme="minorHAnsi" w:cstheme="minorHAnsi"/>
          <w:sz w:val="24"/>
          <w:szCs w:val="24"/>
        </w:rPr>
        <w:t xml:space="preserve"> (pp. 85-107).</w:t>
      </w:r>
    </w:p>
    <w:p w14:paraId="5FEE044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Ryan, R. M., y Deci, E. L. (2000). </w:t>
      </w:r>
      <w:r w:rsidRPr="0051709F">
        <w:rPr>
          <w:rFonts w:asciiTheme="minorHAnsi" w:hAnsiTheme="minorHAnsi" w:cstheme="minorHAnsi"/>
          <w:sz w:val="24"/>
          <w:szCs w:val="24"/>
        </w:rPr>
        <w:t xml:space="preserve">Self-determination theory and the facilitation of intrinsic motivation, social development, and well-being. </w:t>
      </w:r>
      <w:r w:rsidRPr="0051709F">
        <w:rPr>
          <w:rFonts w:asciiTheme="minorHAnsi" w:hAnsiTheme="minorHAnsi" w:cstheme="minorHAnsi"/>
          <w:i/>
          <w:iCs/>
          <w:sz w:val="24"/>
          <w:szCs w:val="24"/>
        </w:rPr>
        <w:t>American Psychologist, 55</w:t>
      </w:r>
      <w:r w:rsidRPr="0051709F">
        <w:rPr>
          <w:rFonts w:asciiTheme="minorHAnsi" w:hAnsiTheme="minorHAnsi" w:cstheme="minorHAnsi"/>
          <w:sz w:val="24"/>
          <w:szCs w:val="24"/>
        </w:rPr>
        <w:t xml:space="preserve">, 68-78. </w:t>
      </w:r>
    </w:p>
    <w:p w14:paraId="4925E67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Saint-Maurice, P. F., Welk, G. J., Silva, P., Siahpush, M., y Huberty, J. (2011). Assessing children’s physical activity behaviors at recess: a multi-method approach. </w:t>
      </w:r>
      <w:r w:rsidRPr="0051709F">
        <w:rPr>
          <w:rFonts w:asciiTheme="minorHAnsi" w:hAnsiTheme="minorHAnsi" w:cstheme="minorHAnsi"/>
          <w:i/>
          <w:sz w:val="24"/>
          <w:szCs w:val="24"/>
        </w:rPr>
        <w:t>Pediatric Exercise Science, 23(4)</w:t>
      </w:r>
      <w:r w:rsidRPr="0051709F">
        <w:rPr>
          <w:rFonts w:asciiTheme="minorHAnsi" w:hAnsiTheme="minorHAnsi" w:cstheme="minorHAnsi"/>
          <w:sz w:val="24"/>
          <w:szCs w:val="24"/>
        </w:rPr>
        <w:t>, 585-599.</w:t>
      </w:r>
    </w:p>
    <w:p w14:paraId="4E0632B3"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Conway, T. L., Prochaska, J. J., McKenzie, T. L., Marshall, S. J., y Brown, M. (2001). The association of school environments with youth physical activity. </w:t>
      </w:r>
      <w:r w:rsidRPr="0051709F">
        <w:rPr>
          <w:rFonts w:asciiTheme="minorHAnsi" w:hAnsiTheme="minorHAnsi" w:cstheme="minorHAnsi"/>
          <w:i/>
          <w:sz w:val="24"/>
          <w:szCs w:val="24"/>
        </w:rPr>
        <w:t>American Journal of Public Health, 91(4)</w:t>
      </w:r>
      <w:r w:rsidRPr="0051709F">
        <w:rPr>
          <w:rFonts w:asciiTheme="minorHAnsi" w:hAnsiTheme="minorHAnsi" w:cstheme="minorHAnsi"/>
          <w:sz w:val="24"/>
          <w:szCs w:val="24"/>
        </w:rPr>
        <w:t xml:space="preserve">, 618-620. </w:t>
      </w:r>
    </w:p>
    <w:p w14:paraId="5ED3D8F6"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Prochaska, J., Taylor, W. C., Hill, J. O., y Geraci, J. C. (1999). Correlates of physical activity in a national sample of girls and boys in grades 4 through 12. </w:t>
      </w:r>
      <w:r w:rsidRPr="0051709F">
        <w:rPr>
          <w:rFonts w:asciiTheme="minorHAnsi" w:hAnsiTheme="minorHAnsi" w:cstheme="minorHAnsi"/>
          <w:i/>
          <w:sz w:val="24"/>
          <w:szCs w:val="24"/>
        </w:rPr>
        <w:t>Health Psychology, 18</w:t>
      </w:r>
      <w:r w:rsidRPr="0051709F">
        <w:rPr>
          <w:rFonts w:asciiTheme="minorHAnsi" w:hAnsiTheme="minorHAnsi" w:cstheme="minorHAnsi"/>
          <w:sz w:val="24"/>
          <w:szCs w:val="24"/>
        </w:rPr>
        <w:t xml:space="preserve">, 410-415. </w:t>
      </w:r>
    </w:p>
    <w:p w14:paraId="003750B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Sallis, J. F., y Patrick, K. (1994). Physical activity guidelines for adolescents consensus statement. </w:t>
      </w:r>
      <w:r w:rsidRPr="0051709F">
        <w:rPr>
          <w:rFonts w:asciiTheme="minorHAnsi" w:hAnsiTheme="minorHAnsi" w:cstheme="minorHAnsi"/>
          <w:i/>
          <w:sz w:val="24"/>
          <w:szCs w:val="24"/>
        </w:rPr>
        <w:t>Pediatric Exercise Science, 6(4)</w:t>
      </w:r>
      <w:r w:rsidRPr="0051709F">
        <w:rPr>
          <w:rFonts w:asciiTheme="minorHAnsi" w:hAnsiTheme="minorHAnsi" w:cstheme="minorHAnsi"/>
          <w:sz w:val="24"/>
          <w:szCs w:val="24"/>
        </w:rPr>
        <w:t>, 302-14.</w:t>
      </w:r>
    </w:p>
    <w:p w14:paraId="651FBC1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Salmon, J., Booth, M. L., Phongsavan, P., Murphy, N., y Timperio, A. (2007). Promoting physical activity participation among children and adolescents. </w:t>
      </w:r>
      <w:r w:rsidRPr="0051709F">
        <w:rPr>
          <w:rFonts w:asciiTheme="minorHAnsi" w:hAnsiTheme="minorHAnsi" w:cstheme="minorHAnsi"/>
          <w:i/>
          <w:sz w:val="24"/>
          <w:szCs w:val="24"/>
        </w:rPr>
        <w:t>Epidemiology Reviews, 29</w:t>
      </w:r>
      <w:r w:rsidRPr="0051709F">
        <w:rPr>
          <w:rFonts w:asciiTheme="minorHAnsi" w:hAnsiTheme="minorHAnsi" w:cstheme="minorHAnsi"/>
          <w:sz w:val="24"/>
          <w:szCs w:val="24"/>
        </w:rPr>
        <w:t xml:space="preserve">, 144-159. </w:t>
      </w:r>
    </w:p>
    <w:p w14:paraId="0D80A39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Salmon, J., Brown, H., y Hume, C. (2009). Review: Effects of strategies to promote children’s physical activity on potential mediators. </w:t>
      </w:r>
      <w:r w:rsidRPr="0051709F">
        <w:rPr>
          <w:rFonts w:asciiTheme="minorHAnsi" w:hAnsiTheme="minorHAnsi" w:cstheme="minorHAnsi"/>
          <w:i/>
          <w:sz w:val="24"/>
          <w:szCs w:val="24"/>
        </w:rPr>
        <w:t>International Journal of Obesity, 33</w:t>
      </w:r>
      <w:r w:rsidRPr="0051709F">
        <w:rPr>
          <w:rFonts w:asciiTheme="minorHAnsi" w:hAnsiTheme="minorHAnsi" w:cstheme="minorHAnsi"/>
          <w:sz w:val="24"/>
          <w:szCs w:val="24"/>
        </w:rPr>
        <w:t>, S66-S73.</w:t>
      </w:r>
    </w:p>
    <w:p w14:paraId="1B11A8A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Salvy, S. J., De la Haye, K., Bowker, J. C., y Hermans, C. J. R. (2012). </w:t>
      </w:r>
      <w:r w:rsidRPr="0051709F">
        <w:rPr>
          <w:rFonts w:asciiTheme="minorHAnsi" w:hAnsiTheme="minorHAnsi" w:cstheme="minorHAnsi"/>
          <w:sz w:val="24"/>
          <w:szCs w:val="24"/>
        </w:rPr>
        <w:t xml:space="preserve">Influence of peers and friends on children’s and adolescents’ eating and activity behaviors. </w:t>
      </w:r>
      <w:r w:rsidRPr="0051709F">
        <w:rPr>
          <w:rFonts w:asciiTheme="minorHAnsi" w:hAnsiTheme="minorHAnsi" w:cstheme="minorHAnsi"/>
          <w:i/>
          <w:sz w:val="24"/>
          <w:szCs w:val="24"/>
        </w:rPr>
        <w:t>Physiology &amp; Behavior, 106</w:t>
      </w:r>
      <w:r w:rsidRPr="0051709F">
        <w:rPr>
          <w:rFonts w:asciiTheme="minorHAnsi" w:hAnsiTheme="minorHAnsi" w:cstheme="minorHAnsi"/>
          <w:sz w:val="24"/>
          <w:szCs w:val="24"/>
        </w:rPr>
        <w:t>, 369-378.</w:t>
      </w:r>
    </w:p>
    <w:p w14:paraId="0F802115"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Salvy, S. J., Roemmich, J. N., Bowker, J. C., Romero, N. D., Stadler, P. J., y Epstein, L. H. (2009). Effect of peers and friends on youth physical activity and motivation to be physically active. </w:t>
      </w:r>
      <w:r w:rsidRPr="0051709F">
        <w:rPr>
          <w:rFonts w:asciiTheme="minorHAnsi" w:hAnsiTheme="minorHAnsi" w:cstheme="minorHAnsi"/>
          <w:i/>
          <w:sz w:val="24"/>
          <w:szCs w:val="24"/>
        </w:rPr>
        <w:t>Journal of Pediatric Psychology, 34</w:t>
      </w:r>
      <w:r w:rsidRPr="0051709F">
        <w:rPr>
          <w:rFonts w:asciiTheme="minorHAnsi" w:hAnsiTheme="minorHAnsi" w:cstheme="minorHAnsi"/>
          <w:sz w:val="24"/>
          <w:szCs w:val="24"/>
        </w:rPr>
        <w:t xml:space="preserve">, 217-225. </w:t>
      </w:r>
    </w:p>
    <w:p w14:paraId="4181D342"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Sanz-Santiago V, Diez-Vega I, Santana-Sosa E, Lopez Nuevo C, Iturriaga Ramirez T, Vendrusculo FM, Donadio MVF, Villa Asensi JR, Pérez-Ruiz M. Effect of a combined exercise program on physical fitness, lung function, and quality of life in patients with controlled asthma and exercise symptoms: A randomized controlled trial. </w:t>
      </w:r>
      <w:r w:rsidRPr="0051709F">
        <w:rPr>
          <w:rFonts w:asciiTheme="minorHAnsi" w:eastAsia="Calibri" w:hAnsiTheme="minorHAnsi" w:cstheme="minorHAnsi"/>
          <w:sz w:val="24"/>
          <w:szCs w:val="24"/>
        </w:rPr>
        <w:t>Pediatr Pulmonol. 2020 Jul;55(7):1608-1616. doi: 10.1002/ppul.24798. Epub 2020 Apr 30. PMID: 32353218.</w:t>
      </w:r>
    </w:p>
    <w:p w14:paraId="2C926065"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hAnsiTheme="minorHAnsi" w:cstheme="minorHAnsi"/>
          <w:noProof/>
          <w:sz w:val="24"/>
          <w:szCs w:val="24"/>
        </w:rPr>
        <w:t xml:space="preserve">Schmid TL, Pratt M, Witmer L. A Framework for Physical Activity Policy Research. </w:t>
      </w:r>
      <w:r w:rsidRPr="0051709F">
        <w:rPr>
          <w:rFonts w:asciiTheme="minorHAnsi" w:hAnsiTheme="minorHAnsi" w:cstheme="minorHAnsi"/>
          <w:noProof/>
          <w:sz w:val="24"/>
          <w:szCs w:val="24"/>
          <w:lang w:val="es-ES"/>
        </w:rPr>
        <w:t>J Phys Act Heal. 2006;3:20–9</w:t>
      </w:r>
    </w:p>
    <w:p w14:paraId="0688DF3B"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Schröder, H., Subirana, I., Wärnberg, J., Medrano, M., González-Gross, M., Gusi, N., Aznar, S., Alcaraz, P. E., González-Valeiro, M. A., Serra-Majem, L., Terrados, N., Tur, J. A., Segú, M., Homs, C., Garcia-Álvarez, A., Benavente-Marín, J. C., Barón-López, F. J., Labayen, I., Zapico, A. G., … </w:t>
      </w:r>
      <w:r w:rsidRPr="0051709F">
        <w:rPr>
          <w:rFonts w:asciiTheme="minorHAnsi" w:eastAsia="Times New Roman" w:hAnsiTheme="minorHAnsi" w:cstheme="minorHAnsi"/>
          <w:sz w:val="24"/>
          <w:szCs w:val="24"/>
        </w:rPr>
        <w:t xml:space="preserve">Gómez, S. F. (2021). Validity, reliability, and calibration of the physical activity unit 7 item screener (PAU-7S) at population scale. </w:t>
      </w:r>
      <w:r w:rsidRPr="0051709F">
        <w:rPr>
          <w:rFonts w:asciiTheme="minorHAnsi" w:eastAsia="Times New Roman" w:hAnsiTheme="minorHAnsi" w:cstheme="minorHAnsi"/>
          <w:i/>
          <w:iCs/>
          <w:sz w:val="24"/>
          <w:szCs w:val="24"/>
        </w:rPr>
        <w:t>International Journal of Behavioral Nutrition and Physical Activity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18</w:t>
      </w:r>
      <w:r w:rsidRPr="0051709F">
        <w:rPr>
          <w:rFonts w:asciiTheme="minorHAnsi" w:eastAsia="Times New Roman" w:hAnsiTheme="minorHAnsi" w:cstheme="minorHAnsi"/>
          <w:sz w:val="24"/>
          <w:szCs w:val="24"/>
        </w:rPr>
        <w:t>(1). https://doi.org/10.1186/s12966-021-01169-w</w:t>
      </w:r>
    </w:p>
    <w:p w14:paraId="4BE89A6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Sebire, S. J., Jago R., Fox, K. R., Edwars, M. J., y Thompson J. L. (2013). Testing a self-determination theory model of children’s physical activity motivation: a </w:t>
      </w:r>
      <w:r w:rsidRPr="0051709F">
        <w:rPr>
          <w:rFonts w:asciiTheme="minorHAnsi" w:hAnsiTheme="minorHAnsi" w:cstheme="minorHAnsi"/>
          <w:sz w:val="24"/>
          <w:szCs w:val="24"/>
        </w:rPr>
        <w:lastRenderedPageBreak/>
        <w:t xml:space="preserve">cross-sectional study. </w:t>
      </w:r>
      <w:r w:rsidRPr="0051709F">
        <w:rPr>
          <w:rFonts w:asciiTheme="minorHAnsi" w:hAnsiTheme="minorHAnsi" w:cstheme="minorHAnsi"/>
          <w:i/>
          <w:sz w:val="24"/>
          <w:szCs w:val="24"/>
        </w:rPr>
        <w:t>International Journal of Behavioral Nutrition and Physical Activity, 10</w:t>
      </w:r>
      <w:r w:rsidRPr="0051709F">
        <w:rPr>
          <w:rFonts w:asciiTheme="minorHAnsi" w:hAnsiTheme="minorHAnsi" w:cstheme="minorHAnsi"/>
          <w:sz w:val="24"/>
          <w:szCs w:val="24"/>
        </w:rPr>
        <w:t>, 111.</w:t>
      </w:r>
    </w:p>
    <w:p w14:paraId="3578FFB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Sell, K., Lillie, T., y Taylor, J. (2008). Energy expenditure during physically interactive video game playing in male college students with different playing experience. </w:t>
      </w:r>
      <w:r w:rsidRPr="0051709F">
        <w:rPr>
          <w:rFonts w:asciiTheme="minorHAnsi" w:hAnsiTheme="minorHAnsi" w:cstheme="minorHAnsi"/>
          <w:i/>
          <w:sz w:val="24"/>
          <w:szCs w:val="24"/>
        </w:rPr>
        <w:t>Journal of American College Health, 56</w:t>
      </w:r>
      <w:r w:rsidRPr="0051709F">
        <w:rPr>
          <w:rFonts w:asciiTheme="minorHAnsi" w:hAnsiTheme="minorHAnsi" w:cstheme="minorHAnsi"/>
          <w:sz w:val="24"/>
          <w:szCs w:val="24"/>
        </w:rPr>
        <w:t>, 505-511.</w:t>
      </w:r>
    </w:p>
    <w:p w14:paraId="7DF7118D"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Serrano, R.; Moscoso, D.; Biedma, L.; Martín, M. (2013). </w:t>
      </w:r>
      <w:r w:rsidRPr="0051709F">
        <w:rPr>
          <w:rFonts w:asciiTheme="minorHAnsi" w:hAnsiTheme="minorHAnsi" w:cstheme="minorHAnsi"/>
          <w:noProof/>
          <w:sz w:val="24"/>
          <w:szCs w:val="24"/>
        </w:rPr>
        <w:t xml:space="preserve">Perceived health, physical activity and sport among the elderly of Spain. </w:t>
      </w:r>
      <w:r w:rsidRPr="0051709F">
        <w:rPr>
          <w:rFonts w:asciiTheme="minorHAnsi" w:hAnsiTheme="minorHAnsi" w:cstheme="minorHAnsi"/>
          <w:i/>
          <w:noProof/>
          <w:sz w:val="24"/>
          <w:szCs w:val="24"/>
        </w:rPr>
        <w:t>Advances in Applied Sociology</w:t>
      </w:r>
      <w:r w:rsidRPr="0051709F">
        <w:rPr>
          <w:rFonts w:asciiTheme="minorHAnsi" w:hAnsiTheme="minorHAnsi" w:cstheme="minorHAnsi"/>
          <w:noProof/>
          <w:sz w:val="24"/>
          <w:szCs w:val="24"/>
        </w:rPr>
        <w:t>, 3(2), 151-156.</w:t>
      </w:r>
    </w:p>
    <w:p w14:paraId="0A695B04" w14:textId="77777777" w:rsidR="00A65EF6" w:rsidRPr="0051709F" w:rsidRDefault="00A65EF6" w:rsidP="00A65EF6">
      <w:pPr>
        <w:pStyle w:val="Prrafodelista"/>
        <w:numPr>
          <w:ilvl w:val="0"/>
          <w:numId w:val="78"/>
        </w:numPr>
        <w:jc w:val="both"/>
        <w:rPr>
          <w:rFonts w:asciiTheme="minorHAnsi" w:eastAsia="Calibri" w:hAnsiTheme="minorHAnsi" w:cstheme="minorHAnsi"/>
          <w:sz w:val="24"/>
          <w:szCs w:val="24"/>
          <w:lang w:val="en-GB"/>
        </w:rPr>
      </w:pPr>
      <w:r w:rsidRPr="0051709F">
        <w:rPr>
          <w:rFonts w:asciiTheme="minorHAnsi" w:eastAsia="Calibri" w:hAnsiTheme="minorHAnsi" w:cstheme="minorHAnsi"/>
          <w:sz w:val="24"/>
          <w:szCs w:val="24"/>
          <w:lang w:val="es-ES"/>
        </w:rPr>
        <w:t xml:space="preserve">Serrano-Sánchez JA, Sanchís-Moysi J. El uso de instalaciones deportivas para promover la actividad física: una perspectiva de salud pública y equidad. </w:t>
      </w:r>
      <w:r w:rsidRPr="0051709F">
        <w:rPr>
          <w:rFonts w:asciiTheme="minorHAnsi" w:eastAsia="Calibri" w:hAnsiTheme="minorHAnsi" w:cstheme="minorHAnsi"/>
          <w:sz w:val="24"/>
          <w:szCs w:val="24"/>
          <w:lang w:val="en-GB"/>
        </w:rPr>
        <w:t>Nutr Hosp 2023;40(3):605-616</w:t>
      </w:r>
    </w:p>
    <w:p w14:paraId="06D5679F"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Sfm, C., Van Cauwenberg, J., Maenhout, L., Cardon, G., Lambert, E. V., &amp; Van Dyck, D. (2020). Inequality in physical activity, global trends by income inequality and gender in adults. </w:t>
      </w:r>
      <w:r w:rsidRPr="0051709F">
        <w:rPr>
          <w:rFonts w:asciiTheme="minorHAnsi" w:eastAsia="Times New Roman" w:hAnsiTheme="minorHAnsi" w:cstheme="minorHAnsi"/>
          <w:i/>
          <w:iCs/>
          <w:sz w:val="24"/>
          <w:szCs w:val="24"/>
        </w:rPr>
        <w:t>The International Journal of Behavioral Nutrition and Physical Activity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17</w:t>
      </w:r>
      <w:r w:rsidRPr="0051709F">
        <w:rPr>
          <w:rFonts w:asciiTheme="minorHAnsi" w:eastAsia="Times New Roman" w:hAnsiTheme="minorHAnsi" w:cstheme="minorHAnsi"/>
          <w:sz w:val="24"/>
          <w:szCs w:val="24"/>
        </w:rPr>
        <w:t>(1). https://doi.org/10.1186/S12966-020-01039-X</w:t>
      </w:r>
    </w:p>
    <w:p w14:paraId="43F4F6F5"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Sheeran, P., Klein, W. M., Rothman, A. J. (2017). Health behavior change: moving from observation to intervention. </w:t>
      </w:r>
      <w:r w:rsidRPr="0051709F">
        <w:rPr>
          <w:rFonts w:asciiTheme="minorHAnsi" w:hAnsiTheme="minorHAnsi" w:cstheme="minorHAnsi"/>
          <w:i/>
          <w:iCs/>
          <w:sz w:val="24"/>
          <w:szCs w:val="24"/>
        </w:rPr>
        <w:t>Annual Review of Psychology</w:t>
      </w:r>
      <w:r w:rsidRPr="0051709F">
        <w:rPr>
          <w:rFonts w:asciiTheme="minorHAnsi" w:hAnsiTheme="minorHAnsi" w:cstheme="minorHAnsi"/>
          <w:sz w:val="24"/>
          <w:szCs w:val="24"/>
          <w:shd w:val="clear" w:color="auto" w:fill="FFFFFF"/>
        </w:rPr>
        <w:t>. </w:t>
      </w:r>
      <w:hyperlink r:id="rId154" w:history="1">
        <w:r w:rsidRPr="0051709F">
          <w:rPr>
            <w:rStyle w:val="Hipervnculo"/>
            <w:rFonts w:asciiTheme="minorHAnsi" w:hAnsiTheme="minorHAnsi" w:cstheme="minorHAnsi"/>
            <w:color w:val="auto"/>
            <w:sz w:val="24"/>
            <w:szCs w:val="24"/>
            <w:shd w:val="clear" w:color="auto" w:fill="FFFFFF"/>
          </w:rPr>
          <w:t>https://doi.org/10.1146/annurev-psych-010416-044007</w:t>
        </w:r>
      </w:hyperlink>
      <w:r w:rsidRPr="0051709F">
        <w:rPr>
          <w:rFonts w:asciiTheme="minorHAnsi" w:hAnsiTheme="minorHAnsi" w:cstheme="minorHAnsi"/>
          <w:sz w:val="24"/>
          <w:szCs w:val="24"/>
          <w:shd w:val="clear" w:color="auto" w:fill="FFFFFF"/>
        </w:rPr>
        <w:t>.</w:t>
      </w:r>
    </w:p>
    <w:p w14:paraId="27B2F7B0"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333333"/>
          <w:sz w:val="24"/>
          <w:szCs w:val="24"/>
          <w:shd w:val="clear" w:color="auto" w:fill="ECEBEB"/>
          <w:lang w:val="en-US"/>
        </w:rPr>
        <w:t>Skivington, K. et al. (2021), “A new framework for developing and evaluating complex interventions: update of Medical Research Council guidance”, </w:t>
      </w:r>
      <w:r w:rsidRPr="0051709F">
        <w:rPr>
          <w:rStyle w:val="nfasis"/>
          <w:rFonts w:asciiTheme="minorHAnsi" w:eastAsiaTheme="majorEastAsia" w:hAnsiTheme="minorHAnsi" w:cstheme="minorHAnsi"/>
          <w:color w:val="333333"/>
          <w:sz w:val="24"/>
          <w:szCs w:val="24"/>
          <w:shd w:val="clear" w:color="auto" w:fill="ECEBEB"/>
          <w:lang w:val="en-US"/>
        </w:rPr>
        <w:t>BMJ</w:t>
      </w:r>
      <w:r w:rsidRPr="0051709F">
        <w:rPr>
          <w:rFonts w:asciiTheme="minorHAnsi" w:hAnsiTheme="minorHAnsi" w:cstheme="minorHAnsi"/>
          <w:color w:val="333333"/>
          <w:sz w:val="24"/>
          <w:szCs w:val="24"/>
          <w:shd w:val="clear" w:color="auto" w:fill="ECEBEB"/>
          <w:lang w:val="en-US"/>
        </w:rPr>
        <w:t>, Vol. 374, p. n2061, </w:t>
      </w:r>
      <w:hyperlink r:id="rId155" w:tgtFrame="_blank" w:history="1">
        <w:r w:rsidRPr="0051709F">
          <w:rPr>
            <w:rStyle w:val="Hipervnculo"/>
            <w:rFonts w:asciiTheme="minorHAnsi" w:eastAsiaTheme="majorEastAsia" w:hAnsiTheme="minorHAnsi" w:cstheme="minorHAnsi"/>
            <w:color w:val="0068B6"/>
            <w:sz w:val="24"/>
            <w:szCs w:val="24"/>
            <w:bdr w:val="none" w:sz="0" w:space="0" w:color="auto" w:frame="1"/>
            <w:shd w:val="clear" w:color="auto" w:fill="ECEBEB"/>
            <w:lang w:val="en-US"/>
          </w:rPr>
          <w:t>https://doi.org/10.1136/BMJ.N2061</w:t>
        </w:r>
      </w:hyperlink>
      <w:r w:rsidRPr="0051709F">
        <w:rPr>
          <w:rFonts w:asciiTheme="minorHAnsi" w:hAnsiTheme="minorHAnsi" w:cstheme="minorHAnsi"/>
          <w:color w:val="000000" w:themeColor="text1"/>
          <w:sz w:val="24"/>
          <w:szCs w:val="24"/>
          <w:shd w:val="clear" w:color="auto" w:fill="FFFFFF"/>
          <w:lang w:val="en-US"/>
        </w:rPr>
        <w:t>.</w:t>
      </w:r>
    </w:p>
    <w:p w14:paraId="17D4D6E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Slawta, J. N., y DeNeui, D. (2010). </w:t>
      </w:r>
      <w:r w:rsidRPr="0051709F">
        <w:rPr>
          <w:rFonts w:asciiTheme="minorHAnsi" w:hAnsiTheme="minorHAnsi" w:cstheme="minorHAnsi"/>
          <w:sz w:val="24"/>
          <w:szCs w:val="24"/>
        </w:rPr>
        <w:t xml:space="preserve">Be a Fit Kid: nutrition and physical activity for the fourth grade. </w:t>
      </w:r>
      <w:r w:rsidRPr="0051709F">
        <w:rPr>
          <w:rFonts w:asciiTheme="minorHAnsi" w:hAnsiTheme="minorHAnsi" w:cstheme="minorHAnsi"/>
          <w:i/>
          <w:sz w:val="24"/>
          <w:szCs w:val="24"/>
        </w:rPr>
        <w:t>Health Promotion Practice, 11</w:t>
      </w:r>
      <w:r w:rsidRPr="0051709F">
        <w:rPr>
          <w:rFonts w:asciiTheme="minorHAnsi" w:hAnsiTheme="minorHAnsi" w:cstheme="minorHAnsi"/>
          <w:sz w:val="24"/>
          <w:szCs w:val="24"/>
        </w:rPr>
        <w:t>, 522–529.</w:t>
      </w:r>
    </w:p>
    <w:p w14:paraId="5B445B91"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Smith, A. L. (2009). Perceptions of peer relationships and physical activity participation in early adolescent. </w:t>
      </w:r>
      <w:r w:rsidRPr="0051709F">
        <w:rPr>
          <w:rFonts w:asciiTheme="minorHAnsi" w:hAnsiTheme="minorHAnsi" w:cstheme="minorHAnsi"/>
          <w:i/>
          <w:sz w:val="24"/>
          <w:szCs w:val="24"/>
        </w:rPr>
        <w:t>Journal of Sport &amp; Exercise Psychology, 21</w:t>
      </w:r>
      <w:r w:rsidRPr="0051709F">
        <w:rPr>
          <w:rFonts w:asciiTheme="minorHAnsi" w:hAnsiTheme="minorHAnsi" w:cstheme="minorHAnsi"/>
          <w:sz w:val="24"/>
          <w:szCs w:val="24"/>
        </w:rPr>
        <w:t xml:space="preserve">, 329. </w:t>
      </w:r>
    </w:p>
    <w:p w14:paraId="68799DB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Smith, M. (2005). Parental influences on the physical activity behaviour of children of various ethnic backgrounds. </w:t>
      </w:r>
      <w:r w:rsidRPr="0051709F">
        <w:rPr>
          <w:rFonts w:asciiTheme="minorHAnsi" w:hAnsiTheme="minorHAnsi" w:cstheme="minorHAnsi"/>
          <w:i/>
          <w:sz w:val="24"/>
          <w:szCs w:val="24"/>
        </w:rPr>
        <w:t>Research Quarterly for Exercise &amp; Sport, 76(1),</w:t>
      </w:r>
      <w:r w:rsidRPr="0051709F">
        <w:rPr>
          <w:rFonts w:asciiTheme="minorHAnsi" w:hAnsiTheme="minorHAnsi" w:cstheme="minorHAnsi"/>
          <w:sz w:val="24"/>
          <w:szCs w:val="24"/>
        </w:rPr>
        <w:t xml:space="preserve"> 50-51.</w:t>
      </w:r>
    </w:p>
    <w:p w14:paraId="1CA57A96" w14:textId="77777777" w:rsidR="00A65EF6" w:rsidRPr="0051709F" w:rsidRDefault="00A65EF6" w:rsidP="00A65EF6">
      <w:pPr>
        <w:pStyle w:val="Prrafodelista"/>
        <w:numPr>
          <w:ilvl w:val="0"/>
          <w:numId w:val="78"/>
        </w:numPr>
        <w:jc w:val="both"/>
        <w:rPr>
          <w:rFonts w:asciiTheme="minorHAnsi" w:eastAsiaTheme="minorEastAsia" w:hAnsiTheme="minorHAnsi" w:cstheme="minorHAnsi"/>
          <w:sz w:val="24"/>
          <w:szCs w:val="24"/>
        </w:rPr>
      </w:pPr>
      <w:r w:rsidRPr="0051709F">
        <w:rPr>
          <w:rFonts w:asciiTheme="minorHAnsi" w:eastAsiaTheme="minorEastAsia" w:hAnsiTheme="minorHAnsi" w:cstheme="minorHAnsi"/>
          <w:color w:val="212121"/>
          <w:sz w:val="24"/>
          <w:szCs w:val="24"/>
          <w:lang w:val="en-GB"/>
        </w:rPr>
        <w:t xml:space="preserve">Speake H, Copeland RJ, Till SH, Breckon JD, Haake S, Hart O. Embedding Physical Activity in the Heart of the NHS: The Need for a Whole-System Approach. </w:t>
      </w:r>
      <w:r w:rsidRPr="0051709F">
        <w:rPr>
          <w:rFonts w:asciiTheme="minorHAnsi" w:eastAsiaTheme="minorEastAsia" w:hAnsiTheme="minorHAnsi" w:cstheme="minorHAnsi"/>
          <w:color w:val="212121"/>
          <w:sz w:val="24"/>
          <w:szCs w:val="24"/>
        </w:rPr>
        <w:t>Sports Med. 2016 Jul;46(7):939-46. doi: 10.1007/s40279-016-0488-y. PMID: 26942468; PMCID: PMC4920841.</w:t>
      </w:r>
    </w:p>
    <w:p w14:paraId="135C89F0" w14:textId="77777777" w:rsidR="00A65EF6" w:rsidRPr="0051709F" w:rsidRDefault="00A65EF6" w:rsidP="00A65EF6">
      <w:pPr>
        <w:pStyle w:val="Prrafodelista"/>
        <w:numPr>
          <w:ilvl w:val="0"/>
          <w:numId w:val="78"/>
        </w:numPr>
        <w:jc w:val="both"/>
        <w:rPr>
          <w:rFonts w:asciiTheme="minorHAnsi" w:hAnsiTheme="minorHAnsi" w:cstheme="minorHAnsi"/>
          <w:color w:val="333333"/>
          <w:sz w:val="24"/>
          <w:szCs w:val="24"/>
          <w:shd w:val="clear" w:color="auto" w:fill="FFFFFF"/>
        </w:rPr>
      </w:pPr>
      <w:r w:rsidRPr="0051709F">
        <w:rPr>
          <w:rFonts w:asciiTheme="minorHAnsi" w:hAnsiTheme="minorHAnsi" w:cstheme="minorHAnsi"/>
          <w:color w:val="333333"/>
          <w:sz w:val="24"/>
          <w:szCs w:val="24"/>
          <w:shd w:val="clear" w:color="auto" w:fill="FFFFFF"/>
        </w:rPr>
        <w:t>Song Z</w:t>
      </w:r>
      <w:r w:rsidRPr="0051709F">
        <w:rPr>
          <w:rStyle w:val="al-author-delim"/>
          <w:rFonts w:asciiTheme="minorHAnsi" w:hAnsiTheme="minorHAnsi" w:cstheme="minorHAnsi"/>
          <w:color w:val="333333"/>
          <w:sz w:val="24"/>
          <w:szCs w:val="24"/>
          <w:shd w:val="clear" w:color="auto" w:fill="FFFFFF"/>
        </w:rPr>
        <w:t>, </w:t>
      </w:r>
      <w:r w:rsidRPr="0051709F">
        <w:rPr>
          <w:rFonts w:asciiTheme="minorHAnsi" w:hAnsiTheme="minorHAnsi" w:cstheme="minorHAnsi"/>
          <w:color w:val="333333"/>
          <w:sz w:val="24"/>
          <w:szCs w:val="24"/>
          <w:shd w:val="clear" w:color="auto" w:fill="FFFFFF"/>
        </w:rPr>
        <w:t>Baicker K. Effect of a Workplace Wellness Program on Employee Health and Economic Outcomes</w:t>
      </w:r>
      <w:r w:rsidRPr="0051709F">
        <w:rPr>
          <w:rStyle w:val="colon-for-citation-subtitle"/>
          <w:rFonts w:asciiTheme="minorHAnsi" w:hAnsiTheme="minorHAnsi" w:cstheme="minorHAnsi"/>
          <w:color w:val="333333"/>
          <w:sz w:val="24"/>
          <w:szCs w:val="24"/>
          <w:shd w:val="clear" w:color="auto" w:fill="FFFFFF"/>
        </w:rPr>
        <w:t>: </w:t>
      </w:r>
      <w:r w:rsidRPr="0051709F">
        <w:rPr>
          <w:rStyle w:val="Subttulo1"/>
          <w:rFonts w:asciiTheme="minorHAnsi" w:hAnsiTheme="minorHAnsi" w:cstheme="minorHAnsi"/>
          <w:color w:val="333333"/>
          <w:sz w:val="24"/>
          <w:szCs w:val="24"/>
          <w:shd w:val="clear" w:color="auto" w:fill="FFFFFF"/>
        </w:rPr>
        <w:t>A Randomized Clinical Trial</w:t>
      </w:r>
      <w:r w:rsidRPr="0051709F">
        <w:rPr>
          <w:rFonts w:asciiTheme="minorHAnsi" w:hAnsiTheme="minorHAnsi" w:cstheme="minorHAnsi"/>
          <w:color w:val="333333"/>
          <w:sz w:val="24"/>
          <w:szCs w:val="24"/>
          <w:shd w:val="clear" w:color="auto" w:fill="FFFFFF"/>
        </w:rPr>
        <w:t>. </w:t>
      </w:r>
      <w:r w:rsidRPr="0051709F">
        <w:rPr>
          <w:rStyle w:val="nfasis"/>
          <w:rFonts w:asciiTheme="minorHAnsi" w:hAnsiTheme="minorHAnsi" w:cstheme="minorHAnsi"/>
          <w:color w:val="333333"/>
          <w:sz w:val="24"/>
          <w:szCs w:val="24"/>
          <w:shd w:val="clear" w:color="auto" w:fill="FFFFFF"/>
        </w:rPr>
        <w:t>JAMA.</w:t>
      </w:r>
      <w:r w:rsidRPr="0051709F">
        <w:rPr>
          <w:rFonts w:asciiTheme="minorHAnsi" w:hAnsiTheme="minorHAnsi" w:cstheme="minorHAnsi"/>
          <w:color w:val="333333"/>
          <w:sz w:val="24"/>
          <w:szCs w:val="24"/>
          <w:shd w:val="clear" w:color="auto" w:fill="FFFFFF"/>
        </w:rPr>
        <w:t> 2019;321(15):1491–1501. doi:10.1001/jama.2019.3307</w:t>
      </w:r>
    </w:p>
    <w:p w14:paraId="60246D9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Spirduso, W. W., y Cronin, D. L. (2001). Exercise dose-response effects on quality of life and independent living in older adults. </w:t>
      </w:r>
      <w:r w:rsidRPr="0051709F">
        <w:rPr>
          <w:rFonts w:asciiTheme="minorHAnsi" w:hAnsiTheme="minorHAnsi" w:cstheme="minorHAnsi"/>
          <w:i/>
          <w:sz w:val="24"/>
          <w:szCs w:val="24"/>
        </w:rPr>
        <w:t>Medicine and Science in Sport and Exercise, 33</w:t>
      </w:r>
      <w:r w:rsidRPr="0051709F">
        <w:rPr>
          <w:rFonts w:asciiTheme="minorHAnsi" w:hAnsiTheme="minorHAnsi" w:cstheme="minorHAnsi"/>
          <w:sz w:val="24"/>
          <w:szCs w:val="24"/>
        </w:rPr>
        <w:t>, 598- 608.</w:t>
      </w:r>
    </w:p>
    <w:p w14:paraId="708C220C"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Sport for Sustainable Development, &amp; Erasmus+ Programme of the European Union. (2021). </w:t>
      </w:r>
      <w:r w:rsidRPr="0051709F">
        <w:rPr>
          <w:rFonts w:asciiTheme="minorHAnsi" w:eastAsia="Times New Roman" w:hAnsiTheme="minorHAnsi" w:cstheme="minorHAnsi"/>
          <w:i/>
          <w:iCs/>
          <w:sz w:val="24"/>
          <w:szCs w:val="24"/>
        </w:rPr>
        <w:t>SCORE All 17 Manual</w:t>
      </w:r>
      <w:r w:rsidRPr="0051709F">
        <w:rPr>
          <w:rFonts w:asciiTheme="minorHAnsi" w:eastAsia="Times New Roman" w:hAnsiTheme="minorHAnsi" w:cstheme="minorHAnsi"/>
          <w:sz w:val="24"/>
          <w:szCs w:val="24"/>
        </w:rPr>
        <w:t>. www.sport4sd.com</w:t>
      </w:r>
    </w:p>
    <w:p w14:paraId="4B032669"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Standage M., Gillison F., y Treasure D. C. (2007). </w:t>
      </w:r>
      <w:r w:rsidRPr="0051709F">
        <w:rPr>
          <w:rFonts w:asciiTheme="minorHAnsi" w:hAnsiTheme="minorHAnsi" w:cstheme="minorHAnsi"/>
          <w:i/>
          <w:iCs/>
          <w:sz w:val="24"/>
          <w:szCs w:val="24"/>
        </w:rPr>
        <w:t>Self-determination and motivation in physical education</w:t>
      </w:r>
      <w:r w:rsidRPr="0051709F">
        <w:rPr>
          <w:rFonts w:asciiTheme="minorHAnsi" w:hAnsiTheme="minorHAnsi" w:cstheme="minorHAnsi"/>
          <w:sz w:val="24"/>
          <w:szCs w:val="24"/>
        </w:rPr>
        <w:t xml:space="preserve">. En M. Hagger y N. Chatzisarantis (Eds.), </w:t>
      </w:r>
      <w:r w:rsidRPr="0051709F">
        <w:rPr>
          <w:rFonts w:asciiTheme="minorHAnsi" w:hAnsiTheme="minorHAnsi" w:cstheme="minorHAnsi"/>
          <w:i/>
          <w:iCs/>
          <w:sz w:val="24"/>
          <w:szCs w:val="24"/>
        </w:rPr>
        <w:t xml:space="preserve">Intrinsic motivation and self-determination in exercise and sport </w:t>
      </w:r>
      <w:r w:rsidRPr="0051709F">
        <w:rPr>
          <w:rFonts w:asciiTheme="minorHAnsi" w:hAnsiTheme="minorHAnsi" w:cstheme="minorHAnsi"/>
          <w:sz w:val="24"/>
          <w:szCs w:val="24"/>
        </w:rPr>
        <w:t xml:space="preserve">(pp. 71-85). Human Kinetics. </w:t>
      </w:r>
    </w:p>
    <w:p w14:paraId="52E57451" w14:textId="77777777" w:rsidR="00A65EF6" w:rsidRPr="0051709F" w:rsidRDefault="00A65EF6" w:rsidP="00A65EF6">
      <w:pPr>
        <w:pStyle w:val="Prrafodelista"/>
        <w:numPr>
          <w:ilvl w:val="0"/>
          <w:numId w:val="78"/>
        </w:numPr>
        <w:jc w:val="both"/>
        <w:rPr>
          <w:rFonts w:asciiTheme="minorHAnsi" w:eastAsiaTheme="minorEastAsia" w:hAnsiTheme="minorHAnsi" w:cstheme="minorHAnsi"/>
          <w:sz w:val="24"/>
          <w:szCs w:val="24"/>
          <w:lang w:val="en-GB"/>
        </w:rPr>
      </w:pPr>
      <w:r w:rsidRPr="0051709F">
        <w:rPr>
          <w:rFonts w:asciiTheme="minorHAnsi" w:eastAsiaTheme="minorEastAsia" w:hAnsiTheme="minorHAnsi" w:cstheme="minorHAnsi"/>
          <w:color w:val="1A254C"/>
          <w:sz w:val="24"/>
          <w:szCs w:val="24"/>
          <w:lang w:val="en-GB"/>
        </w:rPr>
        <w:t xml:space="preserve">Stamer T, Steinhäuser J, Flägel K. Artificial Intelligence Supporting the Training of Communication Skills in the Education of Health Care Professions: Scoping Review. J Med Internet Res 2023;25:e43311. doi: </w:t>
      </w:r>
      <w:hyperlink r:id="rId156" w:history="1">
        <w:r w:rsidRPr="0051709F">
          <w:rPr>
            <w:rStyle w:val="Hipervnculo"/>
            <w:rFonts w:asciiTheme="minorHAnsi" w:eastAsia="Roboto" w:hAnsiTheme="minorHAnsi" w:cstheme="minorHAnsi"/>
            <w:sz w:val="24"/>
            <w:szCs w:val="24"/>
            <w:lang w:val="en-GB"/>
          </w:rPr>
          <w:t>10.2196/43311</w:t>
        </w:r>
      </w:hyperlink>
    </w:p>
    <w:p w14:paraId="47AC3007"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Stellino, M. B., Sinclair, C. D., Partridge, J. A., y King, K. M. (2010). Differences in children’s recess physical activity: recess activity of the week intervention. </w:t>
      </w:r>
      <w:r w:rsidRPr="0051709F">
        <w:rPr>
          <w:rFonts w:asciiTheme="minorHAnsi" w:hAnsiTheme="minorHAnsi" w:cstheme="minorHAnsi"/>
          <w:i/>
          <w:sz w:val="24"/>
          <w:szCs w:val="24"/>
        </w:rPr>
        <w:t>Journal of School Health, 80(9)</w:t>
      </w:r>
      <w:r w:rsidRPr="0051709F">
        <w:rPr>
          <w:rFonts w:asciiTheme="minorHAnsi" w:hAnsiTheme="minorHAnsi" w:cstheme="minorHAnsi"/>
          <w:sz w:val="24"/>
          <w:szCs w:val="24"/>
        </w:rPr>
        <w:t>, 436-444.</w:t>
      </w:r>
    </w:p>
    <w:p w14:paraId="33BB45E6"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Stigsdotter, U. K., Ekholm, O., Schipperijn, J., Toftager, M., Kamper-Jørgensen, F., &amp; Randrup, T. B. (2010). Health promoting outdoor environments—Associations between green space, and health, health-related quality of life and stress based on a Danish national representative survey. </w:t>
      </w:r>
      <w:r w:rsidRPr="0051709F">
        <w:rPr>
          <w:rFonts w:asciiTheme="minorHAnsi" w:hAnsiTheme="minorHAnsi" w:cstheme="minorHAnsi"/>
          <w:i/>
          <w:iCs/>
          <w:sz w:val="24"/>
          <w:szCs w:val="24"/>
          <w:lang w:val="en-US"/>
        </w:rPr>
        <w:t>Scandinavian Journal of Public Health</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38</w:t>
      </w:r>
      <w:r w:rsidRPr="0051709F">
        <w:rPr>
          <w:rFonts w:asciiTheme="minorHAnsi" w:hAnsiTheme="minorHAnsi" w:cstheme="minorHAnsi"/>
          <w:sz w:val="24"/>
          <w:szCs w:val="24"/>
          <w:lang w:val="en-US"/>
        </w:rPr>
        <w:t>(4), 411–417. https://doi.org/10.1177/1403494810367468</w:t>
      </w:r>
    </w:p>
    <w:p w14:paraId="32755BB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color w:val="000000" w:themeColor="text1"/>
          <w:sz w:val="24"/>
          <w:szCs w:val="24"/>
          <w:shd w:val="clear" w:color="auto" w:fill="FFFFFF"/>
        </w:rPr>
        <w:t xml:space="preserve">Strain T, Brage S, Sharp SJ, Richards J, Tainio M, Ding D, Benichou J, Kelly P. Use of the prevented fraction for the population to determine deaths averted by existing prevalence of physical activity: a descriptive study. </w:t>
      </w:r>
      <w:r w:rsidRPr="0051709F">
        <w:rPr>
          <w:rFonts w:asciiTheme="minorHAnsi" w:hAnsiTheme="minorHAnsi" w:cstheme="minorHAnsi"/>
          <w:i/>
          <w:iCs/>
          <w:color w:val="000000" w:themeColor="text1"/>
          <w:sz w:val="24"/>
          <w:szCs w:val="24"/>
          <w:shd w:val="clear" w:color="auto" w:fill="FFFFFF"/>
        </w:rPr>
        <w:t>Lancet Glob Health</w:t>
      </w:r>
      <w:r w:rsidRPr="0051709F">
        <w:rPr>
          <w:rFonts w:asciiTheme="minorHAnsi" w:hAnsiTheme="minorHAnsi" w:cstheme="minorHAnsi"/>
          <w:color w:val="000000" w:themeColor="text1"/>
          <w:sz w:val="24"/>
          <w:szCs w:val="24"/>
          <w:shd w:val="clear" w:color="auto" w:fill="FFFFFF"/>
        </w:rPr>
        <w:t>. 2020;8:e920–30</w:t>
      </w:r>
    </w:p>
    <w:p w14:paraId="5B4CB9D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Strauss, R. S., Rodzilsky, D., Burack, G., y Colin, M. (2001). Psychological correlates of physical activity in healthy children. </w:t>
      </w:r>
      <w:r w:rsidRPr="0051709F">
        <w:rPr>
          <w:rFonts w:asciiTheme="minorHAnsi" w:hAnsiTheme="minorHAnsi" w:cstheme="minorHAnsi"/>
          <w:i/>
          <w:sz w:val="24"/>
          <w:szCs w:val="24"/>
        </w:rPr>
        <w:t>Archives of Pediatrics &amp; Adolescent Medicine, 155</w:t>
      </w:r>
      <w:r w:rsidRPr="0051709F">
        <w:rPr>
          <w:rFonts w:asciiTheme="minorHAnsi" w:hAnsiTheme="minorHAnsi" w:cstheme="minorHAnsi"/>
          <w:sz w:val="24"/>
          <w:szCs w:val="24"/>
        </w:rPr>
        <w:t>, 807-902.</w:t>
      </w:r>
    </w:p>
    <w:p w14:paraId="29838EE8"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lang w:val="es-ES"/>
        </w:rPr>
        <w:t xml:space="preserve">Storr, R., Nicholas, L., Robinson, K., &amp; Davies, C. (2022). </w:t>
      </w:r>
      <w:r w:rsidRPr="0051709F">
        <w:rPr>
          <w:rFonts w:asciiTheme="minorHAnsi" w:eastAsia="Times New Roman" w:hAnsiTheme="minorHAnsi" w:cstheme="minorHAnsi"/>
          <w:sz w:val="24"/>
          <w:szCs w:val="24"/>
        </w:rPr>
        <w:t xml:space="preserve">‘Game to play?’: barriers and facilitators to sexuality and gender diverse young people’s participation in sport and physical activity. </w:t>
      </w:r>
      <w:r w:rsidRPr="0051709F">
        <w:rPr>
          <w:rFonts w:asciiTheme="minorHAnsi" w:eastAsia="Times New Roman" w:hAnsiTheme="minorHAnsi" w:cstheme="minorHAnsi"/>
          <w:i/>
          <w:iCs/>
          <w:sz w:val="24"/>
          <w:szCs w:val="24"/>
        </w:rPr>
        <w:t>Sport, Education and Society</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27</w:t>
      </w:r>
      <w:r w:rsidRPr="0051709F">
        <w:rPr>
          <w:rFonts w:asciiTheme="minorHAnsi" w:eastAsia="Times New Roman" w:hAnsiTheme="minorHAnsi" w:cstheme="minorHAnsi"/>
          <w:sz w:val="24"/>
          <w:szCs w:val="24"/>
        </w:rPr>
        <w:t>(5), 604–617. https://doi.org/10.1080/13573322.2021.1897561</w:t>
      </w:r>
    </w:p>
    <w:p w14:paraId="370E2D87"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lang w:val="es-ES"/>
        </w:rPr>
        <w:t xml:space="preserve">Su, Y., y Reeve, J. (2011). </w:t>
      </w:r>
      <w:r w:rsidRPr="0051709F">
        <w:rPr>
          <w:rFonts w:asciiTheme="minorHAnsi" w:hAnsiTheme="minorHAnsi" w:cstheme="minorHAnsi"/>
          <w:sz w:val="24"/>
          <w:szCs w:val="24"/>
          <w:shd w:val="clear" w:color="auto" w:fill="FFFFFF"/>
        </w:rPr>
        <w:t xml:space="preserve">A meta-analysis of the effectiveness of intervention programs designed to support autonomy. </w:t>
      </w:r>
      <w:r w:rsidRPr="0051709F">
        <w:rPr>
          <w:rFonts w:asciiTheme="minorHAnsi" w:hAnsiTheme="minorHAnsi" w:cstheme="minorHAnsi"/>
          <w:i/>
          <w:iCs/>
          <w:sz w:val="24"/>
          <w:szCs w:val="24"/>
        </w:rPr>
        <w:t>Educational Psychology Review</w:t>
      </w:r>
      <w:r w:rsidRPr="0051709F">
        <w:rPr>
          <w:rFonts w:asciiTheme="minorHAnsi" w:hAnsiTheme="minorHAnsi" w:cstheme="minorHAnsi"/>
          <w:sz w:val="24"/>
          <w:szCs w:val="24"/>
          <w:shd w:val="clear" w:color="auto" w:fill="FFFFFF"/>
        </w:rPr>
        <w:t>. </w:t>
      </w:r>
      <w:hyperlink r:id="rId157" w:history="1">
        <w:r w:rsidRPr="0051709F">
          <w:rPr>
            <w:rStyle w:val="Hipervnculo"/>
            <w:rFonts w:asciiTheme="minorHAnsi" w:hAnsiTheme="minorHAnsi" w:cstheme="minorHAnsi"/>
            <w:color w:val="auto"/>
            <w:sz w:val="24"/>
            <w:szCs w:val="24"/>
            <w:shd w:val="clear" w:color="auto" w:fill="FFFFFF"/>
          </w:rPr>
          <w:t>https://doi.org/10.1007/s10648-010-9142-7</w:t>
        </w:r>
      </w:hyperlink>
      <w:r w:rsidRPr="0051709F">
        <w:rPr>
          <w:rFonts w:asciiTheme="minorHAnsi" w:hAnsiTheme="minorHAnsi" w:cstheme="minorHAnsi"/>
          <w:sz w:val="24"/>
          <w:szCs w:val="24"/>
          <w:shd w:val="clear" w:color="auto" w:fill="FFFFFF"/>
        </w:rPr>
        <w:t>.</w:t>
      </w:r>
    </w:p>
    <w:p w14:paraId="35F56651"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Sun, H. (2013). Impact of exergames on physical activity and motivation in elementary school students: A follow-up study. </w:t>
      </w:r>
      <w:r w:rsidRPr="0051709F">
        <w:rPr>
          <w:rFonts w:asciiTheme="minorHAnsi" w:hAnsiTheme="minorHAnsi" w:cstheme="minorHAnsi"/>
          <w:i/>
          <w:sz w:val="24"/>
          <w:szCs w:val="24"/>
        </w:rPr>
        <w:t>Journal of Sport and Health Science, 2</w:t>
      </w:r>
      <w:r w:rsidRPr="0051709F">
        <w:rPr>
          <w:rFonts w:asciiTheme="minorHAnsi" w:hAnsiTheme="minorHAnsi" w:cstheme="minorHAnsi"/>
          <w:sz w:val="24"/>
          <w:szCs w:val="24"/>
        </w:rPr>
        <w:t>, 138-145.</w:t>
      </w:r>
    </w:p>
    <w:p w14:paraId="2262F5D6"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Sun M, Feng W, Wang F, Li P, Li Z, Li M, et al. Meta-analysis on shift work and risks of specific obesity types. Obes Rev. 2018;19(1):28–40.</w:t>
      </w:r>
    </w:p>
    <w:p w14:paraId="497DE65D"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Swinburn, B. A., Kraak, V. I., Allender, S., Atkins, V. J., Baker, P. I., Bogard, J. R., … Dietz, W. H. (2019). The Global Syndemic of Obesity, Undernutrition, and Climate Change: The Lancet Commission report. </w:t>
      </w:r>
      <w:r w:rsidRPr="0051709F">
        <w:rPr>
          <w:rFonts w:asciiTheme="minorHAnsi" w:hAnsiTheme="minorHAnsi" w:cstheme="minorHAnsi"/>
          <w:i/>
          <w:iCs/>
          <w:sz w:val="24"/>
          <w:szCs w:val="24"/>
          <w:lang w:val="en-US"/>
        </w:rPr>
        <w:t>The Lancet</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393</w:t>
      </w:r>
      <w:r w:rsidRPr="0051709F">
        <w:rPr>
          <w:rFonts w:asciiTheme="minorHAnsi" w:hAnsiTheme="minorHAnsi" w:cstheme="minorHAnsi"/>
          <w:sz w:val="24"/>
          <w:szCs w:val="24"/>
          <w:lang w:val="en-US"/>
        </w:rPr>
        <w:t>(10173), 791–846. https://doi.org/10.1016/S0140-6736(18)32822-8</w:t>
      </w:r>
    </w:p>
    <w:p w14:paraId="7DFB4C8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Taylor, I. M., y Lonsdale, C. (2010). </w:t>
      </w:r>
      <w:r w:rsidRPr="0051709F">
        <w:rPr>
          <w:rFonts w:asciiTheme="minorHAnsi" w:hAnsiTheme="minorHAnsi" w:cstheme="minorHAnsi"/>
          <w:sz w:val="24"/>
          <w:szCs w:val="24"/>
        </w:rPr>
        <w:t xml:space="preserve">Cultural differences in the relationships among autonomy support, psychological need satisfaction, subjective vitality, and effort in British and Chinese physical education. </w:t>
      </w:r>
      <w:r w:rsidRPr="0051709F">
        <w:rPr>
          <w:rFonts w:asciiTheme="minorHAnsi" w:hAnsiTheme="minorHAnsi" w:cstheme="minorHAnsi"/>
          <w:i/>
          <w:sz w:val="24"/>
          <w:szCs w:val="24"/>
        </w:rPr>
        <w:t>Journal of Sport &amp; Exercise Psychology, 32</w:t>
      </w:r>
      <w:r w:rsidRPr="0051709F">
        <w:rPr>
          <w:rFonts w:asciiTheme="minorHAnsi" w:hAnsiTheme="minorHAnsi" w:cstheme="minorHAnsi"/>
          <w:sz w:val="24"/>
          <w:szCs w:val="24"/>
        </w:rPr>
        <w:t>, 655-673.</w:t>
      </w:r>
    </w:p>
    <w:p w14:paraId="2CB3F9F0"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Telama, R. (2009). Tracking of physical activity from childhood to adulthood: a review. </w:t>
      </w:r>
      <w:r w:rsidRPr="0051709F">
        <w:rPr>
          <w:rFonts w:asciiTheme="minorHAnsi" w:hAnsiTheme="minorHAnsi" w:cstheme="minorHAnsi"/>
          <w:i/>
          <w:iCs/>
          <w:sz w:val="24"/>
          <w:szCs w:val="24"/>
          <w:shd w:val="clear" w:color="auto" w:fill="FFFFFF"/>
        </w:rPr>
        <w:t>Obesity Facts, 2(</w:t>
      </w:r>
      <w:r w:rsidRPr="0051709F">
        <w:rPr>
          <w:rFonts w:asciiTheme="minorHAnsi" w:hAnsiTheme="minorHAnsi" w:cstheme="minorHAnsi"/>
          <w:sz w:val="24"/>
          <w:szCs w:val="24"/>
          <w:shd w:val="clear" w:color="auto" w:fill="FFFFFF"/>
        </w:rPr>
        <w:t>3), 187-195.</w:t>
      </w:r>
    </w:p>
    <w:p w14:paraId="0F8841D5"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Thorburn, M. (2018). </w:t>
      </w:r>
      <w:r w:rsidRPr="0051709F">
        <w:rPr>
          <w:rFonts w:asciiTheme="minorHAnsi" w:hAnsiTheme="minorHAnsi" w:cstheme="minorHAnsi"/>
          <w:i/>
          <w:iCs/>
          <w:sz w:val="24"/>
          <w:szCs w:val="24"/>
          <w:shd w:val="clear" w:color="auto" w:fill="FFFFFF"/>
        </w:rPr>
        <w:t>Wellbeing, Education and Contemporary Schooling</w:t>
      </w:r>
      <w:r w:rsidRPr="0051709F">
        <w:rPr>
          <w:rFonts w:asciiTheme="minorHAnsi" w:hAnsiTheme="minorHAnsi" w:cstheme="minorHAnsi"/>
          <w:sz w:val="24"/>
          <w:szCs w:val="24"/>
          <w:shd w:val="clear" w:color="auto" w:fill="FFFFFF"/>
        </w:rPr>
        <w:t>. Routledge.</w:t>
      </w:r>
    </w:p>
    <w:p w14:paraId="79525374"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Trost, S. G., Pate, R. R., Saunders, R., Ward, D. S., Dowda, M., y Felton, G. (1997). A Prospective Study of the Determinants of Physical Activity in Rural Fifth-Grade Children. </w:t>
      </w:r>
      <w:r w:rsidRPr="0051709F">
        <w:rPr>
          <w:rFonts w:asciiTheme="minorHAnsi" w:hAnsiTheme="minorHAnsi" w:cstheme="minorHAnsi"/>
          <w:i/>
          <w:sz w:val="24"/>
          <w:szCs w:val="24"/>
        </w:rPr>
        <w:t>Preventive Medicine, 26</w:t>
      </w:r>
      <w:r w:rsidRPr="0051709F">
        <w:rPr>
          <w:rFonts w:asciiTheme="minorHAnsi" w:hAnsiTheme="minorHAnsi" w:cstheme="minorHAnsi"/>
          <w:sz w:val="24"/>
          <w:szCs w:val="24"/>
        </w:rPr>
        <w:t>, 257-263.</w:t>
      </w:r>
    </w:p>
    <w:p w14:paraId="6658897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Trost, S. G., y Loprinzi, P. D. (2008). </w:t>
      </w:r>
      <w:r w:rsidRPr="0051709F">
        <w:rPr>
          <w:rFonts w:asciiTheme="minorHAnsi" w:hAnsiTheme="minorHAnsi" w:cstheme="minorHAnsi"/>
          <w:sz w:val="24"/>
          <w:szCs w:val="24"/>
        </w:rPr>
        <w:t xml:space="preserve">Exercise-Promoting healthy lifestyles in children and adolescents. </w:t>
      </w:r>
      <w:r w:rsidRPr="0051709F">
        <w:rPr>
          <w:rFonts w:asciiTheme="minorHAnsi" w:hAnsiTheme="minorHAnsi" w:cstheme="minorHAnsi"/>
          <w:i/>
          <w:sz w:val="24"/>
          <w:szCs w:val="24"/>
        </w:rPr>
        <w:t>Journal of Clinical Lipidology, 2 (3),</w:t>
      </w:r>
      <w:r w:rsidRPr="0051709F">
        <w:rPr>
          <w:rFonts w:asciiTheme="minorHAnsi" w:hAnsiTheme="minorHAnsi" w:cstheme="minorHAnsi"/>
          <w:sz w:val="24"/>
          <w:szCs w:val="24"/>
        </w:rPr>
        <w:t xml:space="preserve"> 162-168.</w:t>
      </w:r>
    </w:p>
    <w:p w14:paraId="6D9F8674" w14:textId="77777777" w:rsidR="00A65EF6" w:rsidRPr="0051709F" w:rsidRDefault="00A65EF6" w:rsidP="00A65EF6">
      <w:pPr>
        <w:pStyle w:val="html-xx"/>
        <w:numPr>
          <w:ilvl w:val="0"/>
          <w:numId w:val="78"/>
        </w:numPr>
        <w:shd w:val="clear" w:color="auto" w:fill="FFFFFF" w:themeFill="background1"/>
        <w:spacing w:before="0" w:beforeAutospacing="0" w:after="0" w:afterAutospacing="0"/>
        <w:jc w:val="both"/>
        <w:rPr>
          <w:rFonts w:asciiTheme="minorHAnsi" w:hAnsiTheme="minorHAnsi" w:cstheme="minorHAnsi"/>
        </w:rPr>
      </w:pPr>
      <w:r w:rsidRPr="0051709F">
        <w:rPr>
          <w:rFonts w:asciiTheme="minorHAnsi" w:hAnsiTheme="minorHAnsi" w:cstheme="minorHAnsi"/>
          <w:lang w:val="en-GB"/>
        </w:rPr>
        <w:t>Trost, S. (2006). Public health and physical education. En D. Kirk, M. O. O’Sullivan, D. Macdonald (Eds.),</w:t>
      </w:r>
      <w:r w:rsidRPr="0051709F">
        <w:rPr>
          <w:rStyle w:val="html-italic"/>
          <w:rFonts w:asciiTheme="minorHAnsi" w:eastAsiaTheme="majorEastAsia" w:hAnsiTheme="minorHAnsi" w:cstheme="minorHAnsi"/>
          <w:lang w:val="en-GB"/>
        </w:rPr>
        <w:t xml:space="preserve"> The Handbook of Physical Education</w:t>
      </w:r>
      <w:r w:rsidRPr="0051709F">
        <w:rPr>
          <w:rFonts w:asciiTheme="minorHAnsi" w:hAnsiTheme="minorHAnsi" w:cstheme="minorHAnsi"/>
          <w:lang w:val="en-GB"/>
        </w:rPr>
        <w:t xml:space="preserve"> (pp. 163-187). </w:t>
      </w:r>
      <w:r w:rsidRPr="0051709F">
        <w:rPr>
          <w:rFonts w:asciiTheme="minorHAnsi" w:hAnsiTheme="minorHAnsi" w:cstheme="minorHAnsi"/>
        </w:rPr>
        <w:t>Sage.</w:t>
      </w:r>
    </w:p>
    <w:p w14:paraId="1BF60E9F"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lastRenderedPageBreak/>
        <w:t xml:space="preserve">Trost, S., Sallis, J., Pate, R., Freedson, P., Taylor, W., y Dowda, M. (2003). Evaluating a model of parental influence on youth physical activity. </w:t>
      </w:r>
      <w:r w:rsidRPr="0051709F">
        <w:rPr>
          <w:rFonts w:asciiTheme="minorHAnsi" w:hAnsiTheme="minorHAnsi" w:cstheme="minorHAnsi"/>
          <w:i/>
          <w:sz w:val="24"/>
          <w:szCs w:val="24"/>
        </w:rPr>
        <w:t>American Journal of Preventive Medicine, 25</w:t>
      </w:r>
      <w:r w:rsidRPr="0051709F">
        <w:rPr>
          <w:rFonts w:asciiTheme="minorHAnsi" w:hAnsiTheme="minorHAnsi" w:cstheme="minorHAnsi"/>
          <w:sz w:val="24"/>
          <w:szCs w:val="24"/>
        </w:rPr>
        <w:t>, 277-282.</w:t>
      </w:r>
    </w:p>
    <w:p w14:paraId="499BB49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Tudor-Locke, C., Leonardi, C., Johnson, W. D., &amp; Katzmarzyk, P. T. (2011). Time spent in physical activity and sedentary behaviors on the working day: the American time use survey. J Occup Environ Med, 53(12), 1382-1387. doi:10.1097/ JOM.0b013e31823c1402</w:t>
      </w:r>
    </w:p>
    <w:p w14:paraId="756CD67B"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UNESCO, Kazan Action Plan, 2017. </w:t>
      </w:r>
      <w:hyperlink r:id="rId158" w:history="1">
        <w:r w:rsidRPr="0051709F">
          <w:rPr>
            <w:rStyle w:val="Hipervnculo"/>
            <w:rFonts w:asciiTheme="minorHAnsi" w:hAnsiTheme="minorHAnsi" w:cstheme="minorHAnsi"/>
            <w:sz w:val="24"/>
            <w:szCs w:val="24"/>
          </w:rPr>
          <w:t>https://en.unesco.org/mineps6/kazan-action-plan</w:t>
        </w:r>
      </w:hyperlink>
    </w:p>
    <w:p w14:paraId="6B6D18A7"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Un-Habitat. (2013). </w:t>
      </w:r>
      <w:r w:rsidRPr="0051709F">
        <w:rPr>
          <w:rFonts w:asciiTheme="minorHAnsi" w:hAnsiTheme="minorHAnsi" w:cstheme="minorHAnsi"/>
          <w:i/>
          <w:iCs/>
          <w:sz w:val="24"/>
          <w:szCs w:val="24"/>
          <w:lang w:val="en-US"/>
        </w:rPr>
        <w:t>Planning and Design for Sustainable Urban Mobility: Global Report on Human Settlements 2013</w:t>
      </w:r>
      <w:r w:rsidRPr="0051709F">
        <w:rPr>
          <w:rFonts w:asciiTheme="minorHAnsi" w:hAnsiTheme="minorHAnsi" w:cstheme="minorHAnsi"/>
          <w:sz w:val="24"/>
          <w:szCs w:val="24"/>
          <w:lang w:val="en-US"/>
        </w:rPr>
        <w:t>. New York: Routledge. Retrieved from https://unhabitat.org/sites/default/files/download-manager-files/Planning%20and%20Design%20for%20Sustainable%20Urban%20Mobility.pdf</w:t>
      </w:r>
    </w:p>
    <w:p w14:paraId="5357B521"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Urban Land Institute, Frank, J., MacCleery, R., Nienaber, S., Hammerschmidt, S., Claflin, A., &amp; Building Healthy Places Initiative (Eds.). (2015). </w:t>
      </w:r>
      <w:r w:rsidRPr="0051709F">
        <w:rPr>
          <w:rFonts w:asciiTheme="minorHAnsi" w:hAnsiTheme="minorHAnsi" w:cstheme="minorHAnsi"/>
          <w:i/>
          <w:iCs/>
          <w:sz w:val="24"/>
          <w:szCs w:val="24"/>
          <w:lang w:val="en-US"/>
        </w:rPr>
        <w:t>Building healthy places toolkit: Strategies for enhancing health in the built environment</w:t>
      </w:r>
      <w:r w:rsidRPr="0051709F">
        <w:rPr>
          <w:rFonts w:asciiTheme="minorHAnsi" w:hAnsiTheme="minorHAnsi" w:cstheme="minorHAnsi"/>
          <w:sz w:val="24"/>
          <w:szCs w:val="24"/>
          <w:lang w:val="en-US"/>
        </w:rPr>
        <w:t>. Washington, D.C: Urban Land Institute.</w:t>
      </w:r>
    </w:p>
    <w:p w14:paraId="66CC9392"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Urdan, T. C., y Maehr, M. L. (1995). </w:t>
      </w:r>
      <w:r w:rsidRPr="0051709F">
        <w:rPr>
          <w:rFonts w:asciiTheme="minorHAnsi" w:hAnsiTheme="minorHAnsi" w:cstheme="minorHAnsi"/>
          <w:sz w:val="24"/>
          <w:szCs w:val="24"/>
        </w:rPr>
        <w:t xml:space="preserve">Beyond a two-goal theory of motivation and achievement: A case for social goals. </w:t>
      </w:r>
      <w:r w:rsidRPr="0051709F">
        <w:rPr>
          <w:rFonts w:asciiTheme="minorHAnsi" w:hAnsiTheme="minorHAnsi" w:cstheme="minorHAnsi"/>
          <w:i/>
          <w:sz w:val="24"/>
          <w:szCs w:val="24"/>
        </w:rPr>
        <w:t>Review of Educational Research, 65</w:t>
      </w:r>
      <w:r w:rsidRPr="0051709F">
        <w:rPr>
          <w:rFonts w:asciiTheme="minorHAnsi" w:hAnsiTheme="minorHAnsi" w:cstheme="minorHAnsi"/>
          <w:sz w:val="24"/>
          <w:szCs w:val="24"/>
        </w:rPr>
        <w:t>, 213-243.</w:t>
      </w:r>
    </w:p>
    <w:p w14:paraId="5146270C" w14:textId="77777777" w:rsidR="00A65EF6" w:rsidRPr="0051709F" w:rsidRDefault="00A65EF6" w:rsidP="00A65EF6">
      <w:pPr>
        <w:pStyle w:val="Prrafodelista"/>
        <w:numPr>
          <w:ilvl w:val="0"/>
          <w:numId w:val="78"/>
        </w:numPr>
        <w:jc w:val="both"/>
        <w:rPr>
          <w:rFonts w:asciiTheme="minorHAnsi" w:eastAsiaTheme="minorEastAsia" w:hAnsiTheme="minorHAnsi" w:cstheme="minorHAnsi"/>
          <w:sz w:val="24"/>
          <w:szCs w:val="24"/>
          <w:lang w:val="en-GB"/>
        </w:rPr>
      </w:pPr>
      <w:r w:rsidRPr="0051709F">
        <w:rPr>
          <w:rFonts w:asciiTheme="minorHAnsi" w:eastAsiaTheme="minorEastAsia" w:hAnsiTheme="minorHAnsi" w:cstheme="minorHAnsi"/>
          <w:color w:val="212121"/>
          <w:sz w:val="24"/>
          <w:szCs w:val="24"/>
          <w:lang w:val="en-GB"/>
        </w:rPr>
        <w:t>Valkenet K, Bor P, van Delft L, Veenhof C. Measuring physical activity levels in hospitalized patients: a comparison between behavioural mapping and data from an accelerometer. Clin Rehabil. 2019 Jul;33(7):1233-1240. doi: 10.1177/0269215519836454. Epub 2019 Mar 13. PMID: 30864490; PMCID: PMC6585158.</w:t>
      </w:r>
    </w:p>
    <w:p w14:paraId="0B54DD7D"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333333"/>
          <w:sz w:val="24"/>
          <w:szCs w:val="24"/>
          <w:shd w:val="clear" w:color="auto" w:fill="FFFFFF"/>
          <w:lang w:val="en-US"/>
        </w:rPr>
        <w:t>van der Ploeg, H.P., Bull, F.C. Invest in physical activity to protect and promote health: the 2020 WHO guidelines on physical activity and sedentary behaviour. </w:t>
      </w:r>
      <w:r w:rsidRPr="0051709F">
        <w:rPr>
          <w:rFonts w:asciiTheme="minorHAnsi" w:hAnsiTheme="minorHAnsi" w:cstheme="minorHAnsi"/>
          <w:i/>
          <w:iCs/>
          <w:color w:val="333333"/>
          <w:sz w:val="24"/>
          <w:szCs w:val="24"/>
          <w:shd w:val="clear" w:color="auto" w:fill="FFFFFF"/>
          <w:lang w:val="en-US"/>
        </w:rPr>
        <w:t>Int J Behav Nutr Phys Act</w:t>
      </w:r>
      <w:r w:rsidRPr="0051709F">
        <w:rPr>
          <w:rFonts w:asciiTheme="minorHAnsi" w:hAnsiTheme="minorHAnsi" w:cstheme="minorHAnsi"/>
          <w:color w:val="333333"/>
          <w:sz w:val="24"/>
          <w:szCs w:val="24"/>
          <w:shd w:val="clear" w:color="auto" w:fill="FFFFFF"/>
          <w:lang w:val="en-US"/>
        </w:rPr>
        <w:t> </w:t>
      </w:r>
      <w:r w:rsidRPr="0051709F">
        <w:rPr>
          <w:rFonts w:asciiTheme="minorHAnsi" w:hAnsiTheme="minorHAnsi" w:cstheme="minorHAnsi"/>
          <w:b/>
          <w:bCs/>
          <w:color w:val="333333"/>
          <w:sz w:val="24"/>
          <w:szCs w:val="24"/>
          <w:shd w:val="clear" w:color="auto" w:fill="FFFFFF"/>
          <w:lang w:val="en-US"/>
        </w:rPr>
        <w:t>17, </w:t>
      </w:r>
      <w:r w:rsidRPr="0051709F">
        <w:rPr>
          <w:rFonts w:asciiTheme="minorHAnsi" w:hAnsiTheme="minorHAnsi" w:cstheme="minorHAnsi"/>
          <w:color w:val="333333"/>
          <w:sz w:val="24"/>
          <w:szCs w:val="24"/>
          <w:shd w:val="clear" w:color="auto" w:fill="FFFFFF"/>
          <w:lang w:val="en-US"/>
        </w:rPr>
        <w:t xml:space="preserve">145 (2020). </w:t>
      </w:r>
      <w:hyperlink r:id="rId159" w:history="1">
        <w:r w:rsidRPr="0051709F">
          <w:rPr>
            <w:rStyle w:val="Hipervnculo"/>
            <w:rFonts w:asciiTheme="minorHAnsi" w:hAnsiTheme="minorHAnsi" w:cstheme="minorHAnsi"/>
            <w:sz w:val="24"/>
            <w:szCs w:val="24"/>
            <w:shd w:val="clear" w:color="auto" w:fill="FFFFFF"/>
            <w:lang w:val="en-US"/>
          </w:rPr>
          <w:t>https://doi.org/10.1186/s12966-020-01051-</w:t>
        </w:r>
      </w:hyperlink>
    </w:p>
    <w:p w14:paraId="51C1CDFD" w14:textId="77777777" w:rsidR="00A65EF6" w:rsidRPr="0051709F" w:rsidRDefault="00A65EF6" w:rsidP="00A65EF6">
      <w:pPr>
        <w:pStyle w:val="Prrafodelista"/>
        <w:numPr>
          <w:ilvl w:val="0"/>
          <w:numId w:val="78"/>
        </w:numPr>
        <w:jc w:val="both"/>
        <w:rPr>
          <w:rFonts w:asciiTheme="minorHAnsi" w:eastAsia="Roboto" w:hAnsiTheme="minorHAnsi" w:cstheme="minorHAnsi"/>
          <w:color w:val="212121"/>
          <w:sz w:val="24"/>
          <w:szCs w:val="24"/>
          <w:lang w:val="en-GB"/>
        </w:rPr>
      </w:pPr>
      <w:r w:rsidRPr="0051709F">
        <w:rPr>
          <w:rFonts w:asciiTheme="minorHAnsi" w:eastAsiaTheme="minorEastAsia" w:hAnsiTheme="minorHAnsi" w:cstheme="minorHAnsi"/>
          <w:color w:val="212121"/>
          <w:sz w:val="24"/>
          <w:szCs w:val="24"/>
          <w:lang w:val="en-GB"/>
        </w:rPr>
        <w:t>van Dijk ML, Te Loo LM, Vrijsen J, van den Akker-Scheek I, Westerveld S, Annema M, van Beek A, van den Berg J, Boerboom AL, Bouma A, de Bruijne M, Crasborn J, van Dongen JM, Driessen A, Eijkelenkamp K, Goelema N, Holla J, de Jong J, de Joode A, Kievit A, Klooster JV, Kruizenga H, van der Leeden M, Linders L, Marks-Vieveen J, Mulder DJ, Muller F, van Nassau F, Nauta J, Oostvogels S, Oude Sogtoen J, van der Ploeg HP, Rijnbeek P, Schouten L, Schuling R, Serné EH, Smuling S, Soeters MR, Verhagen EALM, Zwerver J, Dekker R, van Mechelen W, Jelsma JGM. LOFIT (Lifestyle front Office For Integrating lifestyle medicine in the Treatment of patients): a novel care model towards community-based options for lifestyle change-study protocol. Trials. 2023 Feb 17;24(1):114. doi: 10.1186/s13063-022-06960-z. PMID: 36803271; PMCID: PMC9936650</w:t>
      </w:r>
      <w:r w:rsidRPr="0051709F">
        <w:rPr>
          <w:rFonts w:asciiTheme="minorHAnsi" w:eastAsia="Roboto" w:hAnsiTheme="minorHAnsi" w:cstheme="minorHAnsi"/>
          <w:color w:val="212121"/>
          <w:sz w:val="24"/>
          <w:szCs w:val="24"/>
          <w:lang w:val="en-GB"/>
        </w:rPr>
        <w:t>.</w:t>
      </w:r>
    </w:p>
    <w:p w14:paraId="13084AFD"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lang w:val="es-ES"/>
        </w:rPr>
        <w:t xml:space="preserve">Verstraete, S. J., Cardon, G. M., De Clercq, D. L., y De Bourdeaudhuij, I. M. M. (2006). </w:t>
      </w:r>
      <w:r w:rsidRPr="0051709F">
        <w:rPr>
          <w:rFonts w:asciiTheme="minorHAnsi" w:hAnsiTheme="minorHAnsi" w:cstheme="minorHAnsi"/>
          <w:sz w:val="24"/>
          <w:szCs w:val="24"/>
        </w:rPr>
        <w:t xml:space="preserve">Increas- ing children's physical activity levels during recess periods in elementary schools: the effects of providing game equipment. </w:t>
      </w:r>
      <w:r w:rsidRPr="0051709F">
        <w:rPr>
          <w:rFonts w:asciiTheme="minorHAnsi" w:hAnsiTheme="minorHAnsi" w:cstheme="minorHAnsi"/>
          <w:i/>
          <w:sz w:val="24"/>
          <w:szCs w:val="24"/>
        </w:rPr>
        <w:t>European Journal of Public Health, 16</w:t>
      </w:r>
      <w:r w:rsidRPr="0051709F">
        <w:rPr>
          <w:rFonts w:asciiTheme="minorHAnsi" w:hAnsiTheme="minorHAnsi" w:cstheme="minorHAnsi"/>
          <w:sz w:val="24"/>
          <w:szCs w:val="24"/>
        </w:rPr>
        <w:t>, 415-419.</w:t>
      </w:r>
    </w:p>
    <w:p w14:paraId="40318ADA" w14:textId="77777777" w:rsidR="00A65EF6" w:rsidRPr="0051709F" w:rsidRDefault="00A65EF6" w:rsidP="00A65EF6">
      <w:pPr>
        <w:pStyle w:val="Prrafodelista"/>
        <w:numPr>
          <w:ilvl w:val="0"/>
          <w:numId w:val="78"/>
        </w:numPr>
        <w:autoSpaceDE w:val="0"/>
        <w:autoSpaceDN w:val="0"/>
        <w:adjustRightInd w:val="0"/>
        <w:jc w:val="both"/>
        <w:rPr>
          <w:rFonts w:asciiTheme="minorHAnsi" w:hAnsiTheme="minorHAnsi" w:cstheme="minorHAnsi"/>
          <w:color w:val="000000"/>
          <w:sz w:val="24"/>
          <w:szCs w:val="24"/>
        </w:rPr>
      </w:pPr>
      <w:r w:rsidRPr="0051709F">
        <w:rPr>
          <w:rFonts w:asciiTheme="minorHAnsi" w:hAnsiTheme="minorHAnsi" w:cstheme="minorHAnsi"/>
          <w:color w:val="000000"/>
          <w:sz w:val="24"/>
          <w:szCs w:val="24"/>
        </w:rPr>
        <w:t>Virtanen M, Kivimaki M. Long working hours and risk of cardiovascular disease. Curr Cardiol Rep. 2018;20(1):123.</w:t>
      </w:r>
    </w:p>
    <w:p w14:paraId="47A896DA"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lastRenderedPageBreak/>
        <w:t xml:space="preserve">Volf, K., Kelly, L., García Bengoechea, E., Casey, B., Gelius, P., Messing, S. . . ., &amp; Woods, C. (2022). Evidence of the impact of sport policies on physical activity and sport participation: a systematic mixed studies review. </w:t>
      </w:r>
      <w:r w:rsidRPr="0051709F">
        <w:rPr>
          <w:rFonts w:asciiTheme="minorHAnsi" w:hAnsiTheme="minorHAnsi" w:cstheme="minorHAnsi"/>
          <w:i/>
          <w:iCs/>
          <w:noProof/>
          <w:sz w:val="24"/>
          <w:szCs w:val="24"/>
        </w:rPr>
        <w:t>International Journal of Sport Policy and Politics</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14</w:t>
      </w:r>
      <w:r w:rsidRPr="0051709F">
        <w:rPr>
          <w:rFonts w:asciiTheme="minorHAnsi" w:hAnsiTheme="minorHAnsi" w:cstheme="minorHAnsi"/>
          <w:noProof/>
          <w:sz w:val="24"/>
          <w:szCs w:val="24"/>
        </w:rPr>
        <w:t>(4), 697–712. https://doi.org/https://doi.org/10.1080/19406940.2022.2127835</w:t>
      </w:r>
    </w:p>
    <w:p w14:paraId="29AFF1E1"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lang w:val="es-ES"/>
        </w:rPr>
        <w:t xml:space="preserve">Volf K, Kelly L, Van Hoye A, García Bengoechea E, MacPhail A, Woods CB. </w:t>
      </w:r>
      <w:r w:rsidRPr="0051709F">
        <w:rPr>
          <w:rFonts w:asciiTheme="minorHAnsi" w:hAnsiTheme="minorHAnsi" w:cstheme="minorHAnsi"/>
          <w:noProof/>
          <w:sz w:val="24"/>
          <w:szCs w:val="24"/>
        </w:rPr>
        <w:t>Assessing the implementation of physical activity-promoting public policies in the Republic of Ireland: a study using the Physical Activity Environment Policy Index (PA-EPI). Heal Res Policy Syst [Internet]. 2023;21(1):1–15. Available from: https://doi.org/10.1186/s12961-023-01013-6</w:t>
      </w:r>
    </w:p>
    <w:p w14:paraId="5DDEFF8E"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Voorhees, C. C., Murray, D., Welk, G., Birnbaum, A., Ribisl, K. M., Johnson, C. C., Pfeiffer, K. A., Saksvig, B., y Jobe, J. B. (2005). The role of peer social network factors and physical activity in adolescent girls. </w:t>
      </w:r>
      <w:r w:rsidRPr="0051709F">
        <w:rPr>
          <w:rFonts w:asciiTheme="minorHAnsi" w:hAnsiTheme="minorHAnsi" w:cstheme="minorHAnsi"/>
          <w:i/>
          <w:sz w:val="24"/>
          <w:szCs w:val="24"/>
        </w:rPr>
        <w:t>American Journal of Health Behavior, 29</w:t>
      </w:r>
      <w:r w:rsidRPr="0051709F">
        <w:rPr>
          <w:rFonts w:asciiTheme="minorHAnsi" w:hAnsiTheme="minorHAnsi" w:cstheme="minorHAnsi"/>
          <w:sz w:val="24"/>
          <w:szCs w:val="24"/>
        </w:rPr>
        <w:t>, 183-190.</w:t>
      </w:r>
    </w:p>
    <w:p w14:paraId="4EFEDAFA"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Watkinson, C., Van Sluijs E. M., Sutton, S., Hardeman, W., Corder, K., y Griffin, S. J. (2010). Overestimation of physical activity level is associated with lower BMI: a cross-sectional analysis. </w:t>
      </w:r>
      <w:r w:rsidRPr="0051709F">
        <w:rPr>
          <w:rFonts w:asciiTheme="minorHAnsi" w:hAnsiTheme="minorHAnsi" w:cstheme="minorHAnsi"/>
          <w:i/>
          <w:sz w:val="24"/>
          <w:szCs w:val="24"/>
        </w:rPr>
        <w:t>International Journal of Behavioral Nutrition and Physical Activity, 7</w:t>
      </w:r>
      <w:r w:rsidRPr="0051709F">
        <w:rPr>
          <w:rFonts w:asciiTheme="minorHAnsi" w:hAnsiTheme="minorHAnsi" w:cstheme="minorHAnsi"/>
          <w:sz w:val="24"/>
          <w:szCs w:val="24"/>
        </w:rPr>
        <w:t xml:space="preserve">, 68. </w:t>
      </w:r>
    </w:p>
    <w:p w14:paraId="22239458"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Wechsler, H., Devereaux, A. B., Davis, M., y Collins, J. (2000). Using the schoolenvironment to promote physical activity and healthy eating. </w:t>
      </w:r>
      <w:r w:rsidRPr="0051709F">
        <w:rPr>
          <w:rFonts w:asciiTheme="minorHAnsi" w:hAnsiTheme="minorHAnsi" w:cstheme="minorHAnsi"/>
          <w:i/>
          <w:sz w:val="24"/>
          <w:szCs w:val="24"/>
        </w:rPr>
        <w:t>Preventive Medicine, 31</w:t>
      </w:r>
      <w:r w:rsidRPr="0051709F">
        <w:rPr>
          <w:rFonts w:asciiTheme="minorHAnsi" w:hAnsiTheme="minorHAnsi" w:cstheme="minorHAnsi"/>
          <w:sz w:val="24"/>
          <w:szCs w:val="24"/>
        </w:rPr>
        <w:t>, S121-S37.</w:t>
      </w:r>
    </w:p>
    <w:p w14:paraId="49FEC08C"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Welk, G. J., Wood, K., y Morss, G. (2003). Parental influences on physical activity in children: an exploration of potential mechanisms. </w:t>
      </w:r>
      <w:r w:rsidRPr="0051709F">
        <w:rPr>
          <w:rFonts w:asciiTheme="minorHAnsi" w:hAnsiTheme="minorHAnsi" w:cstheme="minorHAnsi"/>
          <w:i/>
          <w:sz w:val="24"/>
          <w:szCs w:val="24"/>
        </w:rPr>
        <w:t>Pediatric Exercise Science, 15</w:t>
      </w:r>
      <w:r w:rsidRPr="0051709F">
        <w:rPr>
          <w:rFonts w:asciiTheme="minorHAnsi" w:hAnsiTheme="minorHAnsi" w:cstheme="minorHAnsi"/>
          <w:sz w:val="24"/>
          <w:szCs w:val="24"/>
        </w:rPr>
        <w:t>, 19–33.</w:t>
      </w:r>
    </w:p>
    <w:p w14:paraId="4D2D86C3"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Whiting, S., Mendes, R., Morais, S., Gelius, P., Abu-Omar, K., Nash, L. . . ., &amp; Breda, J. (2021). Promoting health-enhancing physical activity in Europe: surveillance, policy development and implementation 2015–2018. </w:t>
      </w:r>
      <w:r w:rsidRPr="0051709F">
        <w:rPr>
          <w:rFonts w:asciiTheme="minorHAnsi" w:hAnsiTheme="minorHAnsi" w:cstheme="minorHAnsi"/>
          <w:i/>
          <w:iCs/>
          <w:noProof/>
          <w:sz w:val="24"/>
          <w:szCs w:val="24"/>
        </w:rPr>
        <w:t>Health Policy</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125</w:t>
      </w:r>
      <w:r w:rsidRPr="0051709F">
        <w:rPr>
          <w:rFonts w:asciiTheme="minorHAnsi" w:hAnsiTheme="minorHAnsi" w:cstheme="minorHAnsi"/>
          <w:noProof/>
          <w:sz w:val="24"/>
          <w:szCs w:val="24"/>
        </w:rPr>
        <w:t>(8), 1023-1030. https://doi.org/https://doi.org/10.1016/j.healthpol.2021.05.011</w:t>
      </w:r>
    </w:p>
    <w:p w14:paraId="6697C0C0" w14:textId="77777777" w:rsidR="00A65EF6" w:rsidRPr="0051709F" w:rsidRDefault="00A65EF6" w:rsidP="00A65EF6">
      <w:pPr>
        <w:pStyle w:val="Prrafodelista"/>
        <w:numPr>
          <w:ilvl w:val="0"/>
          <w:numId w:val="78"/>
        </w:numPr>
        <w:jc w:val="both"/>
        <w:rPr>
          <w:rFonts w:asciiTheme="minorHAnsi" w:hAnsiTheme="minorHAnsi" w:cstheme="minorHAnsi"/>
          <w:sz w:val="24"/>
          <w:szCs w:val="24"/>
          <w:shd w:val="clear" w:color="auto" w:fill="FFFFFF"/>
        </w:rPr>
      </w:pPr>
      <w:r w:rsidRPr="0051709F">
        <w:rPr>
          <w:rFonts w:asciiTheme="minorHAnsi" w:hAnsiTheme="minorHAnsi" w:cstheme="minorHAnsi"/>
          <w:sz w:val="24"/>
          <w:szCs w:val="24"/>
          <w:shd w:val="clear" w:color="auto" w:fill="FFFFFF"/>
        </w:rPr>
        <w:t xml:space="preserve">Williams, G. C., McGregor, H. A., Sharp, D., Levesque, C., Kouides, R. W., Ryan, R. M. et al. (2006). Testing a self-determination theory intervention for motivating tobacco cessation: supporting autonomy and competence in a clinical trial. </w:t>
      </w:r>
      <w:r w:rsidRPr="0051709F">
        <w:rPr>
          <w:rFonts w:asciiTheme="minorHAnsi" w:hAnsiTheme="minorHAnsi" w:cstheme="minorHAnsi"/>
          <w:i/>
          <w:iCs/>
          <w:sz w:val="24"/>
          <w:szCs w:val="24"/>
          <w:shd w:val="clear" w:color="auto" w:fill="FFFFFF"/>
        </w:rPr>
        <w:t>Health Psychology.</w:t>
      </w:r>
      <w:r w:rsidRPr="0051709F">
        <w:rPr>
          <w:rFonts w:asciiTheme="minorHAnsi" w:hAnsiTheme="minorHAnsi" w:cstheme="minorHAnsi"/>
          <w:sz w:val="24"/>
          <w:szCs w:val="24"/>
          <w:shd w:val="clear" w:color="auto" w:fill="FFFFFF"/>
        </w:rPr>
        <w:t> </w:t>
      </w:r>
      <w:hyperlink r:id="rId160" w:history="1">
        <w:r w:rsidRPr="0051709F">
          <w:rPr>
            <w:rStyle w:val="Hipervnculo"/>
            <w:rFonts w:asciiTheme="minorHAnsi" w:hAnsiTheme="minorHAnsi" w:cstheme="minorHAnsi"/>
            <w:color w:val="auto"/>
            <w:sz w:val="24"/>
            <w:szCs w:val="24"/>
            <w:shd w:val="clear" w:color="auto" w:fill="FFFFFF"/>
          </w:rPr>
          <w:t>https://doi.org/10.1037/0278-6133.25.1.91</w:t>
        </w:r>
      </w:hyperlink>
      <w:r w:rsidRPr="0051709F">
        <w:rPr>
          <w:rFonts w:asciiTheme="minorHAnsi" w:hAnsiTheme="minorHAnsi" w:cstheme="minorHAnsi"/>
          <w:sz w:val="24"/>
          <w:szCs w:val="24"/>
          <w:shd w:val="clear" w:color="auto" w:fill="FFFFFF"/>
        </w:rPr>
        <w:t>.</w:t>
      </w:r>
    </w:p>
    <w:p w14:paraId="66CA84C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Williams, S. L., y French, D. P. (2011). What are the most effective intervention techniques for changing physical activity self-efficacy and physical activity behaviour and are they the same? </w:t>
      </w:r>
      <w:r w:rsidRPr="0051709F">
        <w:rPr>
          <w:rFonts w:asciiTheme="minorHAnsi" w:hAnsiTheme="minorHAnsi" w:cstheme="minorHAnsi"/>
          <w:i/>
          <w:sz w:val="24"/>
          <w:szCs w:val="24"/>
        </w:rPr>
        <w:t>Health Education Research, 26(2),</w:t>
      </w:r>
      <w:r w:rsidRPr="0051709F">
        <w:rPr>
          <w:rFonts w:asciiTheme="minorHAnsi" w:hAnsiTheme="minorHAnsi" w:cstheme="minorHAnsi"/>
          <w:sz w:val="24"/>
          <w:szCs w:val="24"/>
        </w:rPr>
        <w:t xml:space="preserve"> 308-22.</w:t>
      </w:r>
    </w:p>
    <w:p w14:paraId="0253B563"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Woods, C., Kelly, L., Volf, K., Gelius, P., Messing, S., Forberger, S., Lakerveld, J., den Braver, N., Zukowska, J., &amp; García, E. (2022). The Physical Activity Environment Policy Index for monitoring government policies and actions to improve physical activity. </w:t>
      </w:r>
      <w:r w:rsidRPr="0051709F">
        <w:rPr>
          <w:rFonts w:asciiTheme="minorHAnsi" w:hAnsiTheme="minorHAnsi" w:cstheme="minorHAnsi"/>
          <w:i/>
          <w:iCs/>
          <w:noProof/>
          <w:sz w:val="24"/>
          <w:szCs w:val="24"/>
        </w:rPr>
        <w:t>European Journal of Public Health</w:t>
      </w:r>
      <w:r w:rsidRPr="0051709F">
        <w:rPr>
          <w:rFonts w:asciiTheme="minorHAnsi" w:hAnsiTheme="minorHAnsi" w:cstheme="minorHAnsi"/>
          <w:noProof/>
          <w:sz w:val="24"/>
          <w:szCs w:val="24"/>
        </w:rPr>
        <w:t xml:space="preserve">, </w:t>
      </w:r>
      <w:r w:rsidRPr="0051709F">
        <w:rPr>
          <w:rFonts w:asciiTheme="minorHAnsi" w:hAnsiTheme="minorHAnsi" w:cstheme="minorHAnsi"/>
          <w:i/>
          <w:iCs/>
          <w:noProof/>
          <w:sz w:val="24"/>
          <w:szCs w:val="24"/>
        </w:rPr>
        <w:t>32</w:t>
      </w:r>
      <w:r w:rsidRPr="0051709F">
        <w:rPr>
          <w:rFonts w:asciiTheme="minorHAnsi" w:hAnsiTheme="minorHAnsi" w:cstheme="minorHAnsi"/>
          <w:noProof/>
          <w:sz w:val="24"/>
          <w:szCs w:val="24"/>
        </w:rPr>
        <w:t>(4), iv50–iv58. https://doi.org/https://doi.org/10.1093/eurpub/ckac062</w:t>
      </w:r>
    </w:p>
    <w:p w14:paraId="60623F33"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Assembly, WHOA. (1998). </w:t>
      </w:r>
      <w:r w:rsidRPr="0051709F">
        <w:rPr>
          <w:rFonts w:asciiTheme="minorHAnsi" w:hAnsiTheme="minorHAnsi" w:cstheme="minorHAnsi"/>
          <w:i/>
          <w:iCs/>
          <w:sz w:val="24"/>
          <w:szCs w:val="24"/>
          <w:lang w:val="en-US"/>
        </w:rPr>
        <w:t>WHA51.18: Noncommunicable disease prevention and control. Resolution.</w:t>
      </w:r>
      <w:r w:rsidRPr="0051709F">
        <w:rPr>
          <w:rFonts w:asciiTheme="minorHAnsi" w:hAnsiTheme="minorHAnsi" w:cstheme="minorHAnsi"/>
          <w:sz w:val="24"/>
          <w:szCs w:val="24"/>
          <w:lang w:val="en-US"/>
        </w:rPr>
        <w:t xml:space="preserve"> (No. Agenda item 13.18). Fifty-fifth World Health Assembly. Geneva: World Health Organization, WHO. Retrieved from World Health Organization, WHO website: https://apps.who.int/gb/ebwha/pdf_files/WHA55/ewha5523.pdf</w:t>
      </w:r>
    </w:p>
    <w:p w14:paraId="341F7620"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Assembly, WHO. (2002). </w:t>
      </w:r>
      <w:r w:rsidRPr="0051709F">
        <w:rPr>
          <w:rFonts w:asciiTheme="minorHAnsi" w:hAnsiTheme="minorHAnsi" w:cstheme="minorHAnsi"/>
          <w:i/>
          <w:iCs/>
          <w:sz w:val="24"/>
          <w:szCs w:val="24"/>
          <w:lang w:val="en-US"/>
        </w:rPr>
        <w:t>WHA55.23: Diet, physical activity and health. Resolution.</w:t>
      </w:r>
      <w:r w:rsidRPr="0051709F">
        <w:rPr>
          <w:rFonts w:asciiTheme="minorHAnsi" w:hAnsiTheme="minorHAnsi" w:cstheme="minorHAnsi"/>
          <w:sz w:val="24"/>
          <w:szCs w:val="24"/>
          <w:lang w:val="en-US"/>
        </w:rPr>
        <w:t xml:space="preserve"> (No. Agenda item 13.11). Fifty-fifth World Health </w:t>
      </w:r>
      <w:r w:rsidRPr="0051709F">
        <w:rPr>
          <w:rFonts w:asciiTheme="minorHAnsi" w:hAnsiTheme="minorHAnsi" w:cstheme="minorHAnsi"/>
          <w:sz w:val="24"/>
          <w:szCs w:val="24"/>
          <w:lang w:val="en-US"/>
        </w:rPr>
        <w:lastRenderedPageBreak/>
        <w:t>Assembly. Geneva: World Health Organization. Retrieved from World Health Organization website: https://apps.who.int/gb/ebwha/pdf_files/WHA55/ewha5523.pdf</w:t>
      </w:r>
    </w:p>
    <w:p w14:paraId="36037800" w14:textId="77777777" w:rsidR="00A65EF6" w:rsidRPr="0051709F" w:rsidRDefault="00A65EF6" w:rsidP="00A65EF6">
      <w:pPr>
        <w:pStyle w:val="Prrafodelista"/>
        <w:numPr>
          <w:ilvl w:val="0"/>
          <w:numId w:val="78"/>
        </w:numPr>
        <w:jc w:val="both"/>
        <w:rPr>
          <w:rFonts w:asciiTheme="minorHAnsi" w:hAnsiTheme="minorHAnsi" w:cstheme="minorHAnsi"/>
          <w:sz w:val="24"/>
          <w:szCs w:val="24"/>
        </w:rPr>
      </w:pPr>
      <w:r w:rsidRPr="0051709F">
        <w:rPr>
          <w:rFonts w:asciiTheme="minorHAnsi" w:hAnsiTheme="minorHAnsi" w:cstheme="minorHAnsi"/>
          <w:sz w:val="24"/>
          <w:szCs w:val="24"/>
        </w:rPr>
        <w:t xml:space="preserve">World Health Organization (2002). </w:t>
      </w:r>
      <w:r w:rsidRPr="0051709F">
        <w:rPr>
          <w:rFonts w:asciiTheme="minorHAnsi" w:hAnsiTheme="minorHAnsi" w:cstheme="minorHAnsi"/>
          <w:i/>
          <w:sz w:val="24"/>
          <w:szCs w:val="24"/>
        </w:rPr>
        <w:t>World Health Report.</w:t>
      </w:r>
      <w:r w:rsidRPr="0051709F">
        <w:rPr>
          <w:rFonts w:asciiTheme="minorHAnsi" w:hAnsiTheme="minorHAnsi" w:cstheme="minorHAnsi"/>
          <w:sz w:val="24"/>
          <w:szCs w:val="24"/>
        </w:rPr>
        <w:t xml:space="preserve"> Geneva: World Health Organization.</w:t>
      </w:r>
    </w:p>
    <w:p w14:paraId="3E1F71B1"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(2002). WHA55.23: Diet, physical activity and health. Resolution. Geneva: World Health Organization.</w:t>
      </w:r>
    </w:p>
    <w:p w14:paraId="57595709"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(2004). Global strategy on diet, physical activity and health. Geneva: World Health Organization.</w:t>
      </w:r>
    </w:p>
    <w:p w14:paraId="196CD5E7"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World Health Organization, WHO. (2010). Global recommendations on physical activity for health. </w:t>
      </w:r>
      <w:r w:rsidRPr="0051709F">
        <w:rPr>
          <w:rFonts w:asciiTheme="minorHAnsi" w:hAnsiTheme="minorHAnsi" w:cstheme="minorHAnsi"/>
          <w:i/>
          <w:iCs/>
          <w:sz w:val="24"/>
          <w:szCs w:val="24"/>
          <w:lang w:val="en-US"/>
        </w:rPr>
        <w:t>Recommandations Mondiales Sur l’activité Physique Pour La Santé</w:t>
      </w:r>
      <w:r w:rsidRPr="0051709F">
        <w:rPr>
          <w:rFonts w:asciiTheme="minorHAnsi" w:hAnsiTheme="minorHAnsi" w:cstheme="minorHAnsi"/>
          <w:sz w:val="24"/>
          <w:szCs w:val="24"/>
          <w:lang w:val="en-US"/>
        </w:rPr>
        <w:t>, 58.</w:t>
      </w:r>
    </w:p>
    <w:p w14:paraId="7F56CC64"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(2013). Vienna declaration on nutrition and noncommunicable diseases in the context of health 2020. </w:t>
      </w:r>
      <w:r w:rsidRPr="0051709F">
        <w:rPr>
          <w:rFonts w:asciiTheme="minorHAnsi" w:hAnsiTheme="minorHAnsi" w:cstheme="minorHAnsi"/>
          <w:i/>
          <w:iCs/>
          <w:noProof/>
          <w:sz w:val="24"/>
          <w:szCs w:val="24"/>
        </w:rPr>
        <w:t>WHO Ministerial Conference on Nutrition and Noncommunicable Diseases in the Context of Health 2020</w:t>
      </w:r>
      <w:r w:rsidRPr="0051709F">
        <w:rPr>
          <w:rFonts w:asciiTheme="minorHAnsi" w:hAnsiTheme="minorHAnsi" w:cstheme="minorHAnsi"/>
          <w:noProof/>
          <w:sz w:val="24"/>
          <w:szCs w:val="24"/>
        </w:rPr>
        <w:t>, 1–6. https://apps.who.int/iris/bitstream/handle/10665/350439/WHO-EURO-2013-4439-44202-62417-eng.pdf?sequence=1</w:t>
      </w:r>
    </w:p>
    <w:p w14:paraId="3FEC117D"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(2013). Global action plan for the prevention and control of noncommunicable diseases 2013-2020. Geneva, 2013.</w:t>
      </w:r>
    </w:p>
    <w:p w14:paraId="5E67B74F"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(2018). </w:t>
      </w:r>
      <w:r w:rsidRPr="0051709F">
        <w:rPr>
          <w:rFonts w:asciiTheme="minorHAnsi" w:hAnsiTheme="minorHAnsi" w:cstheme="minorHAnsi"/>
          <w:i/>
          <w:iCs/>
          <w:noProof/>
          <w:sz w:val="24"/>
          <w:szCs w:val="24"/>
        </w:rPr>
        <w:t>Global action plan on physical activity 2018-2030: more active people for a healthier world.</w:t>
      </w:r>
      <w:r w:rsidRPr="0051709F">
        <w:rPr>
          <w:rFonts w:asciiTheme="minorHAnsi" w:hAnsiTheme="minorHAnsi" w:cstheme="minorHAnsi"/>
          <w:noProof/>
          <w:sz w:val="24"/>
          <w:szCs w:val="24"/>
        </w:rPr>
        <w:t xml:space="preserve"> World Health Organization. https://apps.who.int/iris/handle/10665/272722</w:t>
      </w:r>
    </w:p>
    <w:p w14:paraId="4BF035CE"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(2020). </w:t>
      </w:r>
      <w:r w:rsidRPr="0051709F">
        <w:rPr>
          <w:rFonts w:asciiTheme="minorHAnsi" w:eastAsia="Times New Roman" w:hAnsiTheme="minorHAnsi" w:cstheme="minorHAnsi"/>
          <w:i/>
          <w:iCs/>
          <w:sz w:val="24"/>
          <w:szCs w:val="24"/>
        </w:rPr>
        <w:t>WHO guidelines on physical activity and sedentary behaviour.</w:t>
      </w:r>
    </w:p>
    <w:p w14:paraId="594CED16"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 xml:space="preserve">World Health Organization. (2021). </w:t>
      </w:r>
      <w:r w:rsidRPr="0051709F">
        <w:rPr>
          <w:rFonts w:asciiTheme="minorHAnsi" w:hAnsiTheme="minorHAnsi" w:cstheme="minorHAnsi"/>
          <w:i/>
          <w:iCs/>
          <w:noProof/>
          <w:sz w:val="24"/>
          <w:szCs w:val="24"/>
        </w:rPr>
        <w:t>2021 physical activity factsheets for the European Union member dtates in the WHO European region</w:t>
      </w:r>
      <w:r w:rsidRPr="0051709F">
        <w:rPr>
          <w:rFonts w:asciiTheme="minorHAnsi" w:hAnsiTheme="minorHAnsi" w:cstheme="minorHAnsi"/>
          <w:noProof/>
          <w:sz w:val="24"/>
          <w:szCs w:val="24"/>
        </w:rPr>
        <w:t>. WHO Regional Office for Europe.</w:t>
      </w:r>
    </w:p>
    <w:p w14:paraId="7730493E" w14:textId="77777777" w:rsidR="00A65EF6" w:rsidRPr="0051709F" w:rsidRDefault="00A65EF6" w:rsidP="00A65EF6">
      <w:pPr>
        <w:pStyle w:val="Prrafodelista"/>
        <w:widowControl w:val="0"/>
        <w:numPr>
          <w:ilvl w:val="0"/>
          <w:numId w:val="78"/>
        </w:numPr>
        <w:autoSpaceDE w:val="0"/>
        <w:autoSpaceDN w:val="0"/>
        <w:adjustRightInd w:val="0"/>
        <w:jc w:val="both"/>
        <w:rPr>
          <w:rFonts w:asciiTheme="minorHAnsi" w:hAnsiTheme="minorHAnsi" w:cstheme="minorHAnsi"/>
          <w:noProof/>
          <w:sz w:val="24"/>
          <w:szCs w:val="24"/>
        </w:rPr>
      </w:pPr>
      <w:r w:rsidRPr="0051709F">
        <w:rPr>
          <w:rFonts w:asciiTheme="minorHAnsi" w:hAnsiTheme="minorHAnsi" w:cstheme="minorHAnsi"/>
          <w:noProof/>
          <w:sz w:val="24"/>
          <w:szCs w:val="24"/>
        </w:rPr>
        <w:t>World Health Organization (2020)</w:t>
      </w:r>
      <w:r w:rsidRPr="0051709F">
        <w:rPr>
          <w:rFonts w:asciiTheme="minorHAnsi" w:hAnsiTheme="minorHAnsi" w:cstheme="minorHAnsi"/>
          <w:color w:val="000000"/>
          <w:sz w:val="24"/>
          <w:szCs w:val="24"/>
        </w:rPr>
        <w:t>.</w:t>
      </w:r>
      <w:r w:rsidRPr="0051709F">
        <w:rPr>
          <w:rFonts w:asciiTheme="minorHAnsi" w:hAnsiTheme="minorHAnsi" w:cstheme="minorHAnsi"/>
          <w:color w:val="000000" w:themeColor="text1"/>
          <w:sz w:val="24"/>
          <w:szCs w:val="24"/>
          <w:lang w:val="en-GB"/>
        </w:rPr>
        <w:t xml:space="preserve"> </w:t>
      </w:r>
      <w:r w:rsidRPr="0051709F">
        <w:rPr>
          <w:rFonts w:asciiTheme="minorHAnsi" w:hAnsiTheme="minorHAnsi" w:cstheme="minorHAnsi"/>
          <w:color w:val="000000" w:themeColor="text1"/>
          <w:sz w:val="24"/>
          <w:szCs w:val="24"/>
        </w:rPr>
        <w:t xml:space="preserve">The impact of the COVID-19 pandemic on noncommunicable disease resources and services: results of a rapid assessment. Geneva: World Health Organization, </w:t>
      </w:r>
      <w:hyperlink r:id="rId161" w:history="1">
        <w:r w:rsidRPr="0051709F">
          <w:rPr>
            <w:rStyle w:val="Hipervnculo"/>
            <w:rFonts w:asciiTheme="minorHAnsi" w:hAnsiTheme="minorHAnsi" w:cstheme="minorHAnsi"/>
            <w:sz w:val="24"/>
            <w:szCs w:val="24"/>
          </w:rPr>
          <w:t>https://www.who.int/publications/i/item/9789240010291</w:t>
        </w:r>
      </w:hyperlink>
    </w:p>
    <w:p w14:paraId="1276D114"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noProof/>
          <w:sz w:val="24"/>
          <w:szCs w:val="24"/>
          <w:lang w:val="en-US"/>
        </w:rPr>
        <w:t>World Health Organization (2021)</w:t>
      </w:r>
      <w:r w:rsidRPr="0051709F">
        <w:rPr>
          <w:rFonts w:asciiTheme="minorHAnsi" w:hAnsiTheme="minorHAnsi" w:cstheme="minorHAnsi"/>
          <w:color w:val="000000"/>
          <w:sz w:val="24"/>
          <w:szCs w:val="24"/>
          <w:lang w:val="en-US"/>
        </w:rPr>
        <w:t xml:space="preserve">. Saving lives, spending less: the case for investing in noncommunicable diseases. Geneva: World Health Organization, </w:t>
      </w:r>
      <w:hyperlink r:id="rId162" w:history="1">
        <w:r w:rsidRPr="0051709F">
          <w:rPr>
            <w:rStyle w:val="Hipervnculo"/>
            <w:rFonts w:asciiTheme="minorHAnsi" w:eastAsiaTheme="majorEastAsia" w:hAnsiTheme="minorHAnsi" w:cstheme="minorHAnsi"/>
            <w:sz w:val="24"/>
            <w:szCs w:val="24"/>
          </w:rPr>
          <w:t>https://apps.who.int/iris/handle/10665/350449</w:t>
        </w:r>
      </w:hyperlink>
      <w:r w:rsidRPr="0051709F">
        <w:rPr>
          <w:rFonts w:asciiTheme="minorHAnsi" w:hAnsiTheme="minorHAnsi" w:cstheme="minorHAnsi"/>
          <w:color w:val="000000"/>
          <w:sz w:val="24"/>
          <w:szCs w:val="24"/>
          <w:lang w:val="en-US"/>
        </w:rPr>
        <w:t xml:space="preserve">  </w:t>
      </w:r>
    </w:p>
    <w:p w14:paraId="733FA1FD"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(2022a). </w:t>
      </w:r>
      <w:r w:rsidRPr="0051709F">
        <w:rPr>
          <w:rFonts w:asciiTheme="minorHAnsi" w:eastAsia="Times New Roman" w:hAnsiTheme="minorHAnsi" w:cstheme="minorHAnsi"/>
          <w:i/>
          <w:iCs/>
          <w:sz w:val="24"/>
          <w:szCs w:val="24"/>
        </w:rPr>
        <w:t>Global status report on physical activity 2022: country profiles.</w:t>
      </w:r>
    </w:p>
    <w:p w14:paraId="6B3649D0"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(2022b). </w:t>
      </w:r>
      <w:r w:rsidRPr="0051709F">
        <w:rPr>
          <w:rFonts w:asciiTheme="minorHAnsi" w:eastAsia="Times New Roman" w:hAnsiTheme="minorHAnsi" w:cstheme="minorHAnsi"/>
          <w:i/>
          <w:iCs/>
          <w:sz w:val="24"/>
          <w:szCs w:val="24"/>
        </w:rPr>
        <w:t>Physical activity and sedentary behaviour: a brief to support older people</w:t>
      </w:r>
      <w:r w:rsidRPr="0051709F">
        <w:rPr>
          <w:rFonts w:asciiTheme="minorHAnsi" w:eastAsia="Times New Roman" w:hAnsiTheme="minorHAnsi" w:cstheme="minorHAnsi"/>
          <w:sz w:val="24"/>
          <w:szCs w:val="24"/>
        </w:rPr>
        <w:t>.</w:t>
      </w:r>
    </w:p>
    <w:p w14:paraId="1CBAA7C7"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51709F">
        <w:rPr>
          <w:rFonts w:asciiTheme="minorHAnsi" w:eastAsia="Times New Roman" w:hAnsiTheme="minorHAnsi" w:cstheme="minorHAnsi"/>
          <w:sz w:val="24"/>
          <w:szCs w:val="24"/>
        </w:rPr>
        <w:t xml:space="preserve">World Health Organization. (2022c). </w:t>
      </w:r>
      <w:r w:rsidRPr="0051709F">
        <w:rPr>
          <w:rFonts w:asciiTheme="minorHAnsi" w:eastAsia="Times New Roman" w:hAnsiTheme="minorHAnsi" w:cstheme="minorHAnsi"/>
          <w:i/>
          <w:iCs/>
          <w:sz w:val="24"/>
          <w:szCs w:val="24"/>
        </w:rPr>
        <w:t>Physical activity and sedentary behaviour: a brief to support people living with type 2 diabetes</w:t>
      </w:r>
      <w:r w:rsidRPr="0051709F">
        <w:rPr>
          <w:rFonts w:asciiTheme="minorHAnsi" w:eastAsia="Times New Roman" w:hAnsiTheme="minorHAnsi" w:cstheme="minorHAnsi"/>
          <w:sz w:val="24"/>
          <w:szCs w:val="24"/>
        </w:rPr>
        <w:t>.</w:t>
      </w:r>
    </w:p>
    <w:p w14:paraId="3FC33078" w14:textId="77777777" w:rsidR="00A65EF6" w:rsidRPr="0051709F" w:rsidRDefault="00A65EF6" w:rsidP="00A65EF6">
      <w:pPr>
        <w:pStyle w:val="Prrafodelista"/>
        <w:numPr>
          <w:ilvl w:val="0"/>
          <w:numId w:val="78"/>
        </w:numPr>
        <w:autoSpaceDE w:val="0"/>
        <w:autoSpaceDN w:val="0"/>
        <w:jc w:val="both"/>
        <w:rPr>
          <w:rFonts w:asciiTheme="minorHAnsi" w:eastAsia="Times New Roman" w:hAnsiTheme="minorHAnsi" w:cstheme="minorHAnsi"/>
          <w:sz w:val="24"/>
          <w:szCs w:val="24"/>
        </w:rPr>
      </w:pPr>
      <w:r w:rsidRPr="00C13402">
        <w:rPr>
          <w:rFonts w:asciiTheme="minorHAnsi" w:eastAsia="Times New Roman" w:hAnsiTheme="minorHAnsi" w:cstheme="minorHAnsi"/>
          <w:sz w:val="24"/>
          <w:szCs w:val="24"/>
        </w:rPr>
        <w:t xml:space="preserve">Wu, X. Y., Han, L. H., Zhang, J. H., Luo, S., Hu, J. W., &amp; Sun, K. (2017). </w:t>
      </w:r>
      <w:r w:rsidRPr="0051709F">
        <w:rPr>
          <w:rFonts w:asciiTheme="minorHAnsi" w:eastAsia="Times New Roman" w:hAnsiTheme="minorHAnsi" w:cstheme="minorHAnsi"/>
          <w:sz w:val="24"/>
          <w:szCs w:val="24"/>
        </w:rPr>
        <w:t xml:space="preserve">The influence of physical activity, sedentary behavior on health-related quality of life among the general population of children and adolescents: A systematic review. </w:t>
      </w:r>
      <w:r w:rsidRPr="0051709F">
        <w:rPr>
          <w:rFonts w:asciiTheme="minorHAnsi" w:eastAsia="Times New Roman" w:hAnsiTheme="minorHAnsi" w:cstheme="minorHAnsi"/>
          <w:i/>
          <w:iCs/>
          <w:sz w:val="24"/>
          <w:szCs w:val="24"/>
        </w:rPr>
        <w:t>PLoS ONE</w:t>
      </w:r>
      <w:r w:rsidRPr="0051709F">
        <w:rPr>
          <w:rFonts w:asciiTheme="minorHAnsi" w:eastAsia="Times New Roman" w:hAnsiTheme="minorHAnsi" w:cstheme="minorHAnsi"/>
          <w:sz w:val="24"/>
          <w:szCs w:val="24"/>
        </w:rPr>
        <w:t xml:space="preserve">, </w:t>
      </w:r>
      <w:r w:rsidRPr="0051709F">
        <w:rPr>
          <w:rFonts w:asciiTheme="minorHAnsi" w:eastAsia="Times New Roman" w:hAnsiTheme="minorHAnsi" w:cstheme="minorHAnsi"/>
          <w:i/>
          <w:iCs/>
          <w:sz w:val="24"/>
          <w:szCs w:val="24"/>
        </w:rPr>
        <w:t>12</w:t>
      </w:r>
      <w:r w:rsidRPr="0051709F">
        <w:rPr>
          <w:rFonts w:asciiTheme="minorHAnsi" w:eastAsia="Times New Roman" w:hAnsiTheme="minorHAnsi" w:cstheme="minorHAnsi"/>
          <w:sz w:val="24"/>
          <w:szCs w:val="24"/>
        </w:rPr>
        <w:t>(11). https://doi.org/10.1371/journal.pone.0187668</w:t>
      </w:r>
    </w:p>
    <w:p w14:paraId="3E2747C2" w14:textId="77777777" w:rsidR="00A65EF6" w:rsidRPr="0051709F" w:rsidRDefault="00A65EF6" w:rsidP="00A65EF6">
      <w:pPr>
        <w:pStyle w:val="NormalWeb"/>
        <w:numPr>
          <w:ilvl w:val="0"/>
          <w:numId w:val="78"/>
        </w:numPr>
        <w:spacing w:before="0" w:beforeAutospacing="0" w:after="0" w:afterAutospacing="0"/>
        <w:jc w:val="both"/>
        <w:rPr>
          <w:rFonts w:asciiTheme="minorHAnsi" w:hAnsiTheme="minorHAnsi" w:cstheme="minorHAnsi"/>
          <w:color w:val="000000" w:themeColor="text1"/>
          <w:lang w:val="en-US"/>
        </w:rPr>
      </w:pPr>
      <w:r w:rsidRPr="0051709F">
        <w:rPr>
          <w:rFonts w:asciiTheme="minorHAnsi" w:hAnsiTheme="minorHAnsi" w:cstheme="minorHAnsi"/>
          <w:color w:val="000000" w:themeColor="text1"/>
          <w:lang w:val="en-US"/>
        </w:rPr>
        <w:t xml:space="preserve">Young DR, Hivert MF, Alhassan S, et al. Sedentary behavior and cardiovascular mor- bidity and mortality: a science advisory from the American Heart Association. Circulation 2016;134(13):e262-e279. </w:t>
      </w:r>
    </w:p>
    <w:p w14:paraId="03F8A0FE"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sz w:val="24"/>
          <w:szCs w:val="24"/>
          <w:lang w:val="en-US"/>
        </w:rPr>
        <w:lastRenderedPageBreak/>
        <w:t xml:space="preserve">Zask, A., Van Beurden, E., Barnett, L., Brooks, L.O., y Dietrich, U.C. (2001). Active school playgrounds: myth or reality? Results of the “Move it Grove it” project. </w:t>
      </w:r>
      <w:r w:rsidRPr="0051709F">
        <w:rPr>
          <w:rFonts w:asciiTheme="minorHAnsi" w:hAnsiTheme="minorHAnsi" w:cstheme="minorHAnsi"/>
          <w:i/>
          <w:color w:val="000000"/>
          <w:sz w:val="24"/>
          <w:szCs w:val="24"/>
          <w:lang w:val="en-US"/>
        </w:rPr>
        <w:t>Preventive Medicine, 33(</w:t>
      </w:r>
      <w:r w:rsidRPr="0051709F">
        <w:rPr>
          <w:rFonts w:asciiTheme="minorHAnsi" w:hAnsiTheme="minorHAnsi" w:cstheme="minorHAnsi"/>
          <w:color w:val="000000"/>
          <w:sz w:val="24"/>
          <w:szCs w:val="24"/>
          <w:lang w:val="en-US"/>
        </w:rPr>
        <w:t>5), 402-408.</w:t>
      </w:r>
      <w:r w:rsidRPr="0051709F">
        <w:rPr>
          <w:rFonts w:asciiTheme="minorHAnsi" w:hAnsiTheme="minorHAnsi" w:cstheme="minorHAnsi"/>
          <w:sz w:val="24"/>
          <w:szCs w:val="24"/>
        </w:rPr>
        <w:t xml:space="preserve"> </w:t>
      </w:r>
    </w:p>
    <w:p w14:paraId="7444D6A2" w14:textId="77777777" w:rsidR="00A65EF6" w:rsidRPr="0051709F" w:rsidRDefault="00A65EF6" w:rsidP="00A65EF6">
      <w:pPr>
        <w:pStyle w:val="Textonotapie"/>
        <w:numPr>
          <w:ilvl w:val="0"/>
          <w:numId w:val="78"/>
        </w:numPr>
        <w:jc w:val="both"/>
        <w:rPr>
          <w:rFonts w:asciiTheme="minorHAnsi" w:hAnsiTheme="minorHAnsi" w:cstheme="minorHAnsi"/>
          <w:sz w:val="24"/>
          <w:szCs w:val="24"/>
          <w:lang w:val="en-US"/>
        </w:rPr>
      </w:pPr>
      <w:r w:rsidRPr="0051709F">
        <w:rPr>
          <w:rFonts w:asciiTheme="minorHAnsi" w:hAnsiTheme="minorHAnsi" w:cstheme="minorHAnsi"/>
          <w:color w:val="000000"/>
          <w:sz w:val="24"/>
          <w:szCs w:val="24"/>
          <w:lang w:val="en-US"/>
        </w:rPr>
        <w:t xml:space="preserve">Zhou, S., Davison, K., Qin, F., Lin, K. F., Chow, B. C., &amp; Zhao, J. X. (2019). The roles of exercise professionals in the health care system: A comparison between Australia and China. </w:t>
      </w:r>
      <w:r w:rsidRPr="0051709F">
        <w:rPr>
          <w:rFonts w:asciiTheme="minorHAnsi" w:hAnsiTheme="minorHAnsi" w:cstheme="minorHAnsi"/>
          <w:i/>
          <w:color w:val="000000"/>
          <w:sz w:val="24"/>
          <w:szCs w:val="24"/>
          <w:lang w:val="en-US"/>
        </w:rPr>
        <w:t>J Exerc Sci Fit, 17</w:t>
      </w:r>
      <w:r w:rsidRPr="0051709F">
        <w:rPr>
          <w:rFonts w:asciiTheme="minorHAnsi" w:hAnsiTheme="minorHAnsi" w:cstheme="minorHAnsi"/>
          <w:color w:val="000000"/>
          <w:sz w:val="24"/>
          <w:szCs w:val="24"/>
          <w:lang w:val="en-US"/>
        </w:rPr>
        <w:t>(3), 81-90. doi:10.1016/j.jesf.2019.04.001</w:t>
      </w:r>
      <w:r w:rsidRPr="0051709F">
        <w:rPr>
          <w:rFonts w:asciiTheme="minorHAnsi" w:hAnsiTheme="minorHAnsi" w:cstheme="minorHAnsi"/>
          <w:color w:val="000000" w:themeColor="text1"/>
          <w:sz w:val="24"/>
          <w:szCs w:val="24"/>
          <w:lang w:val="en-US"/>
        </w:rPr>
        <w:t xml:space="preserve"> </w:t>
      </w:r>
      <w:r w:rsidRPr="0051709F">
        <w:rPr>
          <w:rFonts w:asciiTheme="minorHAnsi" w:hAnsiTheme="minorHAnsi" w:cstheme="minorHAnsi"/>
          <w:sz w:val="24"/>
          <w:szCs w:val="24"/>
          <w:lang w:val="en-US"/>
        </w:rPr>
        <w:t xml:space="preserve">Zuniga-Teran, A. A., Orr, B. J., Gimblett, R. H., Chalfoun, N. V., Marsh, S. E., Guertin, D. P., &amp; Going, S. B. (2017). Designing healthy communities: Testing the walkability model. </w:t>
      </w:r>
      <w:r w:rsidRPr="0051709F">
        <w:rPr>
          <w:rFonts w:asciiTheme="minorHAnsi" w:hAnsiTheme="minorHAnsi" w:cstheme="minorHAnsi"/>
          <w:i/>
          <w:iCs/>
          <w:sz w:val="24"/>
          <w:szCs w:val="24"/>
          <w:lang w:val="en-US"/>
        </w:rPr>
        <w:t>Frontiers of Architectural Research</w:t>
      </w:r>
      <w:r w:rsidRPr="0051709F">
        <w:rPr>
          <w:rFonts w:asciiTheme="minorHAnsi" w:hAnsiTheme="minorHAnsi" w:cstheme="minorHAnsi"/>
          <w:sz w:val="24"/>
          <w:szCs w:val="24"/>
          <w:lang w:val="en-US"/>
        </w:rPr>
        <w:t xml:space="preserve">, </w:t>
      </w:r>
      <w:r w:rsidRPr="0051709F">
        <w:rPr>
          <w:rFonts w:asciiTheme="minorHAnsi" w:hAnsiTheme="minorHAnsi" w:cstheme="minorHAnsi"/>
          <w:i/>
          <w:iCs/>
          <w:sz w:val="24"/>
          <w:szCs w:val="24"/>
          <w:lang w:val="en-US"/>
        </w:rPr>
        <w:t>6</w:t>
      </w:r>
      <w:r w:rsidRPr="0051709F">
        <w:rPr>
          <w:rFonts w:asciiTheme="minorHAnsi" w:hAnsiTheme="minorHAnsi" w:cstheme="minorHAnsi"/>
          <w:sz w:val="24"/>
          <w:szCs w:val="24"/>
          <w:lang w:val="en-US"/>
        </w:rPr>
        <w:t>(1), 63–73. https://doi.org/10.1016/j.foar.2016.11.005</w:t>
      </w:r>
    </w:p>
    <w:p w14:paraId="0FEB050F" w14:textId="77777777" w:rsidR="00A65EF6" w:rsidRPr="0051709F" w:rsidRDefault="00A65EF6" w:rsidP="00A65EF6">
      <w:pPr>
        <w:pStyle w:val="Bibliografa"/>
        <w:numPr>
          <w:ilvl w:val="0"/>
          <w:numId w:val="78"/>
        </w:numPr>
        <w:jc w:val="both"/>
        <w:rPr>
          <w:rFonts w:asciiTheme="minorHAnsi" w:hAnsiTheme="minorHAnsi" w:cstheme="minorHAnsi"/>
          <w:sz w:val="24"/>
          <w:szCs w:val="24"/>
          <w:lang w:val="en-US"/>
        </w:rPr>
      </w:pPr>
      <w:r w:rsidRPr="0051709F">
        <w:rPr>
          <w:rFonts w:asciiTheme="minorHAnsi" w:hAnsiTheme="minorHAnsi" w:cstheme="minorHAnsi"/>
          <w:sz w:val="24"/>
          <w:szCs w:val="24"/>
          <w:lang w:val="en-US"/>
        </w:rPr>
        <w:t xml:space="preserve">109 Executive Board, World Health Organization, WHOEB. (2002). </w:t>
      </w:r>
      <w:r w:rsidRPr="0051709F">
        <w:rPr>
          <w:rFonts w:asciiTheme="minorHAnsi" w:hAnsiTheme="minorHAnsi" w:cstheme="minorHAnsi"/>
          <w:i/>
          <w:iCs/>
          <w:sz w:val="24"/>
          <w:szCs w:val="24"/>
          <w:lang w:val="en-US"/>
        </w:rPr>
        <w:t>EB 109/14. Executive Board 109th session, Geneva, 14-21 January 2002: Summary records</w:t>
      </w:r>
      <w:r w:rsidRPr="0051709F">
        <w:rPr>
          <w:rFonts w:asciiTheme="minorHAnsi" w:hAnsiTheme="minorHAnsi" w:cstheme="minorHAnsi"/>
          <w:sz w:val="24"/>
          <w:szCs w:val="24"/>
          <w:lang w:val="en-US"/>
        </w:rPr>
        <w:t xml:space="preserve"> (No. EB109/2002/REC/2; pp. 78–83). Geneva: World Health Organization, WHO. Retrieved from World Health Organization, WHO website: https://apps.who.int/iris/handle/10665/259565</w:t>
      </w:r>
      <w:r w:rsidRPr="0051709F">
        <w:rPr>
          <w:rFonts w:asciiTheme="minorHAnsi" w:hAnsiTheme="minorHAnsi" w:cstheme="minorHAnsi"/>
          <w:sz w:val="24"/>
          <w:szCs w:val="24"/>
          <w:lang w:val="en-US"/>
        </w:rPr>
        <w:br w:type="page"/>
      </w:r>
    </w:p>
    <w:p w14:paraId="35CAC256" w14:textId="77777777" w:rsidR="00A65EF6" w:rsidRPr="00C13402" w:rsidRDefault="00A65EF6" w:rsidP="00A65EF6">
      <w:pPr>
        <w:pStyle w:val="Ttulo1"/>
        <w:rPr>
          <w:rFonts w:asciiTheme="minorHAnsi" w:hAnsiTheme="minorHAnsi" w:cstheme="minorHAnsi"/>
          <w:sz w:val="24"/>
          <w:szCs w:val="24"/>
          <w:lang w:val="de-DE"/>
        </w:rPr>
      </w:pPr>
      <w:r w:rsidRPr="0051709F">
        <w:rPr>
          <w:rFonts w:asciiTheme="minorHAnsi" w:hAnsiTheme="minorHAnsi" w:cstheme="minorHAnsi"/>
          <w:sz w:val="24"/>
          <w:szCs w:val="24"/>
        </w:rPr>
        <w:lastRenderedPageBreak/>
        <w:fldChar w:fldCharType="end"/>
      </w:r>
    </w:p>
    <w:p w14:paraId="724E2201" w14:textId="77777777" w:rsidR="00A65EF6" w:rsidRPr="00C13402" w:rsidRDefault="00A65EF6" w:rsidP="00A65EF6">
      <w:pPr>
        <w:pStyle w:val="Ttulo1"/>
        <w:rPr>
          <w:rFonts w:asciiTheme="minorHAnsi" w:hAnsiTheme="minorHAnsi" w:cstheme="minorHAnsi"/>
          <w:sz w:val="24"/>
          <w:szCs w:val="24"/>
          <w:lang w:val="de-DE"/>
        </w:rPr>
      </w:pPr>
    </w:p>
    <w:p w14:paraId="2BDB30A3" w14:textId="77777777" w:rsidR="00A65EF6" w:rsidRPr="00C13402" w:rsidRDefault="00A65EF6" w:rsidP="00A65EF6">
      <w:pPr>
        <w:pStyle w:val="Ttulo1"/>
        <w:rPr>
          <w:rFonts w:asciiTheme="minorHAnsi" w:hAnsiTheme="minorHAnsi" w:cstheme="minorHAnsi"/>
          <w:sz w:val="24"/>
          <w:szCs w:val="24"/>
          <w:lang w:val="de-DE"/>
        </w:rPr>
      </w:pPr>
    </w:p>
    <w:p w14:paraId="0D59B78D" w14:textId="77777777" w:rsidR="00A65EF6" w:rsidRPr="00C13402" w:rsidRDefault="00A65EF6" w:rsidP="00A65EF6">
      <w:pPr>
        <w:pStyle w:val="Ttulo1"/>
        <w:rPr>
          <w:rFonts w:asciiTheme="minorHAnsi" w:hAnsiTheme="minorHAnsi" w:cstheme="minorHAnsi"/>
          <w:sz w:val="24"/>
          <w:szCs w:val="24"/>
          <w:lang w:val="de-DE"/>
        </w:rPr>
      </w:pPr>
    </w:p>
    <w:p w14:paraId="3E7220CF" w14:textId="77777777" w:rsidR="00A65EF6" w:rsidRPr="00C13402" w:rsidRDefault="00A65EF6" w:rsidP="00A65EF6">
      <w:pPr>
        <w:pStyle w:val="Ttulo1"/>
        <w:rPr>
          <w:rFonts w:asciiTheme="minorHAnsi" w:hAnsiTheme="minorHAnsi" w:cstheme="minorHAnsi"/>
          <w:sz w:val="24"/>
          <w:szCs w:val="24"/>
          <w:lang w:val="de-DE"/>
        </w:rPr>
      </w:pPr>
    </w:p>
    <w:p w14:paraId="262E15FD" w14:textId="77777777" w:rsidR="00A65EF6" w:rsidRPr="00C13402" w:rsidRDefault="00A65EF6" w:rsidP="00A65EF6">
      <w:pPr>
        <w:pStyle w:val="Ttulo1"/>
        <w:rPr>
          <w:rFonts w:asciiTheme="minorHAnsi" w:hAnsiTheme="minorHAnsi" w:cstheme="minorHAnsi"/>
          <w:sz w:val="24"/>
          <w:szCs w:val="24"/>
          <w:lang w:val="de-DE"/>
        </w:rPr>
      </w:pPr>
    </w:p>
    <w:p w14:paraId="2CB27429" w14:textId="77777777" w:rsidR="00A65EF6" w:rsidRPr="00C13402" w:rsidRDefault="00A65EF6" w:rsidP="00A65EF6">
      <w:pPr>
        <w:pStyle w:val="Ttulo1"/>
        <w:rPr>
          <w:rFonts w:asciiTheme="minorHAnsi" w:hAnsiTheme="minorHAnsi" w:cstheme="minorHAnsi"/>
          <w:sz w:val="24"/>
          <w:szCs w:val="24"/>
          <w:lang w:val="de-DE"/>
        </w:rPr>
      </w:pPr>
    </w:p>
    <w:p w14:paraId="2584837B" w14:textId="77777777" w:rsidR="00A65EF6" w:rsidRPr="00C13402" w:rsidRDefault="00A65EF6" w:rsidP="00A65EF6">
      <w:pPr>
        <w:pStyle w:val="Ttulo1"/>
        <w:rPr>
          <w:rFonts w:asciiTheme="minorHAnsi" w:hAnsiTheme="minorHAnsi" w:cstheme="minorHAnsi"/>
          <w:sz w:val="24"/>
          <w:szCs w:val="24"/>
          <w:lang w:val="de-DE"/>
        </w:rPr>
      </w:pPr>
    </w:p>
    <w:p w14:paraId="1E57E73A" w14:textId="77777777" w:rsidR="00A65EF6" w:rsidRPr="00C13402" w:rsidRDefault="00A65EF6" w:rsidP="00A65EF6">
      <w:pPr>
        <w:pStyle w:val="Ttulo1"/>
        <w:rPr>
          <w:rFonts w:asciiTheme="minorHAnsi" w:hAnsiTheme="minorHAnsi" w:cstheme="minorHAnsi"/>
          <w:sz w:val="24"/>
          <w:szCs w:val="24"/>
          <w:lang w:val="de-DE"/>
        </w:rPr>
      </w:pPr>
    </w:p>
    <w:p w14:paraId="34EBEA61" w14:textId="77777777" w:rsidR="00A65EF6" w:rsidRPr="00C13402" w:rsidRDefault="00A65EF6" w:rsidP="00A65EF6">
      <w:pPr>
        <w:pStyle w:val="Ttulo1"/>
        <w:rPr>
          <w:rFonts w:asciiTheme="minorHAnsi" w:hAnsiTheme="minorHAnsi" w:cstheme="minorHAnsi"/>
          <w:sz w:val="24"/>
          <w:szCs w:val="24"/>
          <w:lang w:val="de-DE"/>
        </w:rPr>
      </w:pPr>
    </w:p>
    <w:p w14:paraId="52C2ECAC" w14:textId="77777777" w:rsidR="00A65EF6" w:rsidRPr="00C13402" w:rsidRDefault="00A65EF6" w:rsidP="00A65EF6">
      <w:pPr>
        <w:pStyle w:val="Ttulo1"/>
        <w:rPr>
          <w:rFonts w:asciiTheme="minorHAnsi" w:hAnsiTheme="minorHAnsi" w:cstheme="minorHAnsi"/>
          <w:sz w:val="24"/>
          <w:szCs w:val="24"/>
          <w:lang w:val="de-DE"/>
        </w:rPr>
      </w:pPr>
    </w:p>
    <w:p w14:paraId="2A9BD42A" w14:textId="77777777" w:rsidR="00A65EF6" w:rsidRPr="00C13402" w:rsidRDefault="00A65EF6" w:rsidP="00A65EF6">
      <w:pPr>
        <w:pStyle w:val="Ttulo1"/>
        <w:rPr>
          <w:rFonts w:asciiTheme="minorHAnsi" w:hAnsiTheme="minorHAnsi" w:cstheme="minorHAnsi"/>
          <w:sz w:val="24"/>
          <w:szCs w:val="24"/>
          <w:lang w:val="de-DE"/>
        </w:rPr>
      </w:pPr>
    </w:p>
    <w:p w14:paraId="70138748" w14:textId="77777777" w:rsidR="00A65EF6" w:rsidRPr="00C13402" w:rsidRDefault="00A65EF6" w:rsidP="00A65EF6">
      <w:pPr>
        <w:pStyle w:val="Ttulo1"/>
        <w:rPr>
          <w:rFonts w:asciiTheme="minorHAnsi" w:hAnsiTheme="minorHAnsi" w:cstheme="minorHAnsi"/>
          <w:sz w:val="24"/>
          <w:szCs w:val="24"/>
          <w:lang w:val="de-DE"/>
        </w:rPr>
      </w:pPr>
    </w:p>
    <w:p w14:paraId="1E7B9395" w14:textId="77777777" w:rsidR="00A65EF6" w:rsidRPr="00C13402" w:rsidRDefault="00A65EF6" w:rsidP="00A65EF6">
      <w:pPr>
        <w:pStyle w:val="Ttulo1"/>
        <w:rPr>
          <w:rFonts w:asciiTheme="minorHAnsi" w:hAnsiTheme="minorHAnsi" w:cstheme="minorHAnsi"/>
          <w:sz w:val="24"/>
          <w:szCs w:val="24"/>
          <w:lang w:val="de-DE"/>
        </w:rPr>
      </w:pPr>
    </w:p>
    <w:p w14:paraId="025817C5" w14:textId="4F338334" w:rsidR="00A65EF6" w:rsidRDefault="00A65EF6" w:rsidP="00A65EF6">
      <w:pPr>
        <w:pStyle w:val="Ttulo1"/>
        <w:jc w:val="right"/>
        <w:rPr>
          <w:rFonts w:asciiTheme="minorHAnsi" w:hAnsiTheme="minorHAnsi" w:cstheme="minorHAnsi"/>
        </w:rPr>
      </w:pPr>
      <w:r w:rsidRPr="00A65EF6">
        <w:rPr>
          <w:rFonts w:asciiTheme="minorHAnsi" w:hAnsiTheme="minorHAnsi" w:cstheme="minorHAnsi"/>
        </w:rPr>
        <w:t xml:space="preserve">Anexo </w:t>
      </w:r>
      <w:r w:rsidR="0085322A">
        <w:rPr>
          <w:rFonts w:asciiTheme="minorHAnsi" w:hAnsiTheme="minorHAnsi" w:cstheme="minorHAnsi"/>
        </w:rPr>
        <w:t>2</w:t>
      </w:r>
      <w:r w:rsidRPr="00A65EF6">
        <w:rPr>
          <w:rFonts w:asciiTheme="minorHAnsi" w:hAnsiTheme="minorHAnsi" w:cstheme="minorHAnsi"/>
        </w:rPr>
        <w:t xml:space="preserve">: </w:t>
      </w:r>
    </w:p>
    <w:p w14:paraId="44233CA6" w14:textId="77777777" w:rsidR="00A65EF6" w:rsidRDefault="00A65EF6" w:rsidP="00A65EF6">
      <w:pPr>
        <w:pStyle w:val="Ttulo1"/>
        <w:jc w:val="right"/>
        <w:rPr>
          <w:rFonts w:asciiTheme="minorHAnsi" w:hAnsiTheme="minorHAnsi" w:cstheme="minorHAnsi"/>
        </w:rPr>
      </w:pPr>
      <w:r w:rsidRPr="00A65EF6">
        <w:rPr>
          <w:rFonts w:asciiTheme="minorHAnsi" w:hAnsiTheme="minorHAnsi" w:cstheme="minorHAnsi"/>
        </w:rPr>
        <w:t xml:space="preserve">Repositorio de buenas prácticas </w:t>
      </w:r>
    </w:p>
    <w:p w14:paraId="462DBBD5" w14:textId="089480F0" w:rsidR="00A65EF6" w:rsidRPr="00A65EF6" w:rsidRDefault="00A65EF6" w:rsidP="00A65EF6">
      <w:pPr>
        <w:pStyle w:val="Ttulo1"/>
        <w:jc w:val="right"/>
        <w:rPr>
          <w:rFonts w:asciiTheme="minorHAnsi" w:hAnsiTheme="minorHAnsi" w:cstheme="minorHAnsi"/>
        </w:rPr>
      </w:pPr>
      <w:r w:rsidRPr="00A65EF6">
        <w:rPr>
          <w:rFonts w:asciiTheme="minorHAnsi" w:hAnsiTheme="minorHAnsi" w:cstheme="minorHAnsi"/>
        </w:rPr>
        <w:t>desarrolladas en España</w:t>
      </w:r>
    </w:p>
    <w:p w14:paraId="2B10D221" w14:textId="77777777" w:rsidR="00A65EF6" w:rsidRDefault="00A65EF6" w:rsidP="0032285C">
      <w:pPr>
        <w:pStyle w:val="Ttulo1"/>
        <w:rPr>
          <w:rFonts w:asciiTheme="minorHAnsi" w:hAnsiTheme="minorHAnsi" w:cstheme="minorHAnsi"/>
          <w:sz w:val="24"/>
          <w:szCs w:val="24"/>
        </w:rPr>
      </w:pPr>
    </w:p>
    <w:p w14:paraId="0287AEC5" w14:textId="77777777" w:rsidR="00A65EF6" w:rsidRDefault="00A65EF6" w:rsidP="00A65EF6"/>
    <w:p w14:paraId="583BF065" w14:textId="77777777" w:rsidR="00A65EF6" w:rsidRDefault="00A65EF6" w:rsidP="00A65EF6"/>
    <w:p w14:paraId="32FEAE90" w14:textId="77777777" w:rsidR="00A65EF6" w:rsidRDefault="00A65EF6" w:rsidP="00A65EF6"/>
    <w:p w14:paraId="72CB9B11" w14:textId="77777777" w:rsidR="00A65EF6" w:rsidRDefault="00A65EF6" w:rsidP="00A65EF6"/>
    <w:p w14:paraId="529C1A9C" w14:textId="77777777" w:rsidR="00A65EF6" w:rsidRDefault="00A65EF6" w:rsidP="00A65EF6"/>
    <w:p w14:paraId="5CE0EA25" w14:textId="77777777" w:rsidR="00A65EF6" w:rsidRDefault="00A65EF6" w:rsidP="00A65EF6"/>
    <w:p w14:paraId="3C06DC5A" w14:textId="77777777" w:rsidR="00A65EF6" w:rsidRDefault="00A65EF6" w:rsidP="00A65EF6"/>
    <w:p w14:paraId="33EBE06E" w14:textId="77777777" w:rsidR="00A65EF6" w:rsidRDefault="00A65EF6" w:rsidP="00A65EF6"/>
    <w:p w14:paraId="59297DF4" w14:textId="77777777" w:rsidR="00A65EF6" w:rsidRDefault="00A65EF6" w:rsidP="00A65EF6"/>
    <w:p w14:paraId="37D8E549" w14:textId="77777777" w:rsidR="00A65EF6" w:rsidRDefault="00A65EF6" w:rsidP="00A65EF6"/>
    <w:p w14:paraId="51A4783F" w14:textId="77777777" w:rsidR="00A65EF6" w:rsidRDefault="00A65EF6" w:rsidP="00A65EF6"/>
    <w:p w14:paraId="50E94061" w14:textId="77777777" w:rsidR="00A65EF6" w:rsidRDefault="00A65EF6" w:rsidP="00A65EF6"/>
    <w:p w14:paraId="7FE44A43" w14:textId="77777777" w:rsidR="00A65EF6" w:rsidRDefault="00A65EF6" w:rsidP="00A65EF6"/>
    <w:p w14:paraId="0869676B" w14:textId="77777777" w:rsidR="00A65EF6" w:rsidRPr="00A65EF6" w:rsidRDefault="00A65EF6" w:rsidP="00A65EF6"/>
    <w:p w14:paraId="7FF133F6" w14:textId="77777777" w:rsidR="00A65EF6" w:rsidRDefault="00A65EF6" w:rsidP="0032285C">
      <w:pPr>
        <w:pStyle w:val="Ttulo1"/>
        <w:rPr>
          <w:rFonts w:asciiTheme="minorHAnsi" w:hAnsiTheme="minorHAnsi" w:cstheme="minorHAnsi"/>
          <w:sz w:val="28"/>
          <w:szCs w:val="28"/>
        </w:rPr>
      </w:pPr>
    </w:p>
    <w:p w14:paraId="55809AD4" w14:textId="75BC0B84" w:rsidR="001276B4" w:rsidRPr="00A65EF6" w:rsidRDefault="001276B4" w:rsidP="0032285C">
      <w:pPr>
        <w:pStyle w:val="Ttulo1"/>
        <w:rPr>
          <w:rFonts w:asciiTheme="minorHAnsi" w:hAnsiTheme="minorHAnsi" w:cstheme="minorHAnsi"/>
          <w:sz w:val="28"/>
          <w:szCs w:val="28"/>
        </w:rPr>
      </w:pPr>
      <w:r w:rsidRPr="00A65EF6">
        <w:rPr>
          <w:rFonts w:asciiTheme="minorHAnsi" w:hAnsiTheme="minorHAnsi" w:cstheme="minorHAnsi"/>
          <w:sz w:val="28"/>
          <w:szCs w:val="28"/>
        </w:rPr>
        <w:t xml:space="preserve">Anexo </w:t>
      </w:r>
      <w:r w:rsidR="0085322A">
        <w:rPr>
          <w:rFonts w:asciiTheme="minorHAnsi" w:hAnsiTheme="minorHAnsi" w:cstheme="minorHAnsi"/>
          <w:sz w:val="28"/>
          <w:szCs w:val="28"/>
        </w:rPr>
        <w:t>2</w:t>
      </w:r>
      <w:r w:rsidRPr="00A65EF6">
        <w:rPr>
          <w:rFonts w:asciiTheme="minorHAnsi" w:hAnsiTheme="minorHAnsi" w:cstheme="minorHAnsi"/>
          <w:sz w:val="28"/>
          <w:szCs w:val="28"/>
        </w:rPr>
        <w:t>: Repositorio de buenas pr</w:t>
      </w:r>
      <w:r w:rsidR="0032285C" w:rsidRPr="00A65EF6">
        <w:rPr>
          <w:rFonts w:asciiTheme="minorHAnsi" w:hAnsiTheme="minorHAnsi" w:cstheme="minorHAnsi"/>
          <w:sz w:val="28"/>
          <w:szCs w:val="28"/>
        </w:rPr>
        <w:t>ácticas desarrolladas en España</w:t>
      </w:r>
    </w:p>
    <w:p w14:paraId="6A1120BE" w14:textId="77777777" w:rsidR="00E055DA" w:rsidRPr="0051709F" w:rsidRDefault="00E055DA" w:rsidP="001276B4">
      <w:pPr>
        <w:rPr>
          <w:rFonts w:cstheme="minorHAnsi"/>
          <w:color w:val="000000" w:themeColor="text1"/>
          <w:lang w:val="es-ES_tradnl"/>
        </w:rPr>
      </w:pPr>
    </w:p>
    <w:p w14:paraId="6373FD97" w14:textId="77777777" w:rsidR="00433BD9" w:rsidRPr="0051709F" w:rsidRDefault="00433BD9" w:rsidP="0032285C">
      <w:pPr>
        <w:pStyle w:val="Ttulo2"/>
        <w:numPr>
          <w:ilvl w:val="0"/>
          <w:numId w:val="0"/>
        </w:numPr>
        <w:rPr>
          <w:rFonts w:asciiTheme="minorHAnsi" w:hAnsiTheme="minorHAnsi" w:cstheme="minorHAnsi"/>
          <w:sz w:val="24"/>
          <w:szCs w:val="24"/>
          <w:lang w:val="es-ES"/>
        </w:rPr>
      </w:pPr>
      <w:r w:rsidRPr="0051709F">
        <w:rPr>
          <w:rFonts w:asciiTheme="minorHAnsi" w:hAnsiTheme="minorHAnsi" w:cstheme="minorHAnsi"/>
          <w:sz w:val="24"/>
          <w:szCs w:val="24"/>
          <w:lang w:val="es-ES"/>
        </w:rPr>
        <w:t>Área Intervención en el ámbito de la Salud</w:t>
      </w:r>
    </w:p>
    <w:p w14:paraId="73D46EEE" w14:textId="77777777" w:rsidR="00433BD9" w:rsidRPr="0051709F" w:rsidRDefault="00433BD9" w:rsidP="00433BD9">
      <w:pPr>
        <w:rPr>
          <w:rFonts w:cstheme="minorHAnsi"/>
          <w:b/>
          <w:bCs/>
          <w:color w:val="1F4E79" w:themeColor="accent5" w:themeShade="80"/>
          <w:lang w:val="es-ES_tradnl"/>
        </w:rPr>
      </w:pPr>
    </w:p>
    <w:p w14:paraId="37B0A1F0" w14:textId="77777777" w:rsidR="00433BD9" w:rsidRPr="0051709F" w:rsidRDefault="00433BD9" w:rsidP="00433BD9">
      <w:pPr>
        <w:spacing w:after="160" w:line="259" w:lineRule="auto"/>
        <w:rPr>
          <w:rFonts w:eastAsia="Calibri" w:cstheme="minorHAnsi"/>
          <w:b/>
          <w:bCs/>
        </w:rPr>
      </w:pPr>
      <w:r w:rsidRPr="0051709F">
        <w:rPr>
          <w:rFonts w:eastAsia="Calibri" w:cstheme="minorHAnsi"/>
          <w:b/>
          <w:bCs/>
        </w:rPr>
        <w:t>Guías de implementación de ejercicio físico en patologías:</w:t>
      </w:r>
    </w:p>
    <w:p w14:paraId="0E41493C" w14:textId="77777777" w:rsidR="00433BD9" w:rsidRPr="0051709F" w:rsidRDefault="00433BD9" w:rsidP="00E6399B">
      <w:pPr>
        <w:numPr>
          <w:ilvl w:val="0"/>
          <w:numId w:val="91"/>
        </w:numPr>
        <w:spacing w:after="160" w:line="259" w:lineRule="auto"/>
        <w:contextualSpacing/>
        <w:jc w:val="both"/>
        <w:rPr>
          <w:rFonts w:eastAsia="Calibri" w:cstheme="minorHAnsi"/>
        </w:rPr>
      </w:pPr>
      <w:proofErr w:type="spellStart"/>
      <w:r w:rsidRPr="0051709F">
        <w:rPr>
          <w:rFonts w:eastAsia="Calibri" w:cstheme="minorHAnsi"/>
          <w:b/>
          <w:bCs/>
          <w:u w:val="single"/>
        </w:rPr>
        <w:t>Cancér</w:t>
      </w:r>
      <w:proofErr w:type="spellEnd"/>
      <w:r w:rsidRPr="0051709F">
        <w:rPr>
          <w:rFonts w:eastAsia="Calibri" w:cstheme="minorHAnsi"/>
          <w:b/>
          <w:bCs/>
          <w:u w:val="single"/>
        </w:rPr>
        <w:t xml:space="preserve"> pediátrico:</w:t>
      </w:r>
      <w:r w:rsidRPr="0051709F">
        <w:rPr>
          <w:rFonts w:eastAsia="Calibri" w:cstheme="minorHAnsi"/>
        </w:rPr>
        <w:t xml:space="preserve"> Fundación </w:t>
      </w:r>
      <w:proofErr w:type="spellStart"/>
      <w:r w:rsidRPr="0051709F">
        <w:rPr>
          <w:rFonts w:eastAsia="Calibri" w:cstheme="minorHAnsi"/>
        </w:rPr>
        <w:t>Aladina</w:t>
      </w:r>
      <w:proofErr w:type="spellEnd"/>
      <w:r w:rsidRPr="0051709F">
        <w:rPr>
          <w:rFonts w:eastAsia="Calibri" w:cstheme="minorHAnsi"/>
        </w:rPr>
        <w:t xml:space="preserve"> (Hospital Niño Jesús), Gregorio Marañón y 12 de Octubre. https://aladina.org/apoyo-emocional/programa-de-ejercicio-fisico/</w:t>
      </w:r>
    </w:p>
    <w:p w14:paraId="79A33C7D" w14:textId="77777777" w:rsidR="00433BD9" w:rsidRPr="0051709F" w:rsidRDefault="00433BD9" w:rsidP="00E6399B">
      <w:pPr>
        <w:numPr>
          <w:ilvl w:val="0"/>
          <w:numId w:val="91"/>
        </w:numPr>
        <w:spacing w:after="160" w:line="259" w:lineRule="auto"/>
        <w:contextualSpacing/>
        <w:jc w:val="both"/>
        <w:rPr>
          <w:rFonts w:eastAsia="Calibri" w:cstheme="minorHAnsi"/>
        </w:rPr>
      </w:pPr>
      <w:proofErr w:type="spellStart"/>
      <w:r w:rsidRPr="0051709F">
        <w:rPr>
          <w:rFonts w:eastAsia="Calibri" w:cstheme="minorHAnsi"/>
        </w:rPr>
        <w:t>Cancér</w:t>
      </w:r>
      <w:proofErr w:type="spellEnd"/>
      <w:r w:rsidRPr="0051709F">
        <w:rPr>
          <w:rFonts w:eastAsia="Calibri" w:cstheme="minorHAnsi"/>
        </w:rPr>
        <w:t xml:space="preserve"> pediátrico: Programa </w:t>
      </w:r>
      <w:proofErr w:type="spellStart"/>
      <w:r w:rsidRPr="0051709F">
        <w:rPr>
          <w:rFonts w:eastAsia="Calibri" w:cstheme="minorHAnsi"/>
        </w:rPr>
        <w:t>VenCE</w:t>
      </w:r>
      <w:proofErr w:type="spellEnd"/>
      <w:r w:rsidRPr="0051709F">
        <w:rPr>
          <w:rFonts w:eastAsia="Calibri" w:cstheme="minorHAnsi"/>
        </w:rPr>
        <w:t>, de la Fundación Universidad Europea.  https://universidadeuropea.com/noticias/vence-al-cancer-en-la-universidad-europea/</w:t>
      </w:r>
    </w:p>
    <w:p w14:paraId="0654825F"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Cáncer y ejercicio</w:t>
      </w:r>
      <w:r w:rsidRPr="0051709F">
        <w:rPr>
          <w:rFonts w:eastAsia="Calibri" w:cstheme="minorHAnsi"/>
        </w:rPr>
        <w:t>: Dr. Soraya Casla (</w:t>
      </w:r>
      <w:hyperlink r:id="rId163">
        <w:r w:rsidRPr="0051709F">
          <w:rPr>
            <w:rFonts w:eastAsia="Calibri" w:cstheme="minorHAnsi"/>
            <w:u w:val="single"/>
          </w:rPr>
          <w:t>https://ejercicioycancer.es</w:t>
        </w:r>
      </w:hyperlink>
      <w:r w:rsidRPr="0051709F">
        <w:rPr>
          <w:rFonts w:eastAsia="Calibri" w:cstheme="minorHAnsi"/>
        </w:rPr>
        <w:t xml:space="preserve">). </w:t>
      </w:r>
    </w:p>
    <w:p w14:paraId="731A2CD5"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Fragilidad</w:t>
      </w:r>
      <w:r w:rsidRPr="0051709F">
        <w:rPr>
          <w:rFonts w:eastAsia="Calibri" w:cstheme="minorHAnsi"/>
        </w:rPr>
        <w:t>: Hospital Virgen del Valle de Toledo (impulsado desde el Grupo GENUD Toledo) y, el programa VIVIFRAIL (</w:t>
      </w:r>
      <w:hyperlink r:id="rId164">
        <w:r w:rsidRPr="0051709F">
          <w:rPr>
            <w:rFonts w:eastAsia="Calibri" w:cstheme="minorHAnsi"/>
            <w:u w:val="single"/>
          </w:rPr>
          <w:t>https://vivifrail.com/es/inicio/</w:t>
        </w:r>
      </w:hyperlink>
      <w:r w:rsidRPr="0051709F">
        <w:rPr>
          <w:rFonts w:eastAsia="Calibri" w:cstheme="minorHAnsi"/>
        </w:rPr>
        <w:t xml:space="preserve">) del investigador Dr. Mikel Izquierdo. </w:t>
      </w:r>
    </w:p>
    <w:p w14:paraId="4E36DBAB"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Depresión</w:t>
      </w:r>
      <w:r w:rsidRPr="0051709F">
        <w:rPr>
          <w:rFonts w:eastAsia="Calibri" w:cstheme="minorHAnsi"/>
        </w:rPr>
        <w:t xml:space="preserve">: Red de Salud Mental de Araba, proyecto impulsado por la Dr. Sara Maldonado. </w:t>
      </w:r>
      <w:r w:rsidRPr="0051709F">
        <w:rPr>
          <w:rFonts w:eastAsia="Calibri" w:cstheme="minorHAnsi"/>
          <w:lang w:val="en-GB"/>
        </w:rPr>
        <w:t>Tous-</w:t>
      </w:r>
      <w:proofErr w:type="spellStart"/>
      <w:r w:rsidRPr="0051709F">
        <w:rPr>
          <w:rFonts w:eastAsia="Calibri" w:cstheme="minorHAnsi"/>
          <w:lang w:val="en-GB"/>
        </w:rPr>
        <w:t>Espelosin</w:t>
      </w:r>
      <w:proofErr w:type="spellEnd"/>
      <w:r w:rsidRPr="0051709F">
        <w:rPr>
          <w:rFonts w:eastAsia="Calibri" w:cstheme="minorHAnsi"/>
          <w:lang w:val="en-GB"/>
        </w:rPr>
        <w:t xml:space="preserve"> M, de Azua SR, Iriarte-</w:t>
      </w:r>
      <w:proofErr w:type="spellStart"/>
      <w:r w:rsidRPr="0051709F">
        <w:rPr>
          <w:rFonts w:eastAsia="Calibri" w:cstheme="minorHAnsi"/>
          <w:lang w:val="en-GB"/>
        </w:rPr>
        <w:t>Yoller</w:t>
      </w:r>
      <w:proofErr w:type="spellEnd"/>
      <w:r w:rsidRPr="0051709F">
        <w:rPr>
          <w:rFonts w:eastAsia="Calibri" w:cstheme="minorHAnsi"/>
          <w:lang w:val="en-GB"/>
        </w:rPr>
        <w:t xml:space="preserve"> N, </w:t>
      </w:r>
      <w:proofErr w:type="spellStart"/>
      <w:r w:rsidRPr="0051709F">
        <w:rPr>
          <w:rFonts w:eastAsia="Calibri" w:cstheme="minorHAnsi"/>
          <w:lang w:val="en-GB"/>
        </w:rPr>
        <w:t>MartínezAguirre-Betolaza</w:t>
      </w:r>
      <w:proofErr w:type="spellEnd"/>
      <w:r w:rsidRPr="0051709F">
        <w:rPr>
          <w:rFonts w:eastAsia="Calibri" w:cstheme="minorHAnsi"/>
          <w:lang w:val="en-GB"/>
        </w:rPr>
        <w:t xml:space="preserve"> A, Sanchez PM, Corres P, </w:t>
      </w:r>
      <w:proofErr w:type="spellStart"/>
      <w:r w:rsidRPr="0051709F">
        <w:rPr>
          <w:rFonts w:eastAsia="Calibri" w:cstheme="minorHAnsi"/>
          <w:lang w:val="en-GB"/>
        </w:rPr>
        <w:t>Arratibel-Imaz</w:t>
      </w:r>
      <w:proofErr w:type="spellEnd"/>
      <w:r w:rsidRPr="0051709F">
        <w:rPr>
          <w:rFonts w:eastAsia="Calibri" w:cstheme="minorHAnsi"/>
          <w:lang w:val="en-GB"/>
        </w:rPr>
        <w:t xml:space="preserve"> I, Sampedro A, Peña J, Maldonado-Martín S. Clinical, physical, physiological, and cardiovascular risk patterns of adults with schizophrenia: CORTEX-SP study: Characterization of adults with schizophrenia. </w:t>
      </w:r>
      <w:proofErr w:type="spellStart"/>
      <w:r w:rsidRPr="0051709F">
        <w:rPr>
          <w:rFonts w:eastAsia="Calibri" w:cstheme="minorHAnsi"/>
        </w:rPr>
        <w:t>Psychiatry</w:t>
      </w:r>
      <w:proofErr w:type="spellEnd"/>
      <w:r w:rsidRPr="0051709F">
        <w:rPr>
          <w:rFonts w:eastAsia="Calibri" w:cstheme="minorHAnsi"/>
        </w:rPr>
        <w:t xml:space="preserve"> Res. 2021 </w:t>
      </w:r>
      <w:proofErr w:type="gramStart"/>
      <w:r w:rsidRPr="0051709F">
        <w:rPr>
          <w:rFonts w:eastAsia="Calibri" w:cstheme="minorHAnsi"/>
        </w:rPr>
        <w:t>Jan;295:113580</w:t>
      </w:r>
      <w:proofErr w:type="gramEnd"/>
      <w:r w:rsidRPr="0051709F">
        <w:rPr>
          <w:rFonts w:eastAsia="Calibri" w:cstheme="minorHAnsi"/>
        </w:rPr>
        <w:t xml:space="preserve">. </w:t>
      </w:r>
      <w:proofErr w:type="spellStart"/>
      <w:r w:rsidRPr="0051709F">
        <w:rPr>
          <w:rFonts w:eastAsia="Calibri" w:cstheme="minorHAnsi"/>
        </w:rPr>
        <w:t>doi</w:t>
      </w:r>
      <w:proofErr w:type="spellEnd"/>
      <w:r w:rsidRPr="0051709F">
        <w:rPr>
          <w:rFonts w:eastAsia="Calibri" w:cstheme="minorHAnsi"/>
        </w:rPr>
        <w:t>: 10.1016/j.psychres.2020.113580.</w:t>
      </w:r>
    </w:p>
    <w:p w14:paraId="2996055E"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Diabetes</w:t>
      </w:r>
      <w:r w:rsidRPr="0051709F">
        <w:rPr>
          <w:rFonts w:eastAsia="Calibri" w:cstheme="minorHAnsi"/>
        </w:rPr>
        <w:t xml:space="preserve"> “Guía RECORD": Sociedad Española de Endocrinología y Nutrición / </w:t>
      </w:r>
      <w:hyperlink r:id="rId165">
        <w:r w:rsidRPr="0051709F">
          <w:rPr>
            <w:rFonts w:eastAsia="Calibri" w:cstheme="minorHAnsi"/>
            <w:u w:val="single"/>
          </w:rPr>
          <w:t>https://www.seen.es/portal/informacion-sobre-enfermedades/diabetes/guia-record-diabetes-mellitus-2021</w:t>
        </w:r>
      </w:hyperlink>
      <w:r w:rsidRPr="0051709F">
        <w:rPr>
          <w:rFonts w:eastAsia="Calibri" w:cstheme="minorHAnsi"/>
        </w:rPr>
        <w:t xml:space="preserve">). </w:t>
      </w:r>
    </w:p>
    <w:p w14:paraId="7B589D3E"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Diabetes tipo 2</w:t>
      </w:r>
      <w:r w:rsidRPr="0051709F">
        <w:rPr>
          <w:rFonts w:eastAsia="Calibri" w:cstheme="minorHAnsi"/>
        </w:rPr>
        <w:t>. infografía y videos formativos de ejercicio físico en adultos mayores, impulsado por el grupo GENUD de Toledo y avalado por la Sociedad Española de Diabetes (</w:t>
      </w:r>
      <w:hyperlink r:id="rId166">
        <w:r w:rsidRPr="0051709F">
          <w:rPr>
            <w:rFonts w:eastAsia="Calibri" w:cstheme="minorHAnsi"/>
            <w:u w:val="single"/>
          </w:rPr>
          <w:t>https://www.sediabetes.org/pacientes/materiales/comenzando-a-vivir-con-diabetes-tipo-2/</w:t>
        </w:r>
      </w:hyperlink>
      <w:r w:rsidRPr="0051709F">
        <w:rPr>
          <w:rFonts w:eastAsia="Calibri" w:cstheme="minorHAnsi"/>
        </w:rPr>
        <w:t xml:space="preserve">). </w:t>
      </w:r>
    </w:p>
    <w:p w14:paraId="11955946"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Riesgo cardiovascular</w:t>
      </w:r>
      <w:r w:rsidRPr="0051709F">
        <w:rPr>
          <w:rFonts w:eastAsia="Calibri" w:cstheme="minorHAnsi"/>
        </w:rPr>
        <w:t>: Sociedad Española de Hipertensión(https://www.seh-lelha.org/wp-content/uploads/2017/03/GuiaEjercicioRCV.pdf).</w:t>
      </w:r>
    </w:p>
    <w:p w14:paraId="298E8EC0" w14:textId="77777777" w:rsidR="00433BD9" w:rsidRPr="0051709F" w:rsidRDefault="00433BD9" w:rsidP="00E6399B">
      <w:pPr>
        <w:numPr>
          <w:ilvl w:val="0"/>
          <w:numId w:val="91"/>
        </w:numPr>
        <w:spacing w:after="160" w:line="259" w:lineRule="auto"/>
        <w:contextualSpacing/>
        <w:rPr>
          <w:rFonts w:eastAsia="Calibri" w:cstheme="minorHAnsi"/>
        </w:rPr>
      </w:pPr>
      <w:r w:rsidRPr="0051709F">
        <w:rPr>
          <w:rFonts w:eastAsia="Calibri" w:cstheme="minorHAnsi"/>
          <w:b/>
          <w:bCs/>
          <w:u w:val="single"/>
        </w:rPr>
        <w:t>Enfermedad Pulmonar Obstructiva Crónica</w:t>
      </w:r>
      <w:r w:rsidRPr="0051709F">
        <w:rPr>
          <w:rFonts w:eastAsia="Calibri" w:cstheme="minorHAnsi"/>
        </w:rPr>
        <w:t xml:space="preserve"> (</w:t>
      </w:r>
      <w:hyperlink r:id="rId167">
        <w:r w:rsidRPr="0051709F">
          <w:rPr>
            <w:rFonts w:eastAsia="Calibri" w:cstheme="minorHAnsi"/>
            <w:u w:val="single"/>
          </w:rPr>
          <w:t>https://sielbleu.es/ejercicios-para-pacientes-con-epoc-video-ejercicios/</w:t>
        </w:r>
      </w:hyperlink>
      <w:r w:rsidRPr="0051709F">
        <w:rPr>
          <w:rFonts w:eastAsia="Calibri" w:cstheme="minorHAnsi"/>
        </w:rPr>
        <w:t>).</w:t>
      </w:r>
    </w:p>
    <w:p w14:paraId="5D0717B1"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Riesgo cardiovascular</w:t>
      </w:r>
      <w:r w:rsidRPr="0051709F">
        <w:rPr>
          <w:rFonts w:eastAsia="Calibri" w:cstheme="minorHAnsi"/>
        </w:rPr>
        <w:t>: Sociedad Española de Hipertensión(https://www.seh-lelha.org/wp-content/uploads/2017/03/GuiaEjercicioRCV.pdf).</w:t>
      </w:r>
    </w:p>
    <w:p w14:paraId="7424C720"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Fibromialgia</w:t>
      </w:r>
      <w:r w:rsidRPr="0051709F">
        <w:rPr>
          <w:rFonts w:eastAsia="Calibri" w:cstheme="minorHAnsi"/>
        </w:rPr>
        <w:t>: Colegio Profesional de Fisioterapeutas de Andalucía (</w:t>
      </w:r>
      <w:hyperlink r:id="rId168">
        <w:r w:rsidRPr="0051709F">
          <w:rPr>
            <w:rFonts w:eastAsia="Calibri" w:cstheme="minorHAnsi"/>
            <w:u w:val="single"/>
          </w:rPr>
          <w:t>https://cadime.es/images/documentos_archivos_web/Cajon_archivos/FIBROMIALGIA_Final.pdf</w:t>
        </w:r>
      </w:hyperlink>
      <w:r w:rsidRPr="0051709F">
        <w:rPr>
          <w:rFonts w:eastAsia="Calibri" w:cstheme="minorHAnsi"/>
        </w:rPr>
        <w:t>).</w:t>
      </w:r>
    </w:p>
    <w:p w14:paraId="41F8110F"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Artrosis:</w:t>
      </w:r>
      <w:r w:rsidRPr="0051709F">
        <w:rPr>
          <w:rFonts w:eastAsia="Calibri" w:cstheme="minorHAnsi"/>
        </w:rPr>
        <w:t xml:space="preserve"> Colegio Profesional de Fisioterapeutas de Andalucía </w:t>
      </w:r>
      <w:hyperlink r:id="rId169">
        <w:r w:rsidRPr="0051709F">
          <w:rPr>
            <w:rFonts w:eastAsia="Calibri" w:cstheme="minorHAnsi"/>
            <w:u w:val="single"/>
          </w:rPr>
          <w:t>https://cadime.es/images/documentos_archivos_web/Cajon_archivos/Artrosis_Fisoterapia_JM_Nieblas.pdf</w:t>
        </w:r>
      </w:hyperlink>
      <w:r w:rsidRPr="0051709F">
        <w:rPr>
          <w:rFonts w:eastAsia="Calibri" w:cstheme="minorHAnsi"/>
        </w:rPr>
        <w:t>)</w:t>
      </w:r>
    </w:p>
    <w:p w14:paraId="64B33ECB"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lastRenderedPageBreak/>
        <w:t>Osteoporosis</w:t>
      </w:r>
      <w:r w:rsidRPr="0051709F">
        <w:rPr>
          <w:rFonts w:eastAsia="Calibri" w:cstheme="minorHAnsi"/>
        </w:rPr>
        <w:t>: Colegio Profesional de Fisioterapeutas de Andalucía (</w:t>
      </w:r>
      <w:hyperlink r:id="rId170">
        <w:r w:rsidRPr="0051709F">
          <w:rPr>
            <w:rFonts w:eastAsia="Calibri" w:cstheme="minorHAnsi"/>
            <w:u w:val="single"/>
          </w:rPr>
          <w:t>https://cadime.es/images/documentos_archivos_web/Cajon_archivos/Osteoporosis_Fisioterapia_Final.pdf</w:t>
        </w:r>
      </w:hyperlink>
      <w:r w:rsidRPr="0051709F">
        <w:rPr>
          <w:rFonts w:eastAsia="Calibri" w:cstheme="minorHAnsi"/>
        </w:rPr>
        <w:t>).</w:t>
      </w:r>
    </w:p>
    <w:p w14:paraId="4B7CE37D"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rPr>
        <w:t>Obesidad: Posicionamiento para el diseño de programas de intervención en población con obesidad (</w:t>
      </w:r>
      <w:hyperlink r:id="rId171">
        <w:r w:rsidRPr="0051709F">
          <w:rPr>
            <w:rFonts w:eastAsia="Calibri" w:cstheme="minorHAnsi"/>
            <w:u w:val="single"/>
          </w:rPr>
          <w:t>https://dialnet.unirioja.es/servlet/articulo?codigo=9021909</w:t>
        </w:r>
      </w:hyperlink>
      <w:r w:rsidRPr="0051709F">
        <w:rPr>
          <w:rFonts w:eastAsia="Calibri" w:cstheme="minorHAnsi"/>
        </w:rPr>
        <w:t xml:space="preserve">). </w:t>
      </w:r>
    </w:p>
    <w:p w14:paraId="113001EA"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b/>
          <w:bCs/>
          <w:u w:val="single"/>
        </w:rPr>
        <w:t>Hígado graso</w:t>
      </w:r>
      <w:r w:rsidRPr="0051709F">
        <w:rPr>
          <w:rFonts w:eastAsia="Calibri" w:cstheme="minorHAnsi"/>
          <w:b/>
          <w:bCs/>
        </w:rPr>
        <w:t>:</w:t>
      </w:r>
      <w:r w:rsidRPr="0051709F">
        <w:rPr>
          <w:rFonts w:eastAsia="Calibri" w:cstheme="minorHAnsi"/>
        </w:rPr>
        <w:t xml:space="preserve"> https://uibes-my.sharepoint.com/personal/jtm834_id_uib_eu/_layouts/15/onedrive.aspx?id=%2Fpersonal%2Fjtm834%5Fid%5Fuib%5Feu%2FDocuments%2FFitxers%20adjunts%2Fwetransfer%2D225876%2Ezip&amp;parent=%2Fpersonal%2Fjtm834%5Fid%5Fuib%5Feu%2FDocuments%2FFitxers%20adjunts&amp;ga=1</w:t>
      </w:r>
    </w:p>
    <w:p w14:paraId="79C616C4"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rPr>
        <w:t xml:space="preserve">Amiloidosis: Fundación </w:t>
      </w:r>
      <w:proofErr w:type="spellStart"/>
      <w:r w:rsidRPr="0051709F">
        <w:rPr>
          <w:rFonts w:eastAsia="Calibri" w:cstheme="minorHAnsi"/>
        </w:rPr>
        <w:t>Siel</w:t>
      </w:r>
      <w:proofErr w:type="spellEnd"/>
      <w:r w:rsidRPr="0051709F">
        <w:rPr>
          <w:rFonts w:eastAsia="Calibri" w:cstheme="minorHAnsi"/>
        </w:rPr>
        <w:t xml:space="preserve"> </w:t>
      </w:r>
      <w:proofErr w:type="spellStart"/>
      <w:r w:rsidRPr="0051709F">
        <w:rPr>
          <w:rFonts w:eastAsia="Calibri" w:cstheme="minorHAnsi"/>
        </w:rPr>
        <w:t>Bleu</w:t>
      </w:r>
      <w:proofErr w:type="spellEnd"/>
      <w:r w:rsidRPr="0051709F">
        <w:rPr>
          <w:rFonts w:eastAsia="Calibri" w:cstheme="minorHAnsi"/>
        </w:rPr>
        <w:t>. Programa “</w:t>
      </w:r>
      <w:proofErr w:type="spellStart"/>
      <w:r w:rsidRPr="0051709F">
        <w:rPr>
          <w:rFonts w:eastAsia="Calibri" w:cstheme="minorHAnsi"/>
        </w:rPr>
        <w:t>Activ’Amilo</w:t>
      </w:r>
      <w:proofErr w:type="spellEnd"/>
      <w:r w:rsidRPr="0051709F">
        <w:rPr>
          <w:rFonts w:eastAsia="Calibri" w:cstheme="minorHAnsi"/>
        </w:rPr>
        <w:t>” (</w:t>
      </w:r>
      <w:hyperlink r:id="rId172">
        <w:r w:rsidRPr="0051709F">
          <w:rPr>
            <w:rFonts w:eastAsia="Calibri" w:cstheme="minorHAnsi"/>
            <w:u w:val="single"/>
          </w:rPr>
          <w:t>https://sielbleu.es/activamilo/</w:t>
        </w:r>
      </w:hyperlink>
      <w:r w:rsidRPr="0051709F">
        <w:rPr>
          <w:rFonts w:eastAsia="Calibri" w:cstheme="minorHAnsi"/>
        </w:rPr>
        <w:t xml:space="preserve">). </w:t>
      </w:r>
    </w:p>
    <w:p w14:paraId="3F645636" w14:textId="77777777" w:rsidR="00433BD9" w:rsidRPr="0051709F" w:rsidRDefault="00433BD9" w:rsidP="00E6399B">
      <w:pPr>
        <w:numPr>
          <w:ilvl w:val="0"/>
          <w:numId w:val="91"/>
        </w:numPr>
        <w:spacing w:after="160" w:line="259" w:lineRule="auto"/>
        <w:contextualSpacing/>
        <w:jc w:val="both"/>
        <w:rPr>
          <w:rFonts w:eastAsia="Calibri" w:cstheme="minorHAnsi"/>
        </w:rPr>
      </w:pPr>
      <w:r w:rsidRPr="0051709F">
        <w:rPr>
          <w:rFonts w:eastAsia="Calibri" w:cstheme="minorHAnsi"/>
        </w:rPr>
        <w:t>Esclerosis múltiple: Proyecto EM FORMA; un proyecto de Esclerosis Múltiple España (https://emforma.esclerosismultiple.com)</w:t>
      </w:r>
    </w:p>
    <w:p w14:paraId="13B4FC29" w14:textId="77777777" w:rsidR="00E055DA" w:rsidRPr="0051709F" w:rsidRDefault="00E055DA" w:rsidP="00E055DA">
      <w:pPr>
        <w:jc w:val="both"/>
        <w:rPr>
          <w:rFonts w:eastAsia="Calibri" w:cstheme="minorHAnsi"/>
        </w:rPr>
      </w:pPr>
    </w:p>
    <w:p w14:paraId="352F7869" w14:textId="77777777" w:rsidR="00433BD9" w:rsidRPr="0051709F" w:rsidRDefault="00433BD9" w:rsidP="00433BD9">
      <w:pPr>
        <w:jc w:val="both"/>
        <w:rPr>
          <w:rFonts w:eastAsia="Calibri" w:cstheme="minorHAnsi"/>
          <w:b/>
          <w:bCs/>
        </w:rPr>
      </w:pPr>
      <w:r w:rsidRPr="0051709F">
        <w:rPr>
          <w:rFonts w:eastAsia="Calibri" w:cstheme="minorHAnsi"/>
          <w:b/>
          <w:bCs/>
        </w:rPr>
        <w:t>Proyectos y planes de implementación, fomento y promoción de la actividad física desde centros de atención primaria o impulsados desde las comunidades autónomas:</w:t>
      </w:r>
    </w:p>
    <w:p w14:paraId="792B3673" w14:textId="77777777" w:rsidR="00433BD9" w:rsidRPr="0051709F" w:rsidRDefault="00433BD9" w:rsidP="00433BD9">
      <w:pPr>
        <w:jc w:val="both"/>
        <w:rPr>
          <w:rFonts w:eastAsia="Calibri" w:cstheme="minorHAnsi"/>
        </w:rPr>
      </w:pPr>
    </w:p>
    <w:p w14:paraId="09D4BF9C" w14:textId="77777777" w:rsidR="00433BD9" w:rsidRPr="0051709F" w:rsidRDefault="00433BD9" w:rsidP="00433BD9">
      <w:pPr>
        <w:jc w:val="both"/>
        <w:rPr>
          <w:rFonts w:eastAsia="Calibri" w:cstheme="minorHAnsi"/>
        </w:rPr>
      </w:pPr>
      <w:r w:rsidRPr="0051709F">
        <w:rPr>
          <w:rFonts w:eastAsia="Calibri" w:cstheme="minorHAnsi"/>
        </w:rPr>
        <w:t>- “Plan de promoción de la actividad física, deporte y salud” en Cataluña:</w:t>
      </w:r>
      <w:hyperlink r:id="rId173">
        <w:r w:rsidRPr="0051709F">
          <w:rPr>
            <w:rFonts w:eastAsia="Calibri" w:cstheme="minorHAnsi"/>
            <w:u w:val="single"/>
          </w:rPr>
          <w:t>https://salutpublica.gencat.cat/web/.content/minisite/aspcat/promocio_salut/activitat_fisica/publicacions/PEFS2022.pdf</w:t>
        </w:r>
      </w:hyperlink>
    </w:p>
    <w:p w14:paraId="41C77174" w14:textId="77777777" w:rsidR="00433BD9" w:rsidRPr="0051709F" w:rsidRDefault="00433BD9" w:rsidP="00433BD9">
      <w:pPr>
        <w:jc w:val="both"/>
        <w:rPr>
          <w:rFonts w:eastAsia="Calibri" w:cstheme="minorHAnsi"/>
        </w:rPr>
      </w:pPr>
      <w:r w:rsidRPr="0051709F">
        <w:rPr>
          <w:rFonts w:eastAsia="Calibri" w:cstheme="minorHAnsi"/>
        </w:rPr>
        <w:t>- “</w:t>
      </w:r>
      <w:proofErr w:type="spellStart"/>
      <w:r w:rsidRPr="0051709F">
        <w:rPr>
          <w:rFonts w:eastAsia="Calibri" w:cstheme="minorHAnsi"/>
        </w:rPr>
        <w:t>Mugiment</w:t>
      </w:r>
      <w:proofErr w:type="spellEnd"/>
      <w:r w:rsidRPr="0051709F">
        <w:rPr>
          <w:rFonts w:eastAsia="Calibri" w:cstheme="minorHAnsi"/>
        </w:rPr>
        <w:t xml:space="preserve">” en el País Vasco: </w:t>
      </w:r>
      <w:hyperlink r:id="rId174">
        <w:r w:rsidRPr="0051709F">
          <w:rPr>
            <w:rFonts w:eastAsia="Calibri" w:cstheme="minorHAnsi"/>
            <w:u w:val="single"/>
          </w:rPr>
          <w:t>https://mugiment.euskadi.eus/inicio/</w:t>
        </w:r>
      </w:hyperlink>
    </w:p>
    <w:p w14:paraId="1B58484F" w14:textId="77777777" w:rsidR="00433BD9" w:rsidRPr="0051709F" w:rsidRDefault="00433BD9" w:rsidP="00433BD9">
      <w:pPr>
        <w:jc w:val="both"/>
        <w:rPr>
          <w:rFonts w:eastAsia="Calibri" w:cstheme="minorHAnsi"/>
        </w:rPr>
      </w:pPr>
      <w:r w:rsidRPr="0051709F">
        <w:rPr>
          <w:rFonts w:eastAsia="Calibri" w:cstheme="minorHAnsi"/>
        </w:rPr>
        <w:t xml:space="preserve">- “De la Pastilla a la Zapatilla” en Navarra: </w:t>
      </w:r>
      <w:hyperlink r:id="rId175">
        <w:r w:rsidRPr="0051709F">
          <w:rPr>
            <w:rFonts w:eastAsia="Calibri" w:cstheme="minorHAnsi"/>
            <w:color w:val="0563C1"/>
            <w:u w:val="single"/>
          </w:rPr>
          <w:t>https://hacienda.navarra.es/sicpportal/mtoGeneraDocumento.aspx?DOA=2001130855315BDE8F64&amp;DOL=7</w:t>
        </w:r>
      </w:hyperlink>
    </w:p>
    <w:p w14:paraId="24DAB805" w14:textId="77777777" w:rsidR="00433BD9" w:rsidRPr="0051709F" w:rsidRDefault="00433BD9" w:rsidP="00433BD9">
      <w:pPr>
        <w:jc w:val="both"/>
        <w:rPr>
          <w:rFonts w:eastAsia="Calibri" w:cstheme="minorHAnsi"/>
        </w:rPr>
      </w:pPr>
      <w:r w:rsidRPr="0051709F">
        <w:rPr>
          <w:rFonts w:eastAsia="Calibri" w:cstheme="minorHAnsi"/>
        </w:rPr>
        <w:t>- “</w:t>
      </w:r>
      <w:proofErr w:type="spellStart"/>
      <w:r w:rsidRPr="0051709F">
        <w:rPr>
          <w:rFonts w:eastAsia="Calibri" w:cstheme="minorHAnsi"/>
        </w:rPr>
        <w:t>Viu</w:t>
      </w:r>
      <w:proofErr w:type="spellEnd"/>
      <w:r w:rsidRPr="0051709F">
        <w:rPr>
          <w:rFonts w:eastAsia="Calibri" w:cstheme="minorHAnsi"/>
        </w:rPr>
        <w:t xml:space="preserve"> </w:t>
      </w:r>
      <w:proofErr w:type="spellStart"/>
      <w:r w:rsidRPr="0051709F">
        <w:rPr>
          <w:rFonts w:eastAsia="Calibri" w:cstheme="minorHAnsi"/>
        </w:rPr>
        <w:t>Actiu</w:t>
      </w:r>
      <w:proofErr w:type="spellEnd"/>
      <w:r w:rsidRPr="0051709F">
        <w:rPr>
          <w:rFonts w:eastAsia="Calibri" w:cstheme="minorHAnsi"/>
        </w:rPr>
        <w:t xml:space="preserve">” en Benicarló:  </w:t>
      </w:r>
      <w:hyperlink r:id="rId176">
        <w:r w:rsidRPr="0051709F">
          <w:rPr>
            <w:rFonts w:eastAsia="Calibri" w:cstheme="minorHAnsi"/>
            <w:u w:val="single"/>
          </w:rPr>
          <w:t>https://recyt.fecyt.es/index.php/retos/article/view/77880</w:t>
        </w:r>
      </w:hyperlink>
    </w:p>
    <w:p w14:paraId="75D26FEE" w14:textId="77777777" w:rsidR="00433BD9" w:rsidRPr="0051709F" w:rsidRDefault="00433BD9" w:rsidP="00433BD9">
      <w:pPr>
        <w:jc w:val="both"/>
        <w:rPr>
          <w:rFonts w:eastAsia="Calibri" w:cstheme="minorHAnsi"/>
        </w:rPr>
      </w:pPr>
      <w:r w:rsidRPr="0051709F">
        <w:rPr>
          <w:rFonts w:eastAsia="Calibri" w:cstheme="minorHAnsi"/>
        </w:rPr>
        <w:t xml:space="preserve">- “Ejercicio te Cuida” en Extremadura: </w:t>
      </w:r>
      <w:hyperlink r:id="rId177">
        <w:r w:rsidRPr="0051709F">
          <w:rPr>
            <w:rFonts w:eastAsia="Calibri" w:cstheme="minorHAnsi"/>
            <w:color w:val="0563C1"/>
            <w:u w:val="single"/>
          </w:rPr>
          <w:t>https://elejerciciotecuida.com/index.php</w:t>
        </w:r>
      </w:hyperlink>
    </w:p>
    <w:p w14:paraId="251CEEAE" w14:textId="77777777" w:rsidR="00433BD9" w:rsidRPr="0051709F" w:rsidRDefault="00433BD9" w:rsidP="00433BD9">
      <w:pPr>
        <w:jc w:val="both"/>
        <w:rPr>
          <w:rFonts w:eastAsia="Calibri" w:cstheme="minorHAnsi"/>
        </w:rPr>
      </w:pPr>
      <w:r w:rsidRPr="0051709F">
        <w:rPr>
          <w:rFonts w:eastAsia="Calibri" w:cstheme="minorHAnsi"/>
        </w:rPr>
        <w:t>- “Programa Activa” en Murcia: https://activamurcia.com</w:t>
      </w:r>
    </w:p>
    <w:p w14:paraId="61FD4E5E" w14:textId="77777777" w:rsidR="00433BD9" w:rsidRPr="0051709F" w:rsidRDefault="00433BD9" w:rsidP="00433BD9">
      <w:pPr>
        <w:jc w:val="both"/>
        <w:rPr>
          <w:rFonts w:eastAsia="Calibri" w:cstheme="minorHAnsi"/>
        </w:rPr>
      </w:pPr>
      <w:r w:rsidRPr="0051709F">
        <w:rPr>
          <w:rFonts w:eastAsia="Calibri" w:cstheme="minorHAnsi"/>
        </w:rPr>
        <w:t>- “</w:t>
      </w:r>
      <w:proofErr w:type="spellStart"/>
      <w:r w:rsidRPr="0051709F">
        <w:rPr>
          <w:rFonts w:eastAsia="Calibri" w:cstheme="minorHAnsi"/>
        </w:rPr>
        <w:t>Adestra</w:t>
      </w:r>
      <w:proofErr w:type="spellEnd"/>
      <w:r w:rsidRPr="0051709F">
        <w:rPr>
          <w:rFonts w:eastAsia="Calibri" w:cstheme="minorHAnsi"/>
        </w:rPr>
        <w:t xml:space="preserve"> a </w:t>
      </w:r>
      <w:proofErr w:type="spellStart"/>
      <w:r w:rsidRPr="0051709F">
        <w:rPr>
          <w:rFonts w:eastAsia="Calibri" w:cstheme="minorHAnsi"/>
        </w:rPr>
        <w:t>túa</w:t>
      </w:r>
      <w:proofErr w:type="spellEnd"/>
      <w:r w:rsidRPr="0051709F">
        <w:rPr>
          <w:rFonts w:eastAsia="Calibri" w:cstheme="minorHAnsi"/>
        </w:rPr>
        <w:t xml:space="preserve"> </w:t>
      </w:r>
      <w:proofErr w:type="spellStart"/>
      <w:r w:rsidRPr="0051709F">
        <w:rPr>
          <w:rFonts w:eastAsia="Calibri" w:cstheme="minorHAnsi"/>
        </w:rPr>
        <w:t>saúde</w:t>
      </w:r>
      <w:proofErr w:type="spellEnd"/>
      <w:r w:rsidRPr="0051709F">
        <w:rPr>
          <w:rFonts w:eastAsia="Calibri" w:cstheme="minorHAnsi"/>
        </w:rPr>
        <w:t>" en Galicia: https://www.xunta.gal/hemeroteca/-/nova/142960/xunta-pon-marcha-lsquo-adestra-tua-saudersquo-programa-piloto-fomento-exercicio</w:t>
      </w:r>
    </w:p>
    <w:p w14:paraId="4DB45F17" w14:textId="77777777" w:rsidR="00433BD9" w:rsidRPr="0051709F" w:rsidRDefault="00433BD9" w:rsidP="00433BD9">
      <w:pPr>
        <w:jc w:val="both"/>
        <w:rPr>
          <w:rFonts w:eastAsia="Calibri" w:cstheme="minorHAnsi"/>
        </w:rPr>
      </w:pPr>
      <w:r w:rsidRPr="0051709F">
        <w:rPr>
          <w:rFonts w:eastAsia="Calibri" w:cstheme="minorHAnsi"/>
        </w:rPr>
        <w:t xml:space="preserve">- "Menorca </w:t>
      </w:r>
      <w:proofErr w:type="spellStart"/>
      <w:r w:rsidRPr="0051709F">
        <w:rPr>
          <w:rFonts w:eastAsia="Calibri" w:cstheme="minorHAnsi"/>
        </w:rPr>
        <w:t>Borina</w:t>
      </w:r>
      <w:proofErr w:type="spellEnd"/>
      <w:r w:rsidRPr="0051709F">
        <w:rPr>
          <w:rFonts w:eastAsia="Calibri" w:cstheme="minorHAnsi"/>
        </w:rPr>
        <w:t xml:space="preserve">" en las Islas Baleares (ver artículo publicado).  </w:t>
      </w:r>
    </w:p>
    <w:p w14:paraId="1BB0C143" w14:textId="77777777" w:rsidR="00433BD9" w:rsidRPr="0051709F" w:rsidRDefault="00433BD9" w:rsidP="00433BD9">
      <w:pPr>
        <w:jc w:val="both"/>
        <w:rPr>
          <w:rFonts w:eastAsia="Calibri" w:cstheme="minorHAnsi"/>
        </w:rPr>
      </w:pPr>
      <w:r w:rsidRPr="0051709F">
        <w:rPr>
          <w:rFonts w:eastAsia="Calibri" w:cstheme="minorHAnsi"/>
        </w:rPr>
        <w:t xml:space="preserve">- Plan prescripción actividad y ejercicio físico en Comunidad de Madrid: </w:t>
      </w:r>
      <w:hyperlink r:id="rId178">
        <w:r w:rsidRPr="0051709F">
          <w:rPr>
            <w:rFonts w:eastAsia="Calibri" w:cstheme="minorHAnsi"/>
            <w:color w:val="0563C1"/>
            <w:u w:val="single"/>
          </w:rPr>
          <w:t>https://www.comunidad.madrid/transparencia/informacion-institucional/planes-programas/programa-prescripcion-actividad-fisica-y-ejercicio-fisico</w:t>
        </w:r>
      </w:hyperlink>
    </w:p>
    <w:p w14:paraId="66F2DAE3" w14:textId="77777777" w:rsidR="00433BD9" w:rsidRPr="0051709F" w:rsidRDefault="00433BD9" w:rsidP="00433BD9">
      <w:pPr>
        <w:jc w:val="both"/>
        <w:rPr>
          <w:rFonts w:eastAsia="Calibri" w:cstheme="minorHAnsi"/>
        </w:rPr>
      </w:pPr>
      <w:r w:rsidRPr="0051709F">
        <w:rPr>
          <w:rFonts w:eastAsia="Calibri" w:cstheme="minorHAnsi"/>
        </w:rPr>
        <w:t xml:space="preserve">- Plan de prescripción de actividad física en Andalucía: </w:t>
      </w:r>
      <w:hyperlink r:id="rId179">
        <w:r w:rsidRPr="0051709F">
          <w:rPr>
            <w:rFonts w:eastAsia="Calibri" w:cstheme="minorHAnsi"/>
            <w:u w:val="single"/>
          </w:rPr>
          <w:t>https://laadministracionaldia.inap.es/noticia.asp?id=1233496</w:t>
        </w:r>
      </w:hyperlink>
      <w:r w:rsidRPr="0051709F">
        <w:rPr>
          <w:rFonts w:eastAsia="Calibri" w:cstheme="minorHAnsi"/>
        </w:rPr>
        <w:t xml:space="preserve">) </w:t>
      </w:r>
    </w:p>
    <w:p w14:paraId="0DC43579" w14:textId="77777777" w:rsidR="00433BD9" w:rsidRPr="0051709F" w:rsidRDefault="00433BD9" w:rsidP="00433BD9">
      <w:pPr>
        <w:jc w:val="both"/>
        <w:rPr>
          <w:rFonts w:eastAsia="Calibri" w:cstheme="minorHAnsi"/>
        </w:rPr>
      </w:pPr>
      <w:r w:rsidRPr="0051709F">
        <w:rPr>
          <w:rFonts w:eastAsia="Calibri" w:cstheme="minorHAnsi"/>
        </w:rPr>
        <w:t>- Plan actividad física en Gran Canarias: https://www.boe.es/eli/es-cn/l/2019/01/30/1</w:t>
      </w:r>
    </w:p>
    <w:p w14:paraId="3B4411DD" w14:textId="77777777" w:rsidR="00433BD9" w:rsidRPr="0051709F" w:rsidRDefault="00433BD9" w:rsidP="00433BD9">
      <w:pPr>
        <w:jc w:val="both"/>
        <w:rPr>
          <w:rFonts w:eastAsia="Calibri" w:cstheme="minorHAnsi"/>
        </w:rPr>
      </w:pPr>
      <w:r w:rsidRPr="0051709F">
        <w:rPr>
          <w:rFonts w:eastAsia="Calibri" w:cstheme="minorHAnsi"/>
        </w:rPr>
        <w:t xml:space="preserve">- “Eres Movimiento” en Asturias: https://obsaludasturias.com/obsa/campana-eres-movimiento/ </w:t>
      </w:r>
    </w:p>
    <w:p w14:paraId="3D6E19E3" w14:textId="77777777" w:rsidR="00433BD9" w:rsidRPr="0051709F" w:rsidRDefault="00433BD9" w:rsidP="00433BD9">
      <w:pPr>
        <w:jc w:val="both"/>
        <w:rPr>
          <w:rFonts w:eastAsia="Calibri" w:cstheme="minorHAnsi"/>
        </w:rPr>
      </w:pPr>
    </w:p>
    <w:p w14:paraId="7846B913" w14:textId="77777777" w:rsidR="00A65EF6" w:rsidRDefault="00A65EF6" w:rsidP="00433BD9">
      <w:pPr>
        <w:jc w:val="both"/>
        <w:rPr>
          <w:rFonts w:eastAsia="Calibri" w:cstheme="minorHAnsi"/>
          <w:b/>
          <w:bCs/>
        </w:rPr>
      </w:pPr>
    </w:p>
    <w:p w14:paraId="75E5E1D5" w14:textId="77777777" w:rsidR="00A65EF6" w:rsidRDefault="00A65EF6" w:rsidP="00433BD9">
      <w:pPr>
        <w:jc w:val="both"/>
        <w:rPr>
          <w:rFonts w:eastAsia="Calibri" w:cstheme="minorHAnsi"/>
          <w:b/>
          <w:bCs/>
        </w:rPr>
      </w:pPr>
    </w:p>
    <w:p w14:paraId="4C6FD3C5" w14:textId="77777777" w:rsidR="00A65EF6" w:rsidRDefault="00A65EF6" w:rsidP="00433BD9">
      <w:pPr>
        <w:jc w:val="both"/>
        <w:rPr>
          <w:rFonts w:eastAsia="Calibri" w:cstheme="minorHAnsi"/>
          <w:b/>
          <w:bCs/>
        </w:rPr>
      </w:pPr>
    </w:p>
    <w:p w14:paraId="443FA92B" w14:textId="77777777" w:rsidR="00A65EF6" w:rsidRDefault="00A65EF6" w:rsidP="00433BD9">
      <w:pPr>
        <w:jc w:val="both"/>
        <w:rPr>
          <w:rFonts w:eastAsia="Calibri" w:cstheme="minorHAnsi"/>
          <w:b/>
          <w:bCs/>
        </w:rPr>
      </w:pPr>
    </w:p>
    <w:p w14:paraId="43E3E1B2" w14:textId="791C0D85" w:rsidR="00433BD9" w:rsidRDefault="00433BD9" w:rsidP="00433BD9">
      <w:pPr>
        <w:jc w:val="both"/>
        <w:rPr>
          <w:rFonts w:eastAsia="Calibri" w:cstheme="minorHAnsi"/>
          <w:b/>
          <w:bCs/>
        </w:rPr>
      </w:pPr>
      <w:r w:rsidRPr="0051709F">
        <w:rPr>
          <w:rFonts w:eastAsia="Calibri" w:cstheme="minorHAnsi"/>
          <w:b/>
          <w:bCs/>
        </w:rPr>
        <w:lastRenderedPageBreak/>
        <w:t xml:space="preserve">Artículos publicados de proyectos de implementación de actividad y ejercicio físico: </w:t>
      </w:r>
    </w:p>
    <w:p w14:paraId="79C73EC3" w14:textId="77777777" w:rsidR="00A65EF6" w:rsidRPr="0051709F" w:rsidRDefault="00A65EF6" w:rsidP="00433BD9">
      <w:pPr>
        <w:jc w:val="both"/>
        <w:rPr>
          <w:rFonts w:eastAsia="Calibri" w:cstheme="minorHAnsi"/>
          <w:b/>
          <w:bCs/>
        </w:rPr>
      </w:pPr>
    </w:p>
    <w:p w14:paraId="18564767" w14:textId="77777777" w:rsidR="00433BD9" w:rsidRPr="0051709F" w:rsidRDefault="00433BD9" w:rsidP="00E6399B">
      <w:pPr>
        <w:numPr>
          <w:ilvl w:val="0"/>
          <w:numId w:val="90"/>
        </w:numPr>
        <w:spacing w:after="160" w:line="259" w:lineRule="auto"/>
        <w:contextualSpacing/>
        <w:jc w:val="both"/>
        <w:rPr>
          <w:rFonts w:eastAsia="Calibri" w:cstheme="minorHAnsi"/>
        </w:rPr>
      </w:pPr>
      <w:r w:rsidRPr="0051709F">
        <w:rPr>
          <w:rFonts w:eastAsia="Calibri" w:cstheme="minorHAnsi"/>
          <w:u w:val="single"/>
        </w:rPr>
        <w:t xml:space="preserve">Proyecto Menorca </w:t>
      </w:r>
      <w:proofErr w:type="spellStart"/>
      <w:r w:rsidRPr="0051709F">
        <w:rPr>
          <w:rFonts w:eastAsia="Calibri" w:cstheme="minorHAnsi"/>
          <w:u w:val="single"/>
        </w:rPr>
        <w:t>Borina</w:t>
      </w:r>
      <w:proofErr w:type="spellEnd"/>
      <w:r w:rsidRPr="0051709F">
        <w:rPr>
          <w:rFonts w:eastAsia="Calibri" w:cstheme="minorHAnsi"/>
        </w:rPr>
        <w:t xml:space="preserve">: Portella, F. S., </w:t>
      </w:r>
      <w:proofErr w:type="spellStart"/>
      <w:r w:rsidRPr="0051709F">
        <w:rPr>
          <w:rFonts w:eastAsia="Calibri" w:cstheme="minorHAnsi"/>
        </w:rPr>
        <w:t>Sintes</w:t>
      </w:r>
      <w:proofErr w:type="spellEnd"/>
      <w:r w:rsidRPr="0051709F">
        <w:rPr>
          <w:rFonts w:eastAsia="Calibri" w:cstheme="minorHAnsi"/>
        </w:rPr>
        <w:t xml:space="preserve">, V. D., Milla Fernández, M. A. &amp; Ferrer, B. A. Muévete: Descripción De Un Programa De Promoción De Actividad Y Ejercicio Físico Para Mejorar La Salud En La Isla De Menorca. </w:t>
      </w:r>
      <w:proofErr w:type="spellStart"/>
      <w:r w:rsidRPr="0051709F">
        <w:rPr>
          <w:rFonts w:eastAsia="Calibri" w:cstheme="minorHAnsi"/>
        </w:rPr>
        <w:t>Apunts</w:t>
      </w:r>
      <w:proofErr w:type="spellEnd"/>
      <w:r w:rsidRPr="0051709F">
        <w:rPr>
          <w:rFonts w:eastAsia="Calibri" w:cstheme="minorHAnsi"/>
        </w:rPr>
        <w:t xml:space="preserve"> </w:t>
      </w:r>
      <w:proofErr w:type="spellStart"/>
      <w:r w:rsidRPr="0051709F">
        <w:rPr>
          <w:rFonts w:eastAsia="Calibri" w:cstheme="minorHAnsi"/>
        </w:rPr>
        <w:t>Sports</w:t>
      </w:r>
      <w:proofErr w:type="spellEnd"/>
      <w:r w:rsidRPr="0051709F">
        <w:rPr>
          <w:rFonts w:eastAsia="Calibri" w:cstheme="minorHAnsi"/>
        </w:rPr>
        <w:t xml:space="preserve"> Medicine 52, 139-147 (2017) </w:t>
      </w:r>
    </w:p>
    <w:p w14:paraId="40FDF6CF" w14:textId="77777777" w:rsidR="00433BD9" w:rsidRPr="0051709F" w:rsidRDefault="00433BD9" w:rsidP="00E6399B">
      <w:pPr>
        <w:numPr>
          <w:ilvl w:val="0"/>
          <w:numId w:val="90"/>
        </w:numPr>
        <w:spacing w:after="160" w:line="259" w:lineRule="auto"/>
        <w:contextualSpacing/>
        <w:jc w:val="both"/>
        <w:rPr>
          <w:rFonts w:eastAsia="Calibri" w:cstheme="minorHAnsi"/>
        </w:rPr>
      </w:pPr>
      <w:r w:rsidRPr="0051709F">
        <w:rPr>
          <w:rFonts w:eastAsia="Calibri" w:cstheme="minorHAnsi"/>
          <w:u w:val="single"/>
        </w:rPr>
        <w:t>Proyecto VIU-ACTIU</w:t>
      </w:r>
      <w:r w:rsidRPr="0051709F">
        <w:rPr>
          <w:rFonts w:eastAsia="Calibri" w:cstheme="minorHAnsi"/>
        </w:rPr>
        <w:t xml:space="preserve">: Monteagudo </w:t>
      </w:r>
      <w:proofErr w:type="spellStart"/>
      <w:r w:rsidRPr="0051709F">
        <w:rPr>
          <w:rFonts w:eastAsia="Calibri" w:cstheme="minorHAnsi"/>
        </w:rPr>
        <w:t>Chiner</w:t>
      </w:r>
      <w:proofErr w:type="spellEnd"/>
      <w:r w:rsidRPr="0051709F">
        <w:rPr>
          <w:rFonts w:eastAsia="Calibri" w:cstheme="minorHAnsi"/>
        </w:rPr>
        <w:t xml:space="preserve">, P., Herreros, J. L., Beltrán, J., </w:t>
      </w:r>
      <w:proofErr w:type="spellStart"/>
      <w:r w:rsidRPr="0051709F">
        <w:rPr>
          <w:rFonts w:eastAsia="Calibri" w:cstheme="minorHAnsi"/>
        </w:rPr>
        <w:t>Cordellat</w:t>
      </w:r>
      <w:proofErr w:type="spellEnd"/>
      <w:r w:rsidRPr="0051709F">
        <w:rPr>
          <w:rFonts w:eastAsia="Calibri" w:cstheme="minorHAnsi"/>
        </w:rPr>
        <w:t xml:space="preserve"> Marzal, A., Roldán Aliaga, A., &amp; Blasco-Lafarga, C.  Retos y análisis de un programa municipal de prescripción de ejercicio físico para la salud: El programa VIU-ACTIU (</w:t>
      </w:r>
      <w:proofErr w:type="spellStart"/>
      <w:r w:rsidRPr="0051709F">
        <w:rPr>
          <w:rFonts w:eastAsia="Calibri" w:cstheme="minorHAnsi"/>
        </w:rPr>
        <w:t>Challenges</w:t>
      </w:r>
      <w:proofErr w:type="spellEnd"/>
      <w:r w:rsidRPr="0051709F">
        <w:rPr>
          <w:rFonts w:eastAsia="Calibri" w:cstheme="minorHAnsi"/>
        </w:rPr>
        <w:t xml:space="preserve"> and </w:t>
      </w:r>
      <w:proofErr w:type="spellStart"/>
      <w:r w:rsidRPr="0051709F">
        <w:rPr>
          <w:rFonts w:eastAsia="Calibri" w:cstheme="minorHAnsi"/>
        </w:rPr>
        <w:t>analysis</w:t>
      </w:r>
      <w:proofErr w:type="spellEnd"/>
      <w:r w:rsidRPr="0051709F">
        <w:rPr>
          <w:rFonts w:eastAsia="Calibri" w:cstheme="minorHAnsi"/>
        </w:rPr>
        <w:t xml:space="preserve"> </w:t>
      </w:r>
      <w:proofErr w:type="spellStart"/>
      <w:r w:rsidRPr="0051709F">
        <w:rPr>
          <w:rFonts w:eastAsia="Calibri" w:cstheme="minorHAnsi"/>
        </w:rPr>
        <w:t>of</w:t>
      </w:r>
      <w:proofErr w:type="spellEnd"/>
      <w:r w:rsidRPr="0051709F">
        <w:rPr>
          <w:rFonts w:eastAsia="Calibri" w:cstheme="minorHAnsi"/>
        </w:rPr>
        <w:t xml:space="preserve"> a local </w:t>
      </w:r>
      <w:proofErr w:type="spellStart"/>
      <w:r w:rsidRPr="0051709F">
        <w:rPr>
          <w:rFonts w:eastAsia="Calibri" w:cstheme="minorHAnsi"/>
        </w:rPr>
        <w:t>program</w:t>
      </w:r>
      <w:proofErr w:type="spellEnd"/>
      <w:r w:rsidRPr="0051709F">
        <w:rPr>
          <w:rFonts w:eastAsia="Calibri" w:cstheme="minorHAnsi"/>
        </w:rPr>
        <w:t xml:space="preserve"> </w:t>
      </w:r>
      <w:proofErr w:type="spellStart"/>
      <w:r w:rsidRPr="0051709F">
        <w:rPr>
          <w:rFonts w:eastAsia="Calibri" w:cstheme="minorHAnsi"/>
        </w:rPr>
        <w:t>of</w:t>
      </w:r>
      <w:proofErr w:type="spellEnd"/>
      <w:r w:rsidRPr="0051709F">
        <w:rPr>
          <w:rFonts w:eastAsia="Calibri" w:cstheme="minorHAnsi"/>
        </w:rPr>
        <w:t xml:space="preserve"> </w:t>
      </w:r>
      <w:proofErr w:type="spellStart"/>
      <w:r w:rsidRPr="0051709F">
        <w:rPr>
          <w:rFonts w:eastAsia="Calibri" w:cstheme="minorHAnsi"/>
        </w:rPr>
        <w:t>exercise</w:t>
      </w:r>
      <w:proofErr w:type="spellEnd"/>
      <w:r w:rsidRPr="0051709F">
        <w:rPr>
          <w:rFonts w:eastAsia="Calibri" w:cstheme="minorHAnsi"/>
        </w:rPr>
        <w:t xml:space="preserve"> </w:t>
      </w:r>
      <w:proofErr w:type="spellStart"/>
      <w:r w:rsidRPr="0051709F">
        <w:rPr>
          <w:rFonts w:eastAsia="Calibri" w:cstheme="minorHAnsi"/>
        </w:rPr>
        <w:t>prescription</w:t>
      </w:r>
      <w:proofErr w:type="spellEnd"/>
      <w:r w:rsidRPr="0051709F">
        <w:rPr>
          <w:rFonts w:eastAsia="Calibri" w:cstheme="minorHAnsi"/>
        </w:rPr>
        <w:t xml:space="preserve"> </w:t>
      </w:r>
      <w:proofErr w:type="spellStart"/>
      <w:r w:rsidRPr="0051709F">
        <w:rPr>
          <w:rFonts w:eastAsia="Calibri" w:cstheme="minorHAnsi"/>
        </w:rPr>
        <w:t>for</w:t>
      </w:r>
      <w:proofErr w:type="spellEnd"/>
      <w:r w:rsidRPr="0051709F">
        <w:rPr>
          <w:rFonts w:eastAsia="Calibri" w:cstheme="minorHAnsi"/>
        </w:rPr>
        <w:t xml:space="preserve"> </w:t>
      </w:r>
      <w:proofErr w:type="spellStart"/>
      <w:r w:rsidRPr="0051709F">
        <w:rPr>
          <w:rFonts w:eastAsia="Calibri" w:cstheme="minorHAnsi"/>
        </w:rPr>
        <w:t>health</w:t>
      </w:r>
      <w:proofErr w:type="spellEnd"/>
      <w:r w:rsidRPr="0051709F">
        <w:rPr>
          <w:rFonts w:eastAsia="Calibri" w:cstheme="minorHAnsi"/>
        </w:rPr>
        <w:t xml:space="preserve">: </w:t>
      </w:r>
      <w:proofErr w:type="spellStart"/>
      <w:r w:rsidRPr="0051709F">
        <w:rPr>
          <w:rFonts w:eastAsia="Calibri" w:cstheme="minorHAnsi"/>
        </w:rPr>
        <w:t>The</w:t>
      </w:r>
      <w:proofErr w:type="spellEnd"/>
      <w:r w:rsidRPr="0051709F">
        <w:rPr>
          <w:rFonts w:eastAsia="Calibri" w:cstheme="minorHAnsi"/>
        </w:rPr>
        <w:t xml:space="preserve"> VIU-ACTIU </w:t>
      </w:r>
      <w:proofErr w:type="spellStart"/>
      <w:r w:rsidRPr="0051709F">
        <w:rPr>
          <w:rFonts w:eastAsia="Calibri" w:cstheme="minorHAnsi"/>
        </w:rPr>
        <w:t>program</w:t>
      </w:r>
      <w:proofErr w:type="spellEnd"/>
      <w:r w:rsidRPr="0051709F">
        <w:rPr>
          <w:rFonts w:eastAsia="Calibri" w:cstheme="minorHAnsi"/>
        </w:rPr>
        <w:t xml:space="preserve">). Retos. 2021. 39, 993–997. </w:t>
      </w:r>
      <w:hyperlink r:id="rId180">
        <w:r w:rsidRPr="0051709F">
          <w:rPr>
            <w:rFonts w:eastAsia="Calibri" w:cstheme="minorHAnsi"/>
            <w:color w:val="0563C1"/>
            <w:u w:val="single"/>
          </w:rPr>
          <w:t>https://doi.org/10.47197/retos.v0i39.77880</w:t>
        </w:r>
      </w:hyperlink>
    </w:p>
    <w:p w14:paraId="69F24C79" w14:textId="77777777" w:rsidR="00433BD9" w:rsidRPr="0051709F" w:rsidRDefault="00433BD9" w:rsidP="00E6399B">
      <w:pPr>
        <w:numPr>
          <w:ilvl w:val="0"/>
          <w:numId w:val="90"/>
        </w:numPr>
        <w:spacing w:after="160" w:line="259" w:lineRule="auto"/>
        <w:contextualSpacing/>
        <w:jc w:val="both"/>
        <w:rPr>
          <w:rFonts w:eastAsia="Calibri" w:cstheme="minorHAnsi"/>
        </w:rPr>
      </w:pPr>
      <w:r w:rsidRPr="0051709F">
        <w:rPr>
          <w:rFonts w:eastAsia="Calibri" w:cstheme="minorHAnsi"/>
          <w:u w:val="single"/>
        </w:rPr>
        <w:t xml:space="preserve">Proyecto Conecta </w:t>
      </w:r>
      <w:proofErr w:type="spellStart"/>
      <w:r w:rsidRPr="0051709F">
        <w:rPr>
          <w:rFonts w:eastAsia="Calibri" w:cstheme="minorHAnsi"/>
          <w:u w:val="single"/>
        </w:rPr>
        <w:t>Actius</w:t>
      </w:r>
      <w:proofErr w:type="spellEnd"/>
      <w:r w:rsidRPr="0051709F">
        <w:rPr>
          <w:rFonts w:eastAsia="Calibri" w:cstheme="minorHAnsi"/>
        </w:rPr>
        <w:t xml:space="preserve">: Martín-Doménech, Andrea, Peiró-Pérez, Rosana, Esplugues, Ana, Castán, Susana, </w:t>
      </w:r>
      <w:proofErr w:type="spellStart"/>
      <w:r w:rsidRPr="0051709F">
        <w:rPr>
          <w:rFonts w:eastAsia="Calibri" w:cstheme="minorHAnsi"/>
        </w:rPr>
        <w:t>Legaz</w:t>
      </w:r>
      <w:proofErr w:type="spellEnd"/>
      <w:r w:rsidRPr="0051709F">
        <w:rPr>
          <w:rFonts w:eastAsia="Calibri" w:cstheme="minorHAnsi"/>
        </w:rPr>
        <w:t xml:space="preserve">-Sánchez, Eva, Pérez-Sanz, Elena, Raga, </w:t>
      </w:r>
      <w:proofErr w:type="spellStart"/>
      <w:r w:rsidRPr="0051709F">
        <w:rPr>
          <w:rFonts w:eastAsia="Calibri" w:cstheme="minorHAnsi"/>
        </w:rPr>
        <w:t>Remei</w:t>
      </w:r>
      <w:proofErr w:type="spellEnd"/>
      <w:r w:rsidRPr="0051709F">
        <w:rPr>
          <w:rFonts w:eastAsia="Calibri" w:cstheme="minorHAnsi"/>
        </w:rPr>
        <w:t xml:space="preserve">, </w:t>
      </w:r>
      <w:proofErr w:type="spellStart"/>
      <w:r w:rsidRPr="0051709F">
        <w:rPr>
          <w:rFonts w:eastAsia="Calibri" w:cstheme="minorHAnsi"/>
        </w:rPr>
        <w:t>Rabanaque</w:t>
      </w:r>
      <w:proofErr w:type="spellEnd"/>
      <w:r w:rsidRPr="0051709F">
        <w:rPr>
          <w:rFonts w:eastAsia="Calibri" w:cstheme="minorHAnsi"/>
        </w:rPr>
        <w:t xml:space="preserve">, Gloria, &amp; Ruiz-Fernández, Laura. (2021). Valoración de un programa piloto de prescripción de actividad física en atención primaria en la </w:t>
      </w:r>
      <w:proofErr w:type="spellStart"/>
      <w:r w:rsidRPr="0051709F">
        <w:rPr>
          <w:rFonts w:eastAsia="Calibri" w:cstheme="minorHAnsi"/>
        </w:rPr>
        <w:t>Comunitat</w:t>
      </w:r>
      <w:proofErr w:type="spellEnd"/>
      <w:r w:rsidRPr="0051709F">
        <w:rPr>
          <w:rFonts w:eastAsia="Calibri" w:cstheme="minorHAnsi"/>
        </w:rPr>
        <w:t xml:space="preserve"> Valenciana. Gaceta Sanitaria, 35(4), 313-319. </w:t>
      </w:r>
      <w:proofErr w:type="spellStart"/>
      <w:r w:rsidRPr="0051709F">
        <w:rPr>
          <w:rFonts w:eastAsia="Calibri" w:cstheme="minorHAnsi"/>
        </w:rPr>
        <w:t>Epub</w:t>
      </w:r>
      <w:proofErr w:type="spellEnd"/>
      <w:r w:rsidRPr="0051709F">
        <w:rPr>
          <w:rFonts w:eastAsia="Calibri" w:cstheme="minorHAnsi"/>
        </w:rPr>
        <w:t xml:space="preserve"> 27 de diciembre de 2021.https://dx.doi.org/10.1016/j.gaceta.2020.04.021</w:t>
      </w:r>
    </w:p>
    <w:p w14:paraId="0F6C9FAB" w14:textId="77777777" w:rsidR="00433BD9" w:rsidRPr="0051709F" w:rsidRDefault="00433BD9" w:rsidP="00E6399B">
      <w:pPr>
        <w:numPr>
          <w:ilvl w:val="0"/>
          <w:numId w:val="90"/>
        </w:numPr>
        <w:spacing w:after="160" w:line="259" w:lineRule="auto"/>
        <w:contextualSpacing/>
        <w:jc w:val="both"/>
        <w:rPr>
          <w:rFonts w:eastAsia="Calibri" w:cstheme="minorHAnsi"/>
        </w:rPr>
      </w:pPr>
      <w:r w:rsidRPr="0051709F">
        <w:rPr>
          <w:rFonts w:eastAsia="Calibri" w:cstheme="minorHAnsi"/>
          <w:u w:val="single"/>
          <w:lang w:val="en-GB"/>
        </w:rPr>
        <w:t>Proyecto ACTIBATE</w:t>
      </w:r>
      <w:r w:rsidRPr="0051709F">
        <w:rPr>
          <w:rFonts w:eastAsia="Calibri" w:cstheme="minorHAnsi"/>
          <w:lang w:val="en-GB"/>
        </w:rPr>
        <w:t xml:space="preserve">: Adipose tissue activation after 24 weeks of supervised exercise training in young sedentary adults in the ACTIBATE randomized controlled trial. </w:t>
      </w:r>
      <w:proofErr w:type="spellStart"/>
      <w:r w:rsidRPr="0051709F">
        <w:rPr>
          <w:rFonts w:eastAsia="Calibri" w:cstheme="minorHAnsi"/>
        </w:rPr>
        <w:t>Nat</w:t>
      </w:r>
      <w:proofErr w:type="spellEnd"/>
      <w:r w:rsidRPr="0051709F">
        <w:rPr>
          <w:rFonts w:eastAsia="Calibri" w:cstheme="minorHAnsi"/>
        </w:rPr>
        <w:t xml:space="preserve"> </w:t>
      </w:r>
      <w:proofErr w:type="spellStart"/>
      <w:r w:rsidRPr="0051709F">
        <w:rPr>
          <w:rFonts w:eastAsia="Calibri" w:cstheme="minorHAnsi"/>
        </w:rPr>
        <w:t>Commun</w:t>
      </w:r>
      <w:proofErr w:type="spellEnd"/>
      <w:r w:rsidRPr="0051709F">
        <w:rPr>
          <w:rFonts w:eastAsia="Calibri" w:cstheme="minorHAnsi"/>
        </w:rPr>
        <w:t xml:space="preserve"> 13, 5259 (2022). </w:t>
      </w:r>
      <w:hyperlink r:id="rId181">
        <w:r w:rsidRPr="0051709F">
          <w:rPr>
            <w:rFonts w:eastAsia="Calibri" w:cstheme="minorHAnsi"/>
            <w:color w:val="0563C1"/>
            <w:u w:val="single"/>
          </w:rPr>
          <w:t>https://doi.org/10.1038/s41467-022-32502-x</w:t>
        </w:r>
      </w:hyperlink>
    </w:p>
    <w:p w14:paraId="55361133" w14:textId="77777777" w:rsidR="00433BD9" w:rsidRPr="006A6D22" w:rsidRDefault="00433BD9" w:rsidP="00E6399B">
      <w:pPr>
        <w:numPr>
          <w:ilvl w:val="0"/>
          <w:numId w:val="90"/>
        </w:numPr>
        <w:spacing w:after="160" w:line="259" w:lineRule="auto"/>
        <w:contextualSpacing/>
        <w:jc w:val="both"/>
        <w:rPr>
          <w:rFonts w:eastAsia="Calibri" w:cstheme="minorHAnsi"/>
          <w:lang w:val="en-US"/>
        </w:rPr>
      </w:pPr>
      <w:r w:rsidRPr="0051709F">
        <w:rPr>
          <w:rFonts w:eastAsia="Calibri" w:cstheme="minorHAnsi"/>
          <w:u w:val="single"/>
        </w:rPr>
        <w:t>Proyecto ACTIBATE</w:t>
      </w:r>
      <w:r w:rsidRPr="0051709F">
        <w:rPr>
          <w:rFonts w:eastAsia="Calibri" w:cstheme="minorHAnsi"/>
        </w:rPr>
        <w:t xml:space="preserve">: </w:t>
      </w:r>
      <w:proofErr w:type="spellStart"/>
      <w:r w:rsidRPr="0051709F">
        <w:rPr>
          <w:rFonts w:eastAsia="Calibri" w:cstheme="minorHAnsi"/>
        </w:rPr>
        <w:t>Sanchez</w:t>
      </w:r>
      <w:proofErr w:type="spellEnd"/>
      <w:r w:rsidRPr="0051709F">
        <w:rPr>
          <w:rFonts w:eastAsia="Calibri" w:cstheme="minorHAnsi"/>
        </w:rPr>
        <w:t xml:space="preserve">-Delgado G, </w:t>
      </w:r>
      <w:proofErr w:type="spellStart"/>
      <w:r w:rsidRPr="0051709F">
        <w:rPr>
          <w:rFonts w:eastAsia="Calibri" w:cstheme="minorHAnsi"/>
        </w:rPr>
        <w:t>Martinez-Tellez</w:t>
      </w:r>
      <w:proofErr w:type="spellEnd"/>
      <w:r w:rsidRPr="0051709F">
        <w:rPr>
          <w:rFonts w:eastAsia="Calibri" w:cstheme="minorHAnsi"/>
        </w:rPr>
        <w:t xml:space="preserve"> B, </w:t>
      </w:r>
      <w:proofErr w:type="spellStart"/>
      <w:r w:rsidRPr="0051709F">
        <w:rPr>
          <w:rFonts w:eastAsia="Calibri" w:cstheme="minorHAnsi"/>
        </w:rPr>
        <w:t>Olza</w:t>
      </w:r>
      <w:proofErr w:type="spellEnd"/>
      <w:r w:rsidRPr="0051709F">
        <w:rPr>
          <w:rFonts w:eastAsia="Calibri" w:cstheme="minorHAnsi"/>
        </w:rPr>
        <w:t xml:space="preserve"> J, Aguilera CM, Labayen I, Ortega FB, </w:t>
      </w:r>
      <w:proofErr w:type="spellStart"/>
      <w:r w:rsidRPr="0051709F">
        <w:rPr>
          <w:rFonts w:eastAsia="Calibri" w:cstheme="minorHAnsi"/>
        </w:rPr>
        <w:t>Chillon</w:t>
      </w:r>
      <w:proofErr w:type="spellEnd"/>
      <w:r w:rsidRPr="0051709F">
        <w:rPr>
          <w:rFonts w:eastAsia="Calibri" w:cstheme="minorHAnsi"/>
        </w:rPr>
        <w:t xml:space="preserve"> P, </w:t>
      </w:r>
      <w:proofErr w:type="spellStart"/>
      <w:r w:rsidRPr="0051709F">
        <w:rPr>
          <w:rFonts w:eastAsia="Calibri" w:cstheme="minorHAnsi"/>
        </w:rPr>
        <w:t>Fernandez</w:t>
      </w:r>
      <w:proofErr w:type="spellEnd"/>
      <w:r w:rsidRPr="0051709F">
        <w:rPr>
          <w:rFonts w:eastAsia="Calibri" w:cstheme="minorHAnsi"/>
        </w:rPr>
        <w:t xml:space="preserve">-Reguera C, </w:t>
      </w:r>
      <w:proofErr w:type="spellStart"/>
      <w:r w:rsidRPr="0051709F">
        <w:rPr>
          <w:rFonts w:eastAsia="Calibri" w:cstheme="minorHAnsi"/>
        </w:rPr>
        <w:t>Alcantara</w:t>
      </w:r>
      <w:proofErr w:type="spellEnd"/>
      <w:r w:rsidRPr="0051709F">
        <w:rPr>
          <w:rFonts w:eastAsia="Calibri" w:cstheme="minorHAnsi"/>
        </w:rPr>
        <w:t xml:space="preserve"> JMA, </w:t>
      </w:r>
      <w:proofErr w:type="spellStart"/>
      <w:r w:rsidRPr="0051709F">
        <w:rPr>
          <w:rFonts w:eastAsia="Calibri" w:cstheme="minorHAnsi"/>
        </w:rPr>
        <w:t>Martinez-Avila</w:t>
      </w:r>
      <w:proofErr w:type="spellEnd"/>
      <w:r w:rsidRPr="0051709F">
        <w:rPr>
          <w:rFonts w:eastAsia="Calibri" w:cstheme="minorHAnsi"/>
        </w:rPr>
        <w:t xml:space="preserve"> WD, Muñoz-</w:t>
      </w:r>
      <w:proofErr w:type="spellStart"/>
      <w:r w:rsidRPr="0051709F">
        <w:rPr>
          <w:rFonts w:eastAsia="Calibri" w:cstheme="minorHAnsi"/>
        </w:rPr>
        <w:t>Hernandez</w:t>
      </w:r>
      <w:proofErr w:type="spellEnd"/>
      <w:r w:rsidRPr="0051709F">
        <w:rPr>
          <w:rFonts w:eastAsia="Calibri" w:cstheme="minorHAnsi"/>
        </w:rPr>
        <w:t xml:space="preserve"> V, Acosta FM, Prados-Ruiz J, Amaro-</w:t>
      </w:r>
      <w:proofErr w:type="spellStart"/>
      <w:r w:rsidRPr="0051709F">
        <w:rPr>
          <w:rFonts w:eastAsia="Calibri" w:cstheme="minorHAnsi"/>
        </w:rPr>
        <w:t>Gahete</w:t>
      </w:r>
      <w:proofErr w:type="spellEnd"/>
      <w:r w:rsidRPr="0051709F">
        <w:rPr>
          <w:rFonts w:eastAsia="Calibri" w:cstheme="minorHAnsi"/>
        </w:rPr>
        <w:t xml:space="preserve"> FJ, Hidalgo-Garcia L, Rodriguez L, Ruiz YA, </w:t>
      </w:r>
      <w:proofErr w:type="spellStart"/>
      <w:r w:rsidRPr="0051709F">
        <w:rPr>
          <w:rFonts w:eastAsia="Calibri" w:cstheme="minorHAnsi"/>
        </w:rPr>
        <w:t>Ramirez</w:t>
      </w:r>
      <w:proofErr w:type="spellEnd"/>
      <w:r w:rsidRPr="0051709F">
        <w:rPr>
          <w:rFonts w:eastAsia="Calibri" w:cstheme="minorHAnsi"/>
        </w:rPr>
        <w:t xml:space="preserve">-Navarro A, Muros-de Fuentes MA, García-Rivero Y, </w:t>
      </w:r>
      <w:proofErr w:type="spellStart"/>
      <w:r w:rsidRPr="0051709F">
        <w:rPr>
          <w:rFonts w:eastAsia="Calibri" w:cstheme="minorHAnsi"/>
        </w:rPr>
        <w:t>Sanchez-Sanchez</w:t>
      </w:r>
      <w:proofErr w:type="spellEnd"/>
      <w:r w:rsidRPr="0051709F">
        <w:rPr>
          <w:rFonts w:eastAsia="Calibri" w:cstheme="minorHAnsi"/>
        </w:rPr>
        <w:t xml:space="preserve"> R, de Dios Beas </w:t>
      </w:r>
      <w:proofErr w:type="spellStart"/>
      <w:r w:rsidRPr="0051709F">
        <w:rPr>
          <w:rFonts w:eastAsia="Calibri" w:cstheme="minorHAnsi"/>
        </w:rPr>
        <w:t>Jimenez</w:t>
      </w:r>
      <w:proofErr w:type="spellEnd"/>
      <w:r w:rsidRPr="0051709F">
        <w:rPr>
          <w:rFonts w:eastAsia="Calibri" w:cstheme="minorHAnsi"/>
        </w:rPr>
        <w:t xml:space="preserve"> J, de Teresa C, Navarrete S, Lozano R, Brea-</w:t>
      </w:r>
      <w:proofErr w:type="spellStart"/>
      <w:r w:rsidRPr="0051709F">
        <w:rPr>
          <w:rFonts w:eastAsia="Calibri" w:cstheme="minorHAnsi"/>
        </w:rPr>
        <w:t>Gomez</w:t>
      </w:r>
      <w:proofErr w:type="spellEnd"/>
      <w:r w:rsidRPr="0051709F">
        <w:rPr>
          <w:rFonts w:eastAsia="Calibri" w:cstheme="minorHAnsi"/>
        </w:rPr>
        <w:t xml:space="preserve"> E, Rubio-</w:t>
      </w:r>
      <w:proofErr w:type="spellStart"/>
      <w:r w:rsidRPr="0051709F">
        <w:rPr>
          <w:rFonts w:eastAsia="Calibri" w:cstheme="minorHAnsi"/>
        </w:rPr>
        <w:t>Lopez</w:t>
      </w:r>
      <w:proofErr w:type="spellEnd"/>
      <w:r w:rsidRPr="0051709F">
        <w:rPr>
          <w:rFonts w:eastAsia="Calibri" w:cstheme="minorHAnsi"/>
        </w:rPr>
        <w:t xml:space="preserve"> J, Ruiz MR, Cano-Nieto A, Llamas-Elvira JM, </w:t>
      </w:r>
      <w:proofErr w:type="spellStart"/>
      <w:r w:rsidRPr="0051709F">
        <w:rPr>
          <w:rFonts w:eastAsia="Calibri" w:cstheme="minorHAnsi"/>
        </w:rPr>
        <w:t>Jimenez</w:t>
      </w:r>
      <w:proofErr w:type="spellEnd"/>
      <w:r w:rsidRPr="0051709F">
        <w:rPr>
          <w:rFonts w:eastAsia="Calibri" w:cstheme="minorHAnsi"/>
        </w:rPr>
        <w:t xml:space="preserve"> </w:t>
      </w:r>
      <w:proofErr w:type="spellStart"/>
      <w:r w:rsidRPr="0051709F">
        <w:rPr>
          <w:rFonts w:eastAsia="Calibri" w:cstheme="minorHAnsi"/>
        </w:rPr>
        <w:t>Rios</w:t>
      </w:r>
      <w:proofErr w:type="spellEnd"/>
      <w:r w:rsidRPr="0051709F">
        <w:rPr>
          <w:rFonts w:eastAsia="Calibri" w:cstheme="minorHAnsi"/>
        </w:rPr>
        <w:t xml:space="preserve"> JA, Gil A, Ruiz JR. </w:t>
      </w:r>
      <w:r w:rsidRPr="0051709F">
        <w:rPr>
          <w:rFonts w:eastAsia="Calibri" w:cstheme="minorHAnsi"/>
          <w:lang w:val="en-GB"/>
        </w:rPr>
        <w:t xml:space="preserve">Activating brown adipose tissue through exercise (ACTIBATE) in young adults: Rationale, design and methodology. </w:t>
      </w:r>
      <w:proofErr w:type="spellStart"/>
      <w:r w:rsidRPr="006A6D22">
        <w:rPr>
          <w:rFonts w:eastAsia="Calibri" w:cstheme="minorHAnsi"/>
          <w:lang w:val="en-US"/>
        </w:rPr>
        <w:t>Contemp</w:t>
      </w:r>
      <w:proofErr w:type="spellEnd"/>
      <w:r w:rsidRPr="006A6D22">
        <w:rPr>
          <w:rFonts w:eastAsia="Calibri" w:cstheme="minorHAnsi"/>
          <w:lang w:val="en-US"/>
        </w:rPr>
        <w:t xml:space="preserve"> Clin Trials. 2015 Nov;45(Pt B):416-425. </w:t>
      </w:r>
      <w:proofErr w:type="spellStart"/>
      <w:r w:rsidRPr="006A6D22">
        <w:rPr>
          <w:rFonts w:eastAsia="Calibri" w:cstheme="minorHAnsi"/>
          <w:lang w:val="en-US"/>
        </w:rPr>
        <w:t>doi</w:t>
      </w:r>
      <w:proofErr w:type="spellEnd"/>
      <w:r w:rsidRPr="006A6D22">
        <w:rPr>
          <w:rFonts w:eastAsia="Calibri" w:cstheme="minorHAnsi"/>
          <w:lang w:val="en-US"/>
        </w:rPr>
        <w:t>: 10.1016/j.cct.2015.11.004.</w:t>
      </w:r>
    </w:p>
    <w:p w14:paraId="163EC691" w14:textId="77777777" w:rsidR="00433BD9" w:rsidRPr="0051709F" w:rsidRDefault="00433BD9" w:rsidP="00E6399B">
      <w:pPr>
        <w:numPr>
          <w:ilvl w:val="0"/>
          <w:numId w:val="90"/>
        </w:numPr>
        <w:spacing w:after="160" w:line="259" w:lineRule="auto"/>
        <w:contextualSpacing/>
        <w:jc w:val="both"/>
        <w:rPr>
          <w:rFonts w:eastAsia="Calibri" w:cstheme="minorHAnsi"/>
        </w:rPr>
      </w:pPr>
      <w:r w:rsidRPr="008A069C">
        <w:rPr>
          <w:rFonts w:eastAsia="Calibri" w:cstheme="minorHAnsi"/>
          <w:u w:val="single"/>
          <w:lang w:val="en-US"/>
        </w:rPr>
        <w:t>Proyecto INTERAPNEA</w:t>
      </w:r>
      <w:r w:rsidRPr="008A069C">
        <w:rPr>
          <w:rFonts w:eastAsia="Calibri" w:cstheme="minorHAnsi"/>
          <w:lang w:val="en-US"/>
        </w:rPr>
        <w:t>:  Carneiro-Barrera A, Amaro-</w:t>
      </w:r>
      <w:proofErr w:type="spellStart"/>
      <w:r w:rsidRPr="008A069C">
        <w:rPr>
          <w:rFonts w:eastAsia="Calibri" w:cstheme="minorHAnsi"/>
          <w:lang w:val="en-US"/>
        </w:rPr>
        <w:t>Gahete</w:t>
      </w:r>
      <w:proofErr w:type="spellEnd"/>
      <w:r w:rsidRPr="008A069C">
        <w:rPr>
          <w:rFonts w:eastAsia="Calibri" w:cstheme="minorHAnsi"/>
          <w:lang w:val="en-US"/>
        </w:rPr>
        <w:t xml:space="preserve"> FJ, Díaz-Román A, Guillén-Riquelme A, Jurado-Fasoli L, Sáez-Roca G, Martín-Carrasco C, Ruiz JR, Buela-Casal G. Interdisciplinary Weight Loss and Lifestyle Intervention for Obstructive Sleep </w:t>
      </w:r>
      <w:proofErr w:type="spellStart"/>
      <w:r w:rsidRPr="008A069C">
        <w:rPr>
          <w:rFonts w:eastAsia="Calibri" w:cstheme="minorHAnsi"/>
          <w:lang w:val="en-US"/>
        </w:rPr>
        <w:t>Apnoea</w:t>
      </w:r>
      <w:proofErr w:type="spellEnd"/>
      <w:r w:rsidRPr="008A069C">
        <w:rPr>
          <w:rFonts w:eastAsia="Calibri" w:cstheme="minorHAnsi"/>
          <w:lang w:val="en-US"/>
        </w:rPr>
        <w:t xml:space="preserve"> in Adults: Rationale, Design and Methodology of the INTERAPNEA Study. </w:t>
      </w:r>
      <w:proofErr w:type="spellStart"/>
      <w:r w:rsidRPr="0051709F">
        <w:rPr>
          <w:rFonts w:eastAsia="Calibri" w:cstheme="minorHAnsi"/>
        </w:rPr>
        <w:t>Nutrients</w:t>
      </w:r>
      <w:proofErr w:type="spellEnd"/>
      <w:r w:rsidRPr="0051709F">
        <w:rPr>
          <w:rFonts w:eastAsia="Calibri" w:cstheme="minorHAnsi"/>
        </w:rPr>
        <w:t xml:space="preserve">. 2019 </w:t>
      </w:r>
      <w:proofErr w:type="spellStart"/>
      <w:r w:rsidRPr="0051709F">
        <w:rPr>
          <w:rFonts w:eastAsia="Calibri" w:cstheme="minorHAnsi"/>
        </w:rPr>
        <w:t>Sep</w:t>
      </w:r>
      <w:proofErr w:type="spellEnd"/>
      <w:r w:rsidRPr="0051709F">
        <w:rPr>
          <w:rFonts w:eastAsia="Calibri" w:cstheme="minorHAnsi"/>
        </w:rPr>
        <w:t xml:space="preserve"> 15;11(9):2227. </w:t>
      </w:r>
      <w:proofErr w:type="spellStart"/>
      <w:r w:rsidRPr="0051709F">
        <w:rPr>
          <w:rFonts w:eastAsia="Calibri" w:cstheme="minorHAnsi"/>
        </w:rPr>
        <w:t>doi</w:t>
      </w:r>
      <w:proofErr w:type="spellEnd"/>
      <w:r w:rsidRPr="0051709F">
        <w:rPr>
          <w:rFonts w:eastAsia="Calibri" w:cstheme="minorHAnsi"/>
        </w:rPr>
        <w:t>: 10.3390/nu11092227.</w:t>
      </w:r>
    </w:p>
    <w:p w14:paraId="015477E1" w14:textId="77777777" w:rsidR="00433BD9" w:rsidRPr="006A6D22" w:rsidRDefault="00433BD9" w:rsidP="00E6399B">
      <w:pPr>
        <w:numPr>
          <w:ilvl w:val="0"/>
          <w:numId w:val="90"/>
        </w:numPr>
        <w:spacing w:after="160" w:line="259" w:lineRule="auto"/>
        <w:contextualSpacing/>
        <w:jc w:val="both"/>
        <w:rPr>
          <w:rFonts w:eastAsia="Calibri" w:cstheme="minorHAnsi"/>
          <w:lang w:val="en-US"/>
        </w:rPr>
      </w:pPr>
      <w:r w:rsidRPr="0051709F">
        <w:rPr>
          <w:rFonts w:eastAsia="Calibri" w:cstheme="minorHAnsi"/>
          <w:u w:val="single"/>
        </w:rPr>
        <w:t>Proyecto INTERAPNEA</w:t>
      </w:r>
      <w:r w:rsidRPr="0051709F">
        <w:rPr>
          <w:rFonts w:eastAsia="Calibri" w:cstheme="minorHAnsi"/>
        </w:rPr>
        <w:t>: Carneiro-Barrera A, Amaro-</w:t>
      </w:r>
      <w:proofErr w:type="spellStart"/>
      <w:r w:rsidRPr="0051709F">
        <w:rPr>
          <w:rFonts w:eastAsia="Calibri" w:cstheme="minorHAnsi"/>
        </w:rPr>
        <w:t>Gahete</w:t>
      </w:r>
      <w:proofErr w:type="spellEnd"/>
      <w:r w:rsidRPr="0051709F">
        <w:rPr>
          <w:rFonts w:eastAsia="Calibri" w:cstheme="minorHAnsi"/>
        </w:rPr>
        <w:t xml:space="preserve"> FJ, Guillén-Riquelme A, Jurado-</w:t>
      </w:r>
      <w:proofErr w:type="spellStart"/>
      <w:r w:rsidRPr="0051709F">
        <w:rPr>
          <w:rFonts w:eastAsia="Calibri" w:cstheme="minorHAnsi"/>
        </w:rPr>
        <w:t>Fasoli</w:t>
      </w:r>
      <w:proofErr w:type="spellEnd"/>
      <w:r w:rsidRPr="0051709F">
        <w:rPr>
          <w:rFonts w:eastAsia="Calibri" w:cstheme="minorHAnsi"/>
        </w:rPr>
        <w:t xml:space="preserve"> L, Sáez-Roca G, Martín-Carrasco C, </w:t>
      </w:r>
      <w:proofErr w:type="spellStart"/>
      <w:r w:rsidRPr="0051709F">
        <w:rPr>
          <w:rFonts w:eastAsia="Calibri" w:cstheme="minorHAnsi"/>
        </w:rPr>
        <w:t>Buela</w:t>
      </w:r>
      <w:proofErr w:type="spellEnd"/>
      <w:r w:rsidRPr="0051709F">
        <w:rPr>
          <w:rFonts w:eastAsia="Calibri" w:cstheme="minorHAnsi"/>
        </w:rPr>
        <w:t xml:space="preserve">-Casal G, Ruiz JR. </w:t>
      </w:r>
      <w:r w:rsidRPr="0051709F">
        <w:rPr>
          <w:rFonts w:eastAsia="Calibri" w:cstheme="minorHAnsi"/>
          <w:lang w:val="en-GB"/>
        </w:rPr>
        <w:t xml:space="preserve">Effect of an Interdisciplinary Weight Loss and Lifestyle Intervention on Obstructive Sleep </w:t>
      </w:r>
      <w:proofErr w:type="spellStart"/>
      <w:r w:rsidRPr="0051709F">
        <w:rPr>
          <w:rFonts w:eastAsia="Calibri" w:cstheme="minorHAnsi"/>
          <w:lang w:val="en-GB"/>
        </w:rPr>
        <w:t>Apnea</w:t>
      </w:r>
      <w:proofErr w:type="spellEnd"/>
      <w:r w:rsidRPr="0051709F">
        <w:rPr>
          <w:rFonts w:eastAsia="Calibri" w:cstheme="minorHAnsi"/>
          <w:lang w:val="en-GB"/>
        </w:rPr>
        <w:t xml:space="preserve"> Severity: The INTERAPNEA Randomized Clinical Trial. </w:t>
      </w:r>
      <w:r w:rsidRPr="006A6D22">
        <w:rPr>
          <w:rFonts w:eastAsia="Calibri" w:cstheme="minorHAnsi"/>
          <w:lang w:val="en-US"/>
        </w:rPr>
        <w:t xml:space="preserve">JAMA </w:t>
      </w:r>
      <w:proofErr w:type="spellStart"/>
      <w:r w:rsidRPr="006A6D22">
        <w:rPr>
          <w:rFonts w:eastAsia="Calibri" w:cstheme="minorHAnsi"/>
          <w:lang w:val="en-US"/>
        </w:rPr>
        <w:t>Netw</w:t>
      </w:r>
      <w:proofErr w:type="spellEnd"/>
      <w:r w:rsidRPr="006A6D22">
        <w:rPr>
          <w:rFonts w:eastAsia="Calibri" w:cstheme="minorHAnsi"/>
          <w:lang w:val="en-US"/>
        </w:rPr>
        <w:t xml:space="preserve"> Open. 2022 Apr 1;5(4</w:t>
      </w:r>
      <w:proofErr w:type="gramStart"/>
      <w:r w:rsidRPr="006A6D22">
        <w:rPr>
          <w:rFonts w:eastAsia="Calibri" w:cstheme="minorHAnsi"/>
          <w:lang w:val="en-US"/>
        </w:rPr>
        <w:t>):e</w:t>
      </w:r>
      <w:proofErr w:type="gramEnd"/>
      <w:r w:rsidRPr="006A6D22">
        <w:rPr>
          <w:rFonts w:eastAsia="Calibri" w:cstheme="minorHAnsi"/>
          <w:lang w:val="en-US"/>
        </w:rPr>
        <w:t xml:space="preserve">228212. </w:t>
      </w:r>
      <w:proofErr w:type="spellStart"/>
      <w:r w:rsidRPr="006A6D22">
        <w:rPr>
          <w:rFonts w:eastAsia="Calibri" w:cstheme="minorHAnsi"/>
          <w:lang w:val="en-US"/>
        </w:rPr>
        <w:t>doi</w:t>
      </w:r>
      <w:proofErr w:type="spellEnd"/>
      <w:r w:rsidRPr="006A6D22">
        <w:rPr>
          <w:rFonts w:eastAsia="Calibri" w:cstheme="minorHAnsi"/>
          <w:lang w:val="en-US"/>
        </w:rPr>
        <w:t>: 10.1001/jamanetworkopen.2022.8212.</w:t>
      </w:r>
    </w:p>
    <w:p w14:paraId="2087A5FE" w14:textId="77777777" w:rsidR="00433BD9" w:rsidRPr="0051709F" w:rsidRDefault="00433BD9" w:rsidP="00E6399B">
      <w:pPr>
        <w:numPr>
          <w:ilvl w:val="0"/>
          <w:numId w:val="90"/>
        </w:numPr>
        <w:spacing w:after="160" w:line="259" w:lineRule="auto"/>
        <w:contextualSpacing/>
        <w:jc w:val="both"/>
        <w:rPr>
          <w:rFonts w:eastAsia="Calibri" w:cstheme="minorHAnsi"/>
          <w:lang w:val="en-GB"/>
        </w:rPr>
      </w:pPr>
      <w:r w:rsidRPr="0051709F">
        <w:rPr>
          <w:rFonts w:eastAsia="Calibri" w:cstheme="minorHAnsi"/>
          <w:u w:val="single"/>
          <w:lang w:val="en-GB"/>
        </w:rPr>
        <w:lastRenderedPageBreak/>
        <w:t xml:space="preserve">Proyecto </w:t>
      </w:r>
      <w:proofErr w:type="spellStart"/>
      <w:r w:rsidRPr="0051709F">
        <w:rPr>
          <w:rFonts w:eastAsia="Calibri" w:cstheme="minorHAnsi"/>
          <w:u w:val="single"/>
          <w:lang w:val="en-GB"/>
        </w:rPr>
        <w:t>en</w:t>
      </w:r>
      <w:proofErr w:type="spellEnd"/>
      <w:r w:rsidRPr="0051709F">
        <w:rPr>
          <w:rFonts w:eastAsia="Calibri" w:cstheme="minorHAnsi"/>
          <w:u w:val="single"/>
          <w:lang w:val="en-GB"/>
        </w:rPr>
        <w:t xml:space="preserve"> </w:t>
      </w:r>
      <w:proofErr w:type="spellStart"/>
      <w:r w:rsidRPr="0051709F">
        <w:rPr>
          <w:rFonts w:eastAsia="Calibri" w:cstheme="minorHAnsi"/>
          <w:u w:val="single"/>
          <w:lang w:val="en-GB"/>
        </w:rPr>
        <w:t>patología</w:t>
      </w:r>
      <w:proofErr w:type="spellEnd"/>
      <w:r w:rsidRPr="0051709F">
        <w:rPr>
          <w:rFonts w:eastAsia="Calibri" w:cstheme="minorHAnsi"/>
          <w:u w:val="single"/>
          <w:lang w:val="en-GB"/>
        </w:rPr>
        <w:t xml:space="preserve"> renal:</w:t>
      </w:r>
      <w:r w:rsidRPr="0051709F">
        <w:rPr>
          <w:rFonts w:eastAsia="Calibri" w:cstheme="minorHAnsi"/>
          <w:lang w:val="en-GB"/>
        </w:rPr>
        <w:t xml:space="preserve"> Martínez-</w:t>
      </w:r>
      <w:proofErr w:type="spellStart"/>
      <w:r w:rsidRPr="0051709F">
        <w:rPr>
          <w:rFonts w:eastAsia="Calibri" w:cstheme="minorHAnsi"/>
          <w:lang w:val="en-GB"/>
        </w:rPr>
        <w:t>Majolero</w:t>
      </w:r>
      <w:proofErr w:type="spellEnd"/>
      <w:r w:rsidRPr="0051709F">
        <w:rPr>
          <w:rFonts w:eastAsia="Calibri" w:cstheme="minorHAnsi"/>
          <w:lang w:val="en-GB"/>
        </w:rPr>
        <w:t xml:space="preserve"> V, </w:t>
      </w:r>
      <w:proofErr w:type="spellStart"/>
      <w:r w:rsidRPr="0051709F">
        <w:rPr>
          <w:rFonts w:eastAsia="Calibri" w:cstheme="minorHAnsi"/>
          <w:lang w:val="en-GB"/>
        </w:rPr>
        <w:t>Urosa</w:t>
      </w:r>
      <w:proofErr w:type="spellEnd"/>
      <w:r w:rsidRPr="0051709F">
        <w:rPr>
          <w:rFonts w:eastAsia="Calibri" w:cstheme="minorHAnsi"/>
          <w:lang w:val="en-GB"/>
        </w:rPr>
        <w:t xml:space="preserve"> B, Hernández-Sánchez S. Physical Exercise in People with Chronic Kidney Disease—Practices and Perception of the Knowledge of Health Professionals and Physical Activity and Sport Science Professionals about Their Prescription. International Journal of Environmental Research and Public Health. 2022; 19(2):656. </w:t>
      </w:r>
      <w:hyperlink r:id="rId182">
        <w:r w:rsidRPr="0051709F">
          <w:rPr>
            <w:rFonts w:eastAsia="Calibri" w:cstheme="minorHAnsi"/>
            <w:color w:val="0563C1"/>
            <w:u w:val="single"/>
            <w:lang w:val="en-GB"/>
          </w:rPr>
          <w:t>https://doi.org/10.3390/ijerph19020656</w:t>
        </w:r>
      </w:hyperlink>
    </w:p>
    <w:p w14:paraId="0EF7BE0B" w14:textId="77777777" w:rsidR="00433BD9" w:rsidRPr="0051709F" w:rsidRDefault="00433BD9" w:rsidP="00E6399B">
      <w:pPr>
        <w:numPr>
          <w:ilvl w:val="0"/>
          <w:numId w:val="90"/>
        </w:numPr>
        <w:spacing w:after="160" w:line="259" w:lineRule="auto"/>
        <w:contextualSpacing/>
        <w:jc w:val="both"/>
        <w:rPr>
          <w:rFonts w:eastAsia="Calibri" w:cstheme="minorHAnsi"/>
        </w:rPr>
      </w:pPr>
      <w:r w:rsidRPr="0051709F">
        <w:rPr>
          <w:rFonts w:eastAsia="Calibri" w:cstheme="minorHAnsi"/>
          <w:u w:val="single"/>
        </w:rPr>
        <w:t>Artículos en enfermedad pulmonar obstructiva</w:t>
      </w:r>
      <w:r w:rsidRPr="0051709F">
        <w:rPr>
          <w:rFonts w:eastAsia="Calibri" w:cstheme="minorHAnsi"/>
        </w:rPr>
        <w:t xml:space="preserve">: </w:t>
      </w:r>
    </w:p>
    <w:p w14:paraId="514276E3" w14:textId="7217D08D" w:rsidR="00433BD9" w:rsidRPr="0051709F" w:rsidRDefault="00433BD9" w:rsidP="000B139D">
      <w:pPr>
        <w:ind w:left="708" w:firstLine="12"/>
        <w:jc w:val="both"/>
        <w:rPr>
          <w:rFonts w:eastAsia="Calibri" w:cstheme="minorHAnsi"/>
          <w:lang w:val="en-GB"/>
        </w:rPr>
      </w:pPr>
      <w:r w:rsidRPr="000B139D">
        <w:rPr>
          <w:rFonts w:eastAsia="Calibri" w:cstheme="minorHAnsi"/>
          <w:lang w:val="en-US"/>
        </w:rPr>
        <w:t>Baltasar-Fernandez I, Losa-Reyna J, Carretero A, Rodriguez-Lopez C, Alfaro-</w:t>
      </w:r>
      <w:proofErr w:type="spellStart"/>
      <w:r w:rsidRPr="000B139D">
        <w:rPr>
          <w:rFonts w:eastAsia="Calibri" w:cstheme="minorHAnsi"/>
          <w:lang w:val="en-US"/>
        </w:rPr>
        <w:t>Acha</w:t>
      </w:r>
      <w:proofErr w:type="spellEnd"/>
      <w:r w:rsidRPr="000B139D">
        <w:rPr>
          <w:rFonts w:eastAsia="Calibri" w:cstheme="minorHAnsi"/>
          <w:lang w:val="en-US"/>
        </w:rPr>
        <w:t xml:space="preserve"> A, Guadalupe-Grau A, Ara I, Alegre LM, Gomez-Cabrera MC, García-García FJ, Alcazar J. </w:t>
      </w:r>
      <w:r w:rsidRPr="0051709F">
        <w:rPr>
          <w:rFonts w:eastAsia="Calibri" w:cstheme="minorHAnsi"/>
          <w:lang w:val="en-GB"/>
        </w:rPr>
        <w:t xml:space="preserve">Residual effects of 12 weeks of power-oriented resistance training plus high-intensity </w:t>
      </w:r>
      <w:r w:rsidRPr="0051709F">
        <w:rPr>
          <w:rFonts w:eastAsia="Calibri" w:cstheme="minorHAnsi"/>
          <w:lang w:val="en-GB"/>
        </w:rPr>
        <w:tab/>
        <w:t xml:space="preserve">interval training on muscle dysfunction, systemic oxidative damage, and antioxidant capacity after 10 months of training cessation in older people with COPD. Scand J Med Sci </w:t>
      </w:r>
      <w:r w:rsidRPr="0051709F">
        <w:rPr>
          <w:rFonts w:eastAsia="Calibri" w:cstheme="minorHAnsi"/>
          <w:lang w:val="en-GB"/>
        </w:rPr>
        <w:tab/>
        <w:t>Sports.</w:t>
      </w:r>
      <w:r w:rsidR="000B139D">
        <w:rPr>
          <w:rFonts w:eastAsia="Calibri" w:cstheme="minorHAnsi"/>
          <w:lang w:val="en-GB"/>
        </w:rPr>
        <w:t xml:space="preserve"> </w:t>
      </w:r>
      <w:r w:rsidRPr="0051709F">
        <w:rPr>
          <w:rFonts w:eastAsia="Calibri" w:cstheme="minorHAnsi"/>
          <w:lang w:val="en-GB"/>
        </w:rPr>
        <w:t>2023</w:t>
      </w:r>
      <w:r w:rsidR="000B139D">
        <w:rPr>
          <w:rFonts w:eastAsia="Calibri" w:cstheme="minorHAnsi"/>
          <w:lang w:val="en-GB"/>
        </w:rPr>
        <w:t xml:space="preserve"> </w:t>
      </w:r>
      <w:r w:rsidRPr="0051709F">
        <w:rPr>
          <w:rFonts w:eastAsia="Calibri" w:cstheme="minorHAnsi"/>
          <w:lang w:val="en-GB"/>
        </w:rPr>
        <w:t xml:space="preserve">Jun 15. </w:t>
      </w:r>
      <w:proofErr w:type="spellStart"/>
      <w:r w:rsidRPr="0051709F">
        <w:rPr>
          <w:rFonts w:eastAsia="Calibri" w:cstheme="minorHAnsi"/>
          <w:lang w:val="en-GB"/>
        </w:rPr>
        <w:t>doi</w:t>
      </w:r>
      <w:proofErr w:type="spellEnd"/>
      <w:r w:rsidRPr="0051709F">
        <w:rPr>
          <w:rFonts w:eastAsia="Calibri" w:cstheme="minorHAnsi"/>
          <w:lang w:val="en-GB"/>
        </w:rPr>
        <w:t>: 10.1111/sms.14428.</w:t>
      </w:r>
    </w:p>
    <w:p w14:paraId="7DD7BE36" w14:textId="77777777" w:rsidR="00433BD9" w:rsidRPr="0051709F" w:rsidRDefault="00433BD9" w:rsidP="000B139D">
      <w:pPr>
        <w:ind w:left="708" w:firstLine="12"/>
        <w:jc w:val="both"/>
        <w:rPr>
          <w:rFonts w:eastAsia="Calibri" w:cstheme="minorHAnsi"/>
        </w:rPr>
      </w:pPr>
      <w:r w:rsidRPr="0051709F">
        <w:rPr>
          <w:rFonts w:eastAsia="Calibri" w:cstheme="minorHAnsi"/>
          <w:lang w:val="en-GB"/>
        </w:rPr>
        <w:t>Alcazar J, Losa-Reyna J, Rodriguez-Lopez C, Navarro-Cruz R, Alfaro-</w:t>
      </w:r>
      <w:proofErr w:type="spellStart"/>
      <w:r w:rsidRPr="0051709F">
        <w:rPr>
          <w:rFonts w:eastAsia="Calibri" w:cstheme="minorHAnsi"/>
          <w:lang w:val="en-GB"/>
        </w:rPr>
        <w:t>Acha</w:t>
      </w:r>
      <w:proofErr w:type="spellEnd"/>
      <w:r w:rsidRPr="0051709F">
        <w:rPr>
          <w:rFonts w:eastAsia="Calibri" w:cstheme="minorHAnsi"/>
          <w:lang w:val="en-GB"/>
        </w:rPr>
        <w:t xml:space="preserve"> A, Ara I, García-</w:t>
      </w:r>
      <w:r w:rsidRPr="0051709F">
        <w:rPr>
          <w:rFonts w:eastAsia="Calibri" w:cstheme="minorHAnsi"/>
          <w:lang w:val="en-GB"/>
        </w:rPr>
        <w:tab/>
        <w:t xml:space="preserve">García FJ, Alegre LM, Guadalupe-Grau A. Effects of concurrent exercise training on muscle </w:t>
      </w:r>
      <w:r w:rsidRPr="0051709F">
        <w:rPr>
          <w:rFonts w:eastAsia="Calibri" w:cstheme="minorHAnsi"/>
          <w:lang w:val="en-GB"/>
        </w:rPr>
        <w:tab/>
        <w:t xml:space="preserve">dysfunction and systemic oxidative stress in older people with COPD. </w:t>
      </w:r>
      <w:proofErr w:type="spellStart"/>
      <w:r w:rsidRPr="0051709F">
        <w:rPr>
          <w:rFonts w:eastAsia="Calibri" w:cstheme="minorHAnsi"/>
        </w:rPr>
        <w:t>Scand</w:t>
      </w:r>
      <w:proofErr w:type="spellEnd"/>
      <w:r w:rsidRPr="0051709F">
        <w:rPr>
          <w:rFonts w:eastAsia="Calibri" w:cstheme="minorHAnsi"/>
        </w:rPr>
        <w:t xml:space="preserve"> J </w:t>
      </w:r>
      <w:proofErr w:type="spellStart"/>
      <w:r w:rsidRPr="0051709F">
        <w:rPr>
          <w:rFonts w:eastAsia="Calibri" w:cstheme="minorHAnsi"/>
        </w:rPr>
        <w:t>Med</w:t>
      </w:r>
      <w:proofErr w:type="spellEnd"/>
      <w:r w:rsidRPr="0051709F">
        <w:rPr>
          <w:rFonts w:eastAsia="Calibri" w:cstheme="minorHAnsi"/>
        </w:rPr>
        <w:t xml:space="preserve"> </w:t>
      </w:r>
      <w:proofErr w:type="spellStart"/>
      <w:r w:rsidRPr="0051709F">
        <w:rPr>
          <w:rFonts w:eastAsia="Calibri" w:cstheme="minorHAnsi"/>
        </w:rPr>
        <w:t>Sci</w:t>
      </w:r>
      <w:proofErr w:type="spellEnd"/>
      <w:r w:rsidRPr="0051709F">
        <w:rPr>
          <w:rFonts w:eastAsia="Calibri" w:cstheme="minorHAnsi"/>
        </w:rPr>
        <w:t xml:space="preserve"> </w:t>
      </w:r>
      <w:r w:rsidRPr="0051709F">
        <w:rPr>
          <w:rFonts w:eastAsia="Calibri" w:cstheme="minorHAnsi"/>
        </w:rPr>
        <w:tab/>
      </w:r>
      <w:proofErr w:type="spellStart"/>
      <w:r w:rsidRPr="0051709F">
        <w:rPr>
          <w:rFonts w:eastAsia="Calibri" w:cstheme="minorHAnsi"/>
        </w:rPr>
        <w:t>Sports</w:t>
      </w:r>
      <w:proofErr w:type="spellEnd"/>
      <w:r w:rsidRPr="0051709F">
        <w:rPr>
          <w:rFonts w:eastAsia="Calibri" w:cstheme="minorHAnsi"/>
        </w:rPr>
        <w:t xml:space="preserve">. 2019 Oct;29(10):1591-1603. </w:t>
      </w:r>
      <w:proofErr w:type="spellStart"/>
      <w:r w:rsidRPr="0051709F">
        <w:rPr>
          <w:rFonts w:eastAsia="Calibri" w:cstheme="minorHAnsi"/>
        </w:rPr>
        <w:t>doi</w:t>
      </w:r>
      <w:proofErr w:type="spellEnd"/>
      <w:r w:rsidRPr="0051709F">
        <w:rPr>
          <w:rFonts w:eastAsia="Calibri" w:cstheme="minorHAnsi"/>
        </w:rPr>
        <w:t xml:space="preserve">: 10.1111/sms.13494. </w:t>
      </w:r>
    </w:p>
    <w:p w14:paraId="58A91ABF" w14:textId="77777777" w:rsidR="00433BD9" w:rsidRPr="0051709F" w:rsidRDefault="00433BD9" w:rsidP="00E6399B">
      <w:pPr>
        <w:numPr>
          <w:ilvl w:val="0"/>
          <w:numId w:val="107"/>
        </w:numPr>
        <w:spacing w:after="160" w:line="259" w:lineRule="auto"/>
        <w:contextualSpacing/>
        <w:jc w:val="both"/>
        <w:rPr>
          <w:rFonts w:eastAsia="Calibri" w:cstheme="minorHAnsi"/>
        </w:rPr>
      </w:pPr>
      <w:r w:rsidRPr="0051709F">
        <w:rPr>
          <w:rFonts w:eastAsia="Calibri" w:cstheme="minorHAnsi"/>
          <w:u w:val="single"/>
          <w:lang w:val="en-GB"/>
        </w:rPr>
        <w:t>Diabetes y COVID:</w:t>
      </w:r>
      <w:r w:rsidRPr="0051709F">
        <w:rPr>
          <w:rFonts w:eastAsia="Calibri" w:cstheme="minorHAnsi"/>
          <w:lang w:val="en-GB"/>
        </w:rPr>
        <w:t xml:space="preserve"> Guadalupe-Grau A, López-Torres O, Martos-Bermúdez Á, González-Gross M. Home-based training strategy to maintain muscle function in older adults with diabetes during COVID-19 confinement. </w:t>
      </w:r>
      <w:r w:rsidRPr="0051709F">
        <w:rPr>
          <w:rFonts w:eastAsia="Calibri" w:cstheme="minorHAnsi"/>
        </w:rPr>
        <w:t xml:space="preserve">J Diabetes. 2020 Sep;12(9):701-702. </w:t>
      </w:r>
      <w:proofErr w:type="spellStart"/>
      <w:r w:rsidRPr="0051709F">
        <w:rPr>
          <w:rFonts w:eastAsia="Calibri" w:cstheme="minorHAnsi"/>
        </w:rPr>
        <w:t>doi</w:t>
      </w:r>
      <w:proofErr w:type="spellEnd"/>
      <w:r w:rsidRPr="0051709F">
        <w:rPr>
          <w:rFonts w:eastAsia="Calibri" w:cstheme="minorHAnsi"/>
        </w:rPr>
        <w:t>: 10.1111/1753-0407.13051.</w:t>
      </w:r>
    </w:p>
    <w:p w14:paraId="6A73F869" w14:textId="77777777" w:rsidR="00433BD9" w:rsidRPr="0051709F" w:rsidRDefault="00433BD9" w:rsidP="00E6399B">
      <w:pPr>
        <w:numPr>
          <w:ilvl w:val="0"/>
          <w:numId w:val="107"/>
        </w:numPr>
        <w:spacing w:after="160" w:line="259" w:lineRule="auto"/>
        <w:contextualSpacing/>
        <w:jc w:val="both"/>
        <w:rPr>
          <w:rFonts w:eastAsia="Calibri" w:cstheme="minorHAnsi"/>
        </w:rPr>
      </w:pPr>
      <w:r w:rsidRPr="0051709F">
        <w:rPr>
          <w:rFonts w:eastAsia="Calibri" w:cstheme="minorHAnsi"/>
          <w:u w:val="single"/>
        </w:rPr>
        <w:t>Proyecto FLIPAN para hígado graso</w:t>
      </w:r>
      <w:r w:rsidRPr="0051709F">
        <w:rPr>
          <w:rFonts w:eastAsia="Calibri" w:cstheme="minorHAnsi"/>
        </w:rPr>
        <w:t xml:space="preserve">: </w:t>
      </w:r>
    </w:p>
    <w:p w14:paraId="7E0DCAFA" w14:textId="13720A48" w:rsidR="00433BD9" w:rsidRPr="0051709F" w:rsidRDefault="00433BD9" w:rsidP="000B139D">
      <w:pPr>
        <w:ind w:left="720"/>
        <w:jc w:val="both"/>
        <w:rPr>
          <w:rFonts w:eastAsia="Calibri" w:cstheme="minorHAnsi"/>
        </w:rPr>
      </w:pPr>
      <w:r w:rsidRPr="0051709F">
        <w:rPr>
          <w:rFonts w:eastAsia="Calibri" w:cstheme="minorHAnsi"/>
        </w:rPr>
        <w:t xml:space="preserve">Mascaró CM, </w:t>
      </w:r>
      <w:proofErr w:type="spellStart"/>
      <w:r w:rsidRPr="0051709F">
        <w:rPr>
          <w:rFonts w:eastAsia="Calibri" w:cstheme="minorHAnsi"/>
        </w:rPr>
        <w:t>Bouzas</w:t>
      </w:r>
      <w:proofErr w:type="spellEnd"/>
      <w:r w:rsidRPr="0051709F">
        <w:rPr>
          <w:rFonts w:eastAsia="Calibri" w:cstheme="minorHAnsi"/>
        </w:rPr>
        <w:t xml:space="preserve"> C, Montemayor S, García S, Mateos D, Casares M, Gómez</w:t>
      </w:r>
      <w:r w:rsidR="000B139D">
        <w:rPr>
          <w:rFonts w:eastAsia="Calibri" w:cstheme="minorHAnsi"/>
        </w:rPr>
        <w:t xml:space="preserve"> </w:t>
      </w:r>
      <w:r w:rsidRPr="0051709F">
        <w:rPr>
          <w:rFonts w:eastAsia="Calibri" w:cstheme="minorHAnsi"/>
        </w:rPr>
        <w:t>C, Ugarriza</w:t>
      </w:r>
      <w:r w:rsidR="000B139D">
        <w:rPr>
          <w:rFonts w:eastAsia="Calibri" w:cstheme="minorHAnsi"/>
        </w:rPr>
        <w:t xml:space="preserve"> </w:t>
      </w:r>
      <w:r w:rsidRPr="0051709F">
        <w:rPr>
          <w:rFonts w:eastAsia="Calibri" w:cstheme="minorHAnsi"/>
        </w:rPr>
        <w:t xml:space="preserve">L, </w:t>
      </w:r>
      <w:proofErr w:type="spellStart"/>
      <w:r w:rsidRPr="0051709F">
        <w:rPr>
          <w:rFonts w:eastAsia="Calibri" w:cstheme="minorHAnsi"/>
        </w:rPr>
        <w:t>Borràs</w:t>
      </w:r>
      <w:proofErr w:type="spellEnd"/>
      <w:r w:rsidRPr="0051709F">
        <w:rPr>
          <w:rFonts w:eastAsia="Calibri" w:cstheme="minorHAnsi"/>
        </w:rPr>
        <w:t xml:space="preserve"> PA, Martínez JA, Tur JA. </w:t>
      </w:r>
      <w:r w:rsidRPr="0051709F">
        <w:rPr>
          <w:rFonts w:eastAsia="Calibri" w:cstheme="minorHAnsi"/>
          <w:lang w:val="en-GB"/>
        </w:rPr>
        <w:t xml:space="preserve">Impact of Physical Activity Differences Due to COVID-19 Pandemic Lockdown on Non-Alcoholic Fatty Liver Parameters in Adults with Metabolic Syndrome. </w:t>
      </w:r>
      <w:proofErr w:type="spellStart"/>
      <w:r w:rsidRPr="0051709F">
        <w:rPr>
          <w:rFonts w:eastAsia="Calibri" w:cstheme="minorHAnsi"/>
        </w:rPr>
        <w:t>Nutrients</w:t>
      </w:r>
      <w:proofErr w:type="spellEnd"/>
      <w:r w:rsidRPr="0051709F">
        <w:rPr>
          <w:rFonts w:eastAsia="Calibri" w:cstheme="minorHAnsi"/>
        </w:rPr>
        <w:t xml:space="preserve">. 2022 Jun 8;14(12):2370. </w:t>
      </w:r>
      <w:proofErr w:type="spellStart"/>
      <w:r w:rsidRPr="0051709F">
        <w:rPr>
          <w:rFonts w:eastAsia="Calibri" w:cstheme="minorHAnsi"/>
        </w:rPr>
        <w:t>doi</w:t>
      </w:r>
      <w:proofErr w:type="spellEnd"/>
      <w:r w:rsidRPr="0051709F">
        <w:rPr>
          <w:rFonts w:eastAsia="Calibri" w:cstheme="minorHAnsi"/>
        </w:rPr>
        <w:t>: 10.3390/nu14122370.</w:t>
      </w:r>
    </w:p>
    <w:p w14:paraId="7230DC2B" w14:textId="5E5859DE" w:rsidR="00433BD9" w:rsidRPr="0051709F" w:rsidRDefault="00433BD9" w:rsidP="000B139D">
      <w:pPr>
        <w:ind w:left="708"/>
        <w:jc w:val="both"/>
        <w:rPr>
          <w:rFonts w:eastAsia="Calibri" w:cstheme="minorHAnsi"/>
        </w:rPr>
      </w:pPr>
      <w:r w:rsidRPr="0051709F">
        <w:rPr>
          <w:rFonts w:eastAsia="Calibri" w:cstheme="minorHAnsi"/>
        </w:rPr>
        <w:t xml:space="preserve">Mascaró CM, </w:t>
      </w:r>
      <w:proofErr w:type="spellStart"/>
      <w:r w:rsidRPr="0051709F">
        <w:rPr>
          <w:rFonts w:eastAsia="Calibri" w:cstheme="minorHAnsi"/>
        </w:rPr>
        <w:t>Bouzas</w:t>
      </w:r>
      <w:proofErr w:type="spellEnd"/>
      <w:r w:rsidRPr="0051709F">
        <w:rPr>
          <w:rFonts w:eastAsia="Calibri" w:cstheme="minorHAnsi"/>
        </w:rPr>
        <w:t xml:space="preserve"> C, Montemayor S, Casares M, Llompart I, Ugarriza L, </w:t>
      </w:r>
      <w:proofErr w:type="spellStart"/>
      <w:r w:rsidRPr="0051709F">
        <w:rPr>
          <w:rFonts w:eastAsia="Calibri" w:cstheme="minorHAnsi"/>
        </w:rPr>
        <w:t>Borràs</w:t>
      </w:r>
      <w:proofErr w:type="spellEnd"/>
      <w:r w:rsidRPr="0051709F">
        <w:rPr>
          <w:rFonts w:eastAsia="Calibri" w:cstheme="minorHAnsi"/>
        </w:rPr>
        <w:t xml:space="preserve"> PA, Martínez JA, Tur JA. </w:t>
      </w:r>
      <w:r w:rsidRPr="0051709F">
        <w:rPr>
          <w:rFonts w:eastAsia="Calibri" w:cstheme="minorHAnsi"/>
          <w:lang w:val="en-GB"/>
        </w:rPr>
        <w:t xml:space="preserve">Effect of a Six-Month Lifestyle Intervention on the Physical Activity and </w:t>
      </w:r>
      <w:r w:rsidRPr="0051709F">
        <w:rPr>
          <w:rFonts w:eastAsia="Calibri" w:cstheme="minorHAnsi"/>
          <w:lang w:val="en-GB"/>
        </w:rPr>
        <w:tab/>
        <w:t xml:space="preserve">Fitness Status of Adults with NAFLD and Metabolic Syndrome. </w:t>
      </w:r>
      <w:proofErr w:type="spellStart"/>
      <w:r w:rsidRPr="0051709F">
        <w:rPr>
          <w:rFonts w:eastAsia="Calibri" w:cstheme="minorHAnsi"/>
        </w:rPr>
        <w:t>Nutrients</w:t>
      </w:r>
      <w:proofErr w:type="spellEnd"/>
      <w:r w:rsidRPr="0051709F">
        <w:rPr>
          <w:rFonts w:eastAsia="Calibri" w:cstheme="minorHAnsi"/>
        </w:rPr>
        <w:t xml:space="preserve">. 2022 </w:t>
      </w:r>
      <w:proofErr w:type="spellStart"/>
      <w:r w:rsidRPr="0051709F">
        <w:rPr>
          <w:rFonts w:eastAsia="Calibri" w:cstheme="minorHAnsi"/>
        </w:rPr>
        <w:t>Apr</w:t>
      </w:r>
      <w:proofErr w:type="spellEnd"/>
      <w:r w:rsidRPr="0051709F">
        <w:rPr>
          <w:rFonts w:eastAsia="Calibri" w:cstheme="minorHAnsi"/>
        </w:rPr>
        <w:t xml:space="preserve"> 26;14(9):1813. </w:t>
      </w:r>
      <w:proofErr w:type="spellStart"/>
      <w:r w:rsidRPr="0051709F">
        <w:rPr>
          <w:rFonts w:eastAsia="Calibri" w:cstheme="minorHAnsi"/>
        </w:rPr>
        <w:t>doi</w:t>
      </w:r>
      <w:proofErr w:type="spellEnd"/>
      <w:r w:rsidRPr="0051709F">
        <w:rPr>
          <w:rFonts w:eastAsia="Calibri" w:cstheme="minorHAnsi"/>
        </w:rPr>
        <w:t>: 10.3390/nu14091813.</w:t>
      </w:r>
    </w:p>
    <w:p w14:paraId="577B477E" w14:textId="64928086" w:rsidR="00433BD9" w:rsidRPr="0051709F" w:rsidRDefault="00433BD9" w:rsidP="000B139D">
      <w:pPr>
        <w:ind w:left="708"/>
        <w:jc w:val="both"/>
        <w:rPr>
          <w:rFonts w:eastAsia="Calibri" w:cstheme="minorHAnsi"/>
        </w:rPr>
      </w:pPr>
      <w:r w:rsidRPr="0051709F">
        <w:rPr>
          <w:rFonts w:eastAsia="Calibri" w:cstheme="minorHAnsi"/>
        </w:rPr>
        <w:t xml:space="preserve">Mascaró CM, </w:t>
      </w:r>
      <w:proofErr w:type="spellStart"/>
      <w:r w:rsidRPr="0051709F">
        <w:rPr>
          <w:rFonts w:eastAsia="Calibri" w:cstheme="minorHAnsi"/>
        </w:rPr>
        <w:t>Bouzas</w:t>
      </w:r>
      <w:proofErr w:type="spellEnd"/>
      <w:r w:rsidRPr="0051709F">
        <w:rPr>
          <w:rFonts w:eastAsia="Calibri" w:cstheme="minorHAnsi"/>
        </w:rPr>
        <w:t xml:space="preserve"> C, Montemayor S, Casares M, Gómez C, Ugarriza L, </w:t>
      </w:r>
      <w:proofErr w:type="spellStart"/>
      <w:r w:rsidRPr="0051709F">
        <w:rPr>
          <w:rFonts w:eastAsia="Calibri" w:cstheme="minorHAnsi"/>
        </w:rPr>
        <w:t>Borràs</w:t>
      </w:r>
      <w:proofErr w:type="spellEnd"/>
      <w:r w:rsidRPr="0051709F">
        <w:rPr>
          <w:rFonts w:eastAsia="Calibri" w:cstheme="minorHAnsi"/>
        </w:rPr>
        <w:t xml:space="preserve"> PA, Martínez JA, Tur JA. </w:t>
      </w:r>
      <w:r w:rsidRPr="0051709F">
        <w:rPr>
          <w:rFonts w:eastAsia="Calibri" w:cstheme="minorHAnsi"/>
          <w:lang w:val="en-GB"/>
        </w:rPr>
        <w:t>Association between Stages of Hepatic Steatosis and Physical Activity</w:t>
      </w:r>
      <w:r w:rsidR="000B139D">
        <w:rPr>
          <w:rFonts w:eastAsia="Calibri" w:cstheme="minorHAnsi"/>
          <w:lang w:val="en-GB"/>
        </w:rPr>
        <w:t xml:space="preserve"> </w:t>
      </w:r>
      <w:r w:rsidRPr="0051709F">
        <w:rPr>
          <w:rFonts w:eastAsia="Calibri" w:cstheme="minorHAnsi"/>
          <w:lang w:val="en-GB"/>
        </w:rPr>
        <w:t xml:space="preserve">Performance in Adults with Metabolic Syndrome: A Cross-Sectional Analysis in FLIPAN </w:t>
      </w:r>
      <w:r w:rsidRPr="0051709F">
        <w:rPr>
          <w:rFonts w:eastAsia="Calibri" w:cstheme="minorHAnsi"/>
          <w:lang w:val="en-GB"/>
        </w:rPr>
        <w:tab/>
        <w:t xml:space="preserve">Study. </w:t>
      </w:r>
      <w:proofErr w:type="spellStart"/>
      <w:r w:rsidRPr="0051709F">
        <w:rPr>
          <w:rFonts w:eastAsia="Calibri" w:cstheme="minorHAnsi"/>
        </w:rPr>
        <w:t>Nutrients</w:t>
      </w:r>
      <w:proofErr w:type="spellEnd"/>
      <w:r w:rsidRPr="0051709F">
        <w:rPr>
          <w:rFonts w:eastAsia="Calibri" w:cstheme="minorHAnsi"/>
        </w:rPr>
        <w:t xml:space="preserve">. 2022 </w:t>
      </w:r>
      <w:proofErr w:type="spellStart"/>
      <w:r w:rsidRPr="0051709F">
        <w:rPr>
          <w:rFonts w:eastAsia="Calibri" w:cstheme="minorHAnsi"/>
        </w:rPr>
        <w:t>Apr</w:t>
      </w:r>
      <w:proofErr w:type="spellEnd"/>
      <w:r w:rsidRPr="0051709F">
        <w:rPr>
          <w:rFonts w:eastAsia="Calibri" w:cstheme="minorHAnsi"/>
        </w:rPr>
        <w:t xml:space="preserve"> 24;14(9):1790. </w:t>
      </w:r>
      <w:proofErr w:type="spellStart"/>
      <w:r w:rsidRPr="0051709F">
        <w:rPr>
          <w:rFonts w:eastAsia="Calibri" w:cstheme="minorHAnsi"/>
        </w:rPr>
        <w:t>doi</w:t>
      </w:r>
      <w:proofErr w:type="spellEnd"/>
      <w:r w:rsidRPr="0051709F">
        <w:rPr>
          <w:rFonts w:eastAsia="Calibri" w:cstheme="minorHAnsi"/>
        </w:rPr>
        <w:t>: 10.3390/nu14091790.</w:t>
      </w:r>
    </w:p>
    <w:p w14:paraId="2F729FF1" w14:textId="7F4AAC9F" w:rsidR="00433BD9" w:rsidRPr="0051709F" w:rsidRDefault="00433BD9" w:rsidP="000B139D">
      <w:pPr>
        <w:ind w:left="708"/>
        <w:jc w:val="both"/>
        <w:rPr>
          <w:rFonts w:eastAsia="Calibri" w:cstheme="minorHAnsi"/>
        </w:rPr>
      </w:pPr>
      <w:r w:rsidRPr="0051709F">
        <w:rPr>
          <w:rFonts w:eastAsia="Calibri" w:cstheme="minorHAnsi"/>
        </w:rPr>
        <w:t xml:space="preserve">Mascaró CM, </w:t>
      </w:r>
      <w:proofErr w:type="spellStart"/>
      <w:r w:rsidRPr="0051709F">
        <w:rPr>
          <w:rFonts w:eastAsia="Calibri" w:cstheme="minorHAnsi"/>
        </w:rPr>
        <w:t>Bouzas</w:t>
      </w:r>
      <w:proofErr w:type="spellEnd"/>
      <w:r w:rsidRPr="0051709F">
        <w:rPr>
          <w:rFonts w:eastAsia="Calibri" w:cstheme="minorHAnsi"/>
        </w:rPr>
        <w:t xml:space="preserve"> C, Montemayor S, Casares M, Gómez C, Ugarriza L, </w:t>
      </w:r>
      <w:proofErr w:type="spellStart"/>
      <w:r w:rsidRPr="0051709F">
        <w:rPr>
          <w:rFonts w:eastAsia="Calibri" w:cstheme="minorHAnsi"/>
        </w:rPr>
        <w:t>Borràs</w:t>
      </w:r>
      <w:proofErr w:type="spellEnd"/>
      <w:r w:rsidRPr="0051709F">
        <w:rPr>
          <w:rFonts w:eastAsia="Calibri" w:cstheme="minorHAnsi"/>
        </w:rPr>
        <w:t xml:space="preserve"> PA, Martínez JA, Tur JA. </w:t>
      </w:r>
      <w:r w:rsidRPr="0051709F">
        <w:rPr>
          <w:rFonts w:eastAsia="Calibri" w:cstheme="minorHAnsi"/>
          <w:lang w:val="en-GB"/>
        </w:rPr>
        <w:t xml:space="preserve">Association between Physical Activity and Non-Alcoholic Fatty Liver </w:t>
      </w:r>
      <w:r w:rsidRPr="0051709F">
        <w:rPr>
          <w:rFonts w:eastAsia="Calibri" w:cstheme="minorHAnsi"/>
          <w:lang w:val="en-GB"/>
        </w:rPr>
        <w:tab/>
        <w:t xml:space="preserve">Disease in Adults with Metabolic Syndrome: The FLIPAN Study. </w:t>
      </w:r>
      <w:proofErr w:type="spellStart"/>
      <w:r w:rsidRPr="0051709F">
        <w:rPr>
          <w:rFonts w:eastAsia="Calibri" w:cstheme="minorHAnsi"/>
        </w:rPr>
        <w:t>Nutrients</w:t>
      </w:r>
      <w:proofErr w:type="spellEnd"/>
      <w:r w:rsidRPr="0051709F">
        <w:rPr>
          <w:rFonts w:eastAsia="Calibri" w:cstheme="minorHAnsi"/>
        </w:rPr>
        <w:t xml:space="preserve">. 2022 Mar 3;14(5):1063. </w:t>
      </w:r>
      <w:proofErr w:type="spellStart"/>
      <w:r w:rsidRPr="0051709F">
        <w:rPr>
          <w:rFonts w:eastAsia="Calibri" w:cstheme="minorHAnsi"/>
        </w:rPr>
        <w:t>doi</w:t>
      </w:r>
      <w:proofErr w:type="spellEnd"/>
      <w:r w:rsidRPr="0051709F">
        <w:rPr>
          <w:rFonts w:eastAsia="Calibri" w:cstheme="minorHAnsi"/>
        </w:rPr>
        <w:t>: 10.3390/nu14051063.</w:t>
      </w:r>
    </w:p>
    <w:p w14:paraId="34F167AD" w14:textId="77777777" w:rsidR="00A65EF6" w:rsidRDefault="00A65EF6" w:rsidP="00433BD9">
      <w:pPr>
        <w:spacing w:after="160" w:line="259" w:lineRule="auto"/>
        <w:rPr>
          <w:rFonts w:eastAsia="Calibri" w:cstheme="minorHAnsi"/>
          <w:u w:val="single"/>
        </w:rPr>
      </w:pPr>
    </w:p>
    <w:p w14:paraId="72A24B7B" w14:textId="77777777" w:rsidR="00A65EF6" w:rsidRDefault="00A65EF6" w:rsidP="00433BD9">
      <w:pPr>
        <w:spacing w:after="160" w:line="259" w:lineRule="auto"/>
        <w:rPr>
          <w:rFonts w:eastAsia="Calibri" w:cstheme="minorHAnsi"/>
          <w:u w:val="single"/>
        </w:rPr>
      </w:pPr>
    </w:p>
    <w:p w14:paraId="6660BEBB" w14:textId="77777777" w:rsidR="00A65EF6" w:rsidRDefault="00A65EF6" w:rsidP="00433BD9">
      <w:pPr>
        <w:spacing w:after="160" w:line="259" w:lineRule="auto"/>
        <w:rPr>
          <w:rFonts w:eastAsia="Calibri" w:cstheme="minorHAnsi"/>
          <w:u w:val="single"/>
        </w:rPr>
      </w:pPr>
    </w:p>
    <w:p w14:paraId="542B77CB" w14:textId="5736A4E5" w:rsidR="000B139D" w:rsidRDefault="00433BD9" w:rsidP="00433BD9">
      <w:pPr>
        <w:spacing w:after="160" w:line="259" w:lineRule="auto"/>
        <w:rPr>
          <w:rFonts w:eastAsia="Calibri" w:cstheme="minorHAnsi"/>
        </w:rPr>
      </w:pPr>
      <w:r w:rsidRPr="0051709F">
        <w:rPr>
          <w:rFonts w:eastAsia="Calibri" w:cstheme="minorHAnsi"/>
          <w:u w:val="single"/>
        </w:rPr>
        <w:lastRenderedPageBreak/>
        <w:t>Fragilidad en mayores institucionalizados</w:t>
      </w:r>
      <w:r w:rsidRPr="0051709F">
        <w:rPr>
          <w:rFonts w:eastAsia="Calibri" w:cstheme="minorHAnsi"/>
        </w:rPr>
        <w:t xml:space="preserve">: </w:t>
      </w:r>
    </w:p>
    <w:p w14:paraId="5B6E9AFE" w14:textId="6ECD470C" w:rsidR="00433BD9" w:rsidRPr="0051709F" w:rsidRDefault="00433BD9" w:rsidP="000B139D">
      <w:pPr>
        <w:spacing w:after="160" w:line="259" w:lineRule="auto"/>
        <w:ind w:left="708"/>
        <w:jc w:val="both"/>
        <w:rPr>
          <w:rFonts w:eastAsia="Calibri" w:cstheme="minorHAnsi"/>
          <w:lang w:val="en-GB"/>
        </w:rPr>
      </w:pPr>
      <w:r w:rsidRPr="0051709F">
        <w:rPr>
          <w:rFonts w:eastAsia="Calibri" w:cstheme="minorHAnsi"/>
        </w:rPr>
        <w:t>Rodriguez-</w:t>
      </w:r>
      <w:proofErr w:type="spellStart"/>
      <w:r w:rsidRPr="0051709F">
        <w:rPr>
          <w:rFonts w:eastAsia="Calibri" w:cstheme="minorHAnsi"/>
        </w:rPr>
        <w:t>Larrad</w:t>
      </w:r>
      <w:proofErr w:type="spellEnd"/>
      <w:r w:rsidRPr="0051709F">
        <w:rPr>
          <w:rFonts w:eastAsia="Calibri" w:cstheme="minorHAnsi"/>
        </w:rPr>
        <w:t xml:space="preserve">, A., Arrieta, H., Rezola, C. et al. </w:t>
      </w:r>
      <w:r w:rsidRPr="0051709F">
        <w:rPr>
          <w:rFonts w:eastAsia="Calibri" w:cstheme="minorHAnsi"/>
          <w:lang w:val="en-GB"/>
        </w:rPr>
        <w:t xml:space="preserve">Effectiveness of a multicomponent exercise program in the attenuation of frailty in long-term nursing home residents: study protocol for a randomized clinical controlled trial. BMC </w:t>
      </w:r>
      <w:proofErr w:type="spellStart"/>
      <w:r w:rsidRPr="0051709F">
        <w:rPr>
          <w:rFonts w:eastAsia="Calibri" w:cstheme="minorHAnsi"/>
          <w:lang w:val="en-GB"/>
        </w:rPr>
        <w:t>Geriatr</w:t>
      </w:r>
      <w:proofErr w:type="spellEnd"/>
      <w:r w:rsidRPr="0051709F">
        <w:rPr>
          <w:rFonts w:eastAsia="Calibri" w:cstheme="minorHAnsi"/>
          <w:lang w:val="en-GB"/>
        </w:rPr>
        <w:t xml:space="preserve"> 17, 60 (2017). </w:t>
      </w:r>
      <w:hyperlink r:id="rId183">
        <w:r w:rsidRPr="0051709F">
          <w:rPr>
            <w:rFonts w:eastAsia="Calibri" w:cstheme="minorHAnsi"/>
            <w:color w:val="0563C1"/>
            <w:u w:val="single"/>
            <w:lang w:val="en-GB"/>
          </w:rPr>
          <w:t>https://doi.org/10.1186/s12877-017-0453-0</w:t>
        </w:r>
      </w:hyperlink>
      <w:r w:rsidRPr="0051709F">
        <w:rPr>
          <w:rFonts w:eastAsia="Calibri" w:cstheme="minorHAnsi"/>
          <w:lang w:val="en-GB"/>
        </w:rPr>
        <w:t xml:space="preserve">. </w:t>
      </w:r>
    </w:p>
    <w:p w14:paraId="6E559C64" w14:textId="77777777" w:rsidR="000B139D" w:rsidRDefault="00433BD9" w:rsidP="00E6399B">
      <w:pPr>
        <w:pStyle w:val="Prrafodelista"/>
        <w:numPr>
          <w:ilvl w:val="0"/>
          <w:numId w:val="90"/>
        </w:numPr>
        <w:jc w:val="both"/>
        <w:rPr>
          <w:rFonts w:asciiTheme="minorHAnsi" w:eastAsia="Calibri" w:hAnsiTheme="minorHAnsi" w:cstheme="minorHAnsi"/>
          <w:sz w:val="24"/>
          <w:szCs w:val="24"/>
        </w:rPr>
      </w:pPr>
      <w:r w:rsidRPr="0051709F">
        <w:rPr>
          <w:rFonts w:asciiTheme="minorHAnsi" w:eastAsia="Calibri" w:hAnsiTheme="minorHAnsi" w:cstheme="minorHAnsi"/>
          <w:sz w:val="24"/>
          <w:szCs w:val="24"/>
          <w:lang w:val="en-GB"/>
        </w:rPr>
        <w:t xml:space="preserve">Haritz Arrieta, </w:t>
      </w:r>
      <w:proofErr w:type="gramStart"/>
      <w:r w:rsidRPr="0051709F">
        <w:rPr>
          <w:rFonts w:asciiTheme="minorHAnsi" w:eastAsia="Calibri" w:hAnsiTheme="minorHAnsi" w:cstheme="minorHAnsi"/>
          <w:sz w:val="24"/>
          <w:szCs w:val="24"/>
          <w:lang w:val="en-GB"/>
        </w:rPr>
        <w:t>PhD,*</w:t>
      </w:r>
      <w:proofErr w:type="gramEnd"/>
      <w:r w:rsidRPr="0051709F">
        <w:rPr>
          <w:rFonts w:asciiTheme="minorHAnsi" w:eastAsia="Calibri" w:hAnsiTheme="minorHAnsi" w:cstheme="minorHAnsi"/>
          <w:sz w:val="24"/>
          <w:szCs w:val="24"/>
          <w:lang w:val="en-GB"/>
        </w:rPr>
        <w:t xml:space="preserve"> Chloe </w:t>
      </w:r>
      <w:proofErr w:type="spellStart"/>
      <w:r w:rsidRPr="0051709F">
        <w:rPr>
          <w:rFonts w:asciiTheme="minorHAnsi" w:eastAsia="Calibri" w:hAnsiTheme="minorHAnsi" w:cstheme="minorHAnsi"/>
          <w:sz w:val="24"/>
          <w:szCs w:val="24"/>
          <w:lang w:val="en-GB"/>
        </w:rPr>
        <w:t>Rezola</w:t>
      </w:r>
      <w:proofErr w:type="spellEnd"/>
      <w:r w:rsidRPr="0051709F">
        <w:rPr>
          <w:rFonts w:asciiTheme="minorHAnsi" w:eastAsia="Calibri" w:hAnsiTheme="minorHAnsi" w:cstheme="minorHAnsi"/>
          <w:sz w:val="24"/>
          <w:szCs w:val="24"/>
          <w:lang w:val="en-GB"/>
        </w:rPr>
        <w:t xml:space="preserve">-Pardo, MSc,* Susana M. Gil, PhD,* Janire </w:t>
      </w:r>
      <w:proofErr w:type="spellStart"/>
      <w:r w:rsidRPr="0051709F">
        <w:rPr>
          <w:rFonts w:asciiTheme="minorHAnsi" w:eastAsia="Calibri" w:hAnsiTheme="minorHAnsi" w:cstheme="minorHAnsi"/>
          <w:sz w:val="24"/>
          <w:szCs w:val="24"/>
          <w:lang w:val="en-GB"/>
        </w:rPr>
        <w:t>Virgala</w:t>
      </w:r>
      <w:proofErr w:type="spellEnd"/>
      <w:r w:rsidRPr="0051709F">
        <w:rPr>
          <w:rFonts w:asciiTheme="minorHAnsi" w:eastAsia="Calibri" w:hAnsiTheme="minorHAnsi" w:cstheme="minorHAnsi"/>
          <w:sz w:val="24"/>
          <w:szCs w:val="24"/>
          <w:lang w:val="en-GB"/>
        </w:rPr>
        <w:t xml:space="preserve">, MSc,† Miren </w:t>
      </w:r>
      <w:proofErr w:type="spellStart"/>
      <w:r w:rsidRPr="0051709F">
        <w:rPr>
          <w:rFonts w:asciiTheme="minorHAnsi" w:eastAsia="Calibri" w:hAnsiTheme="minorHAnsi" w:cstheme="minorHAnsi"/>
          <w:sz w:val="24"/>
          <w:szCs w:val="24"/>
          <w:lang w:val="en-GB"/>
        </w:rPr>
        <w:t>Iturburu</w:t>
      </w:r>
      <w:proofErr w:type="spellEnd"/>
      <w:r w:rsidRPr="0051709F">
        <w:rPr>
          <w:rFonts w:asciiTheme="minorHAnsi" w:eastAsia="Calibri" w:hAnsiTheme="minorHAnsi" w:cstheme="minorHAnsi"/>
          <w:sz w:val="24"/>
          <w:szCs w:val="24"/>
          <w:lang w:val="en-GB"/>
        </w:rPr>
        <w:t>, MSc,‡ Iván Antón, MD,§ Vanesa González-</w:t>
      </w:r>
      <w:proofErr w:type="spellStart"/>
      <w:r w:rsidRPr="0051709F">
        <w:rPr>
          <w:rFonts w:asciiTheme="minorHAnsi" w:eastAsia="Calibri" w:hAnsiTheme="minorHAnsi" w:cstheme="minorHAnsi"/>
          <w:sz w:val="24"/>
          <w:szCs w:val="24"/>
          <w:lang w:val="en-GB"/>
        </w:rPr>
        <w:t>Templado</w:t>
      </w:r>
      <w:proofErr w:type="spellEnd"/>
      <w:r w:rsidRPr="0051709F">
        <w:rPr>
          <w:rFonts w:asciiTheme="minorHAnsi" w:eastAsia="Calibri" w:hAnsiTheme="minorHAnsi" w:cstheme="minorHAnsi"/>
          <w:sz w:val="24"/>
          <w:szCs w:val="24"/>
          <w:lang w:val="en-GB"/>
        </w:rPr>
        <w:t xml:space="preserve">, BSc,¶ Jon </w:t>
      </w:r>
      <w:proofErr w:type="spellStart"/>
      <w:r w:rsidRPr="0051709F">
        <w:rPr>
          <w:rFonts w:asciiTheme="minorHAnsi" w:eastAsia="Calibri" w:hAnsiTheme="minorHAnsi" w:cstheme="minorHAnsi"/>
          <w:sz w:val="24"/>
          <w:szCs w:val="24"/>
          <w:lang w:val="en-GB"/>
        </w:rPr>
        <w:t>Irazusta</w:t>
      </w:r>
      <w:proofErr w:type="spellEnd"/>
      <w:r w:rsidRPr="0051709F">
        <w:rPr>
          <w:rFonts w:asciiTheme="minorHAnsi" w:eastAsia="Calibri" w:hAnsiTheme="minorHAnsi" w:cstheme="minorHAnsi"/>
          <w:sz w:val="24"/>
          <w:szCs w:val="24"/>
          <w:lang w:val="en-GB"/>
        </w:rPr>
        <w:t>, PhD,* and Ana Rodriguez-</w:t>
      </w:r>
      <w:proofErr w:type="spellStart"/>
      <w:r w:rsidRPr="0051709F">
        <w:rPr>
          <w:rFonts w:asciiTheme="minorHAnsi" w:eastAsia="Calibri" w:hAnsiTheme="minorHAnsi" w:cstheme="minorHAnsi"/>
          <w:sz w:val="24"/>
          <w:szCs w:val="24"/>
          <w:lang w:val="en-GB"/>
        </w:rPr>
        <w:t>Larrad</w:t>
      </w:r>
      <w:proofErr w:type="spellEnd"/>
      <w:r w:rsidRPr="0051709F">
        <w:rPr>
          <w:rFonts w:asciiTheme="minorHAnsi" w:eastAsia="Calibri" w:hAnsiTheme="minorHAnsi" w:cstheme="minorHAnsi"/>
          <w:sz w:val="24"/>
          <w:szCs w:val="24"/>
          <w:lang w:val="en-GB"/>
        </w:rPr>
        <w:t>, PhD. Effects of Multicomponent Exercise on Frailty in Long-Term Nursing Homes: A Randomized Controlled</w:t>
      </w:r>
      <w:r w:rsidR="000B139D">
        <w:rPr>
          <w:rFonts w:asciiTheme="minorHAnsi" w:eastAsia="Calibri" w:hAnsiTheme="minorHAnsi" w:cstheme="minorHAnsi"/>
          <w:sz w:val="24"/>
          <w:szCs w:val="24"/>
          <w:lang w:val="en-GB"/>
        </w:rPr>
        <w:t xml:space="preserve"> </w:t>
      </w:r>
      <w:r w:rsidRPr="0051709F">
        <w:rPr>
          <w:rFonts w:asciiTheme="minorHAnsi" w:eastAsia="Calibri" w:hAnsiTheme="minorHAnsi" w:cstheme="minorHAnsi"/>
          <w:sz w:val="24"/>
          <w:szCs w:val="24"/>
          <w:lang w:val="en-GB"/>
        </w:rPr>
        <w:t xml:space="preserve">Trial. </w:t>
      </w:r>
      <w:r w:rsidRPr="0051709F">
        <w:rPr>
          <w:rFonts w:asciiTheme="minorHAnsi" w:eastAsia="Calibri" w:hAnsiTheme="minorHAnsi" w:cstheme="minorHAnsi"/>
          <w:sz w:val="24"/>
          <w:szCs w:val="24"/>
        </w:rPr>
        <w:t>JAGS 2019; 67:1145–1151.</w:t>
      </w:r>
    </w:p>
    <w:p w14:paraId="3EC40E01" w14:textId="4A12C9DA" w:rsidR="001276B4" w:rsidRPr="0085322A" w:rsidRDefault="00E055DA" w:rsidP="0085322A">
      <w:pPr>
        <w:pStyle w:val="Prrafodelista"/>
        <w:jc w:val="both"/>
        <w:rPr>
          <w:rFonts w:asciiTheme="minorHAnsi" w:hAnsiTheme="minorHAnsi" w:cstheme="minorHAnsi"/>
          <w:b/>
          <w:bCs/>
          <w:caps/>
          <w:sz w:val="24"/>
          <w:szCs w:val="24"/>
        </w:rPr>
      </w:pPr>
      <w:r w:rsidRPr="0051709F">
        <w:rPr>
          <w:rFonts w:asciiTheme="minorHAnsi" w:hAnsiTheme="minorHAnsi" w:cstheme="minorHAnsi"/>
          <w:sz w:val="24"/>
          <w:szCs w:val="24"/>
        </w:rPr>
        <w:br/>
      </w:r>
      <w:r w:rsidR="001276B4" w:rsidRPr="0085322A">
        <w:rPr>
          <w:rFonts w:asciiTheme="minorHAnsi" w:hAnsiTheme="minorHAnsi" w:cstheme="minorHAnsi"/>
          <w:b/>
          <w:bCs/>
          <w:caps/>
          <w:sz w:val="24"/>
          <w:szCs w:val="24"/>
        </w:rPr>
        <w:t>Área Deporte y Sostenibilidad</w:t>
      </w:r>
    </w:p>
    <w:p w14:paraId="025A0FB0" w14:textId="77777777" w:rsidR="001276B4" w:rsidRPr="0051709F" w:rsidRDefault="001276B4" w:rsidP="001276B4">
      <w:pPr>
        <w:rPr>
          <w:rFonts w:cstheme="minorHAnsi"/>
          <w:lang w:val="es-ES_tradnl"/>
        </w:rPr>
      </w:pPr>
    </w:p>
    <w:p w14:paraId="541885D0" w14:textId="77777777" w:rsidR="001276B4" w:rsidRPr="0051709F" w:rsidRDefault="001276B4" w:rsidP="001276B4">
      <w:pPr>
        <w:jc w:val="both"/>
        <w:rPr>
          <w:rFonts w:cstheme="minorHAnsi"/>
          <w:b/>
          <w:bCs/>
        </w:rPr>
      </w:pPr>
      <w:r w:rsidRPr="0051709F">
        <w:rPr>
          <w:rFonts w:cstheme="minorHAnsi"/>
          <w:b/>
          <w:bCs/>
        </w:rPr>
        <w:t>1.- Vitoria- Gasteiz</w:t>
      </w:r>
    </w:p>
    <w:p w14:paraId="4BD26337" w14:textId="77777777" w:rsidR="001276B4" w:rsidRPr="0051709F" w:rsidRDefault="00000000" w:rsidP="001276B4">
      <w:pPr>
        <w:jc w:val="both"/>
        <w:rPr>
          <w:rFonts w:cstheme="minorHAnsi"/>
        </w:rPr>
      </w:pPr>
      <w:hyperlink r:id="rId184" w:history="1">
        <w:r w:rsidR="001276B4" w:rsidRPr="0051709F">
          <w:rPr>
            <w:rStyle w:val="Hipervnculo"/>
            <w:rFonts w:cstheme="minorHAnsi"/>
          </w:rPr>
          <w:t>Sitio web del Ayuntamiento de Vitoria-Gasteiz - Plan de Movilidad Sostenible y Espacio Público - Plan vigente</w:t>
        </w:r>
      </w:hyperlink>
    </w:p>
    <w:p w14:paraId="61351FFA" w14:textId="77777777" w:rsidR="001276B4" w:rsidRPr="0051709F" w:rsidRDefault="001276B4" w:rsidP="001276B4">
      <w:pPr>
        <w:jc w:val="both"/>
        <w:rPr>
          <w:rFonts w:cstheme="minorHAnsi"/>
          <w:b/>
          <w:bCs/>
        </w:rPr>
      </w:pPr>
    </w:p>
    <w:p w14:paraId="4E18A258" w14:textId="77777777" w:rsidR="001276B4" w:rsidRPr="0051709F" w:rsidRDefault="001276B4" w:rsidP="001276B4">
      <w:pPr>
        <w:jc w:val="both"/>
        <w:rPr>
          <w:rFonts w:cstheme="minorHAnsi"/>
          <w:b/>
          <w:bCs/>
        </w:rPr>
      </w:pPr>
      <w:r w:rsidRPr="0051709F">
        <w:rPr>
          <w:rFonts w:cstheme="minorHAnsi"/>
          <w:b/>
          <w:bCs/>
        </w:rPr>
        <w:t xml:space="preserve">2.- Isabel Ramis  </w:t>
      </w:r>
    </w:p>
    <w:p w14:paraId="2218F2B8" w14:textId="77777777" w:rsidR="001276B4" w:rsidRPr="0051709F" w:rsidRDefault="001276B4" w:rsidP="001276B4">
      <w:pPr>
        <w:jc w:val="both"/>
        <w:rPr>
          <w:rFonts w:cstheme="minorHAnsi"/>
          <w:color w:val="000000" w:themeColor="text1"/>
        </w:rPr>
      </w:pPr>
      <w:r w:rsidRPr="0051709F">
        <w:rPr>
          <w:rFonts w:cstheme="minorHAnsi"/>
          <w:color w:val="000000" w:themeColor="text1"/>
          <w:shd w:val="clear" w:color="auto" w:fill="FFFFFF"/>
        </w:rPr>
        <w:t>Blog.  Iniciativa personal desde 2009 con el </w:t>
      </w:r>
      <w:r w:rsidRPr="0051709F">
        <w:rPr>
          <w:rFonts w:cstheme="minorHAnsi"/>
          <w:b/>
          <w:bCs/>
          <w:color w:val="000000" w:themeColor="text1"/>
          <w:shd w:val="clear" w:color="auto" w:fill="FFFFFF"/>
        </w:rPr>
        <w:t>objetivo de convertir a Madrid en una ciudad de bicis</w:t>
      </w:r>
      <w:r w:rsidRPr="0051709F">
        <w:rPr>
          <w:rFonts w:cstheme="minorHAnsi"/>
          <w:color w:val="000000" w:themeColor="text1"/>
          <w:shd w:val="clear" w:color="auto" w:fill="FFFFFF"/>
        </w:rPr>
        <w:t>. </w:t>
      </w:r>
    </w:p>
    <w:p w14:paraId="32245423" w14:textId="77777777" w:rsidR="001276B4" w:rsidRPr="0051709F" w:rsidRDefault="00000000" w:rsidP="001276B4">
      <w:pPr>
        <w:jc w:val="both"/>
        <w:rPr>
          <w:rFonts w:cstheme="minorHAnsi"/>
        </w:rPr>
      </w:pPr>
      <w:hyperlink r:id="rId185" w:history="1">
        <w:r w:rsidR="001276B4" w:rsidRPr="0051709F">
          <w:rPr>
            <w:rStyle w:val="Hipervnculo"/>
            <w:rFonts w:cstheme="minorHAnsi"/>
          </w:rPr>
          <w:t>Muévete en bici por Madrid (mueveteenbicipormadrid.com)</w:t>
        </w:r>
      </w:hyperlink>
    </w:p>
    <w:p w14:paraId="36BC8DA5" w14:textId="77777777" w:rsidR="001276B4" w:rsidRPr="0051709F" w:rsidRDefault="00000000" w:rsidP="001276B4">
      <w:pPr>
        <w:jc w:val="both"/>
        <w:rPr>
          <w:rFonts w:cstheme="minorHAnsi"/>
        </w:rPr>
      </w:pPr>
      <w:hyperlink r:id="rId186" w:history="1">
        <w:r w:rsidR="001276B4" w:rsidRPr="0051709F">
          <w:rPr>
            <w:rStyle w:val="Hipervnculo"/>
            <w:rFonts w:cstheme="minorHAnsi"/>
          </w:rPr>
          <w:t>Muévete en bici por Madrid: Acerca de este blog y contacto (mueveteenbicipormadrid.com)</w:t>
        </w:r>
      </w:hyperlink>
    </w:p>
    <w:p w14:paraId="7A92BEFE" w14:textId="77777777" w:rsidR="001276B4" w:rsidRPr="0051709F" w:rsidRDefault="001276B4" w:rsidP="001276B4">
      <w:pPr>
        <w:jc w:val="both"/>
        <w:rPr>
          <w:rFonts w:cstheme="minorHAnsi"/>
          <w:b/>
          <w:bCs/>
        </w:rPr>
      </w:pPr>
    </w:p>
    <w:p w14:paraId="6AB5FE1F" w14:textId="77777777" w:rsidR="001276B4" w:rsidRPr="0051709F" w:rsidRDefault="001276B4" w:rsidP="001276B4">
      <w:pPr>
        <w:jc w:val="both"/>
        <w:rPr>
          <w:rFonts w:cstheme="minorHAnsi"/>
          <w:b/>
          <w:bCs/>
        </w:rPr>
      </w:pPr>
      <w:r w:rsidRPr="0051709F">
        <w:rPr>
          <w:rFonts w:cstheme="minorHAnsi"/>
          <w:b/>
          <w:bCs/>
        </w:rPr>
        <w:t>3.- Red de Ciudades por la bicicleta</w:t>
      </w:r>
    </w:p>
    <w:p w14:paraId="62E2E22C" w14:textId="77777777" w:rsidR="001276B4" w:rsidRPr="0051709F" w:rsidRDefault="00000000" w:rsidP="001276B4">
      <w:pPr>
        <w:jc w:val="both"/>
        <w:rPr>
          <w:rFonts w:cstheme="minorHAnsi"/>
        </w:rPr>
      </w:pPr>
      <w:hyperlink r:id="rId187" w:history="1">
        <w:r w:rsidR="001276B4" w:rsidRPr="0051709F">
          <w:rPr>
            <w:rStyle w:val="Hipervnculo"/>
            <w:rFonts w:cstheme="minorHAnsi"/>
          </w:rPr>
          <w:t>Publicaciones - Red de Ciudades por la Bicicleta</w:t>
        </w:r>
      </w:hyperlink>
    </w:p>
    <w:p w14:paraId="350B95F1" w14:textId="77777777" w:rsidR="001276B4" w:rsidRPr="0051709F" w:rsidRDefault="001276B4" w:rsidP="001276B4">
      <w:pPr>
        <w:jc w:val="both"/>
        <w:rPr>
          <w:rFonts w:cstheme="minorHAnsi"/>
          <w:b/>
          <w:bCs/>
          <w:lang w:eastAsia="es-ES"/>
        </w:rPr>
      </w:pPr>
    </w:p>
    <w:p w14:paraId="1883FDDE" w14:textId="77777777" w:rsidR="001276B4" w:rsidRPr="0051709F" w:rsidRDefault="001276B4" w:rsidP="001276B4">
      <w:pPr>
        <w:jc w:val="both"/>
        <w:rPr>
          <w:rFonts w:cstheme="minorHAnsi"/>
          <w:b/>
          <w:bCs/>
          <w:lang w:eastAsia="es-ES"/>
        </w:rPr>
      </w:pPr>
      <w:r w:rsidRPr="0051709F">
        <w:rPr>
          <w:rFonts w:cstheme="minorHAnsi"/>
          <w:b/>
          <w:bCs/>
          <w:lang w:eastAsia="es-ES"/>
        </w:rPr>
        <w:t xml:space="preserve">4.- </w:t>
      </w:r>
      <w:proofErr w:type="spellStart"/>
      <w:r w:rsidRPr="0051709F">
        <w:rPr>
          <w:rFonts w:cstheme="minorHAnsi"/>
          <w:b/>
          <w:bCs/>
          <w:lang w:eastAsia="es-ES"/>
        </w:rPr>
        <w:t>Activalab</w:t>
      </w:r>
      <w:proofErr w:type="spellEnd"/>
      <w:r w:rsidRPr="0051709F">
        <w:rPr>
          <w:rFonts w:cstheme="minorHAnsi"/>
          <w:b/>
          <w:bCs/>
          <w:lang w:eastAsia="es-ES"/>
        </w:rPr>
        <w:t xml:space="preserve"> es un plan de integración social para configurar un ecosistema deportivo comarcal abierto.</w:t>
      </w:r>
    </w:p>
    <w:p w14:paraId="1AAEF3C9" w14:textId="77777777" w:rsidR="001276B4" w:rsidRPr="0051709F" w:rsidRDefault="00000000" w:rsidP="001276B4">
      <w:pPr>
        <w:jc w:val="both"/>
        <w:rPr>
          <w:rFonts w:cstheme="minorHAnsi"/>
        </w:rPr>
      </w:pPr>
      <w:hyperlink r:id="rId188" w:history="1">
        <w:proofErr w:type="spellStart"/>
        <w:r w:rsidR="001276B4" w:rsidRPr="0051709F">
          <w:rPr>
            <w:rStyle w:val="Hipervnculo"/>
            <w:rFonts w:cstheme="minorHAnsi"/>
          </w:rPr>
          <w:t>Activalab</w:t>
        </w:r>
        <w:proofErr w:type="spellEnd"/>
        <w:r w:rsidR="001276B4" w:rsidRPr="0051709F">
          <w:rPr>
            <w:rStyle w:val="Hipervnculo"/>
            <w:rFonts w:cstheme="minorHAnsi"/>
          </w:rPr>
          <w:t xml:space="preserve"> · Deporte y Actividad Física del Baix Llobregat</w:t>
        </w:r>
      </w:hyperlink>
    </w:p>
    <w:p w14:paraId="44CB1A18" w14:textId="77777777" w:rsidR="001276B4" w:rsidRPr="0051709F" w:rsidRDefault="001276B4" w:rsidP="001276B4">
      <w:pPr>
        <w:jc w:val="both"/>
        <w:rPr>
          <w:rFonts w:cstheme="minorHAnsi"/>
          <w:b/>
          <w:bCs/>
          <w:color w:val="000000" w:themeColor="text1"/>
        </w:rPr>
      </w:pPr>
    </w:p>
    <w:p w14:paraId="3EB4EDC6" w14:textId="77777777" w:rsidR="001276B4" w:rsidRPr="0051709F" w:rsidRDefault="001276B4" w:rsidP="001276B4">
      <w:pPr>
        <w:jc w:val="both"/>
        <w:rPr>
          <w:rFonts w:cstheme="minorHAnsi"/>
          <w:b/>
          <w:bCs/>
          <w:color w:val="000000" w:themeColor="text1"/>
        </w:rPr>
      </w:pPr>
      <w:r w:rsidRPr="0051709F">
        <w:rPr>
          <w:rFonts w:cstheme="minorHAnsi"/>
          <w:b/>
          <w:bCs/>
          <w:color w:val="000000" w:themeColor="text1"/>
        </w:rPr>
        <w:t>5.- Programa de la ciudad de Valencia</w:t>
      </w:r>
    </w:p>
    <w:p w14:paraId="3E12A3B7" w14:textId="77777777" w:rsidR="001276B4" w:rsidRPr="0051709F" w:rsidRDefault="00000000" w:rsidP="001276B4">
      <w:pPr>
        <w:jc w:val="both"/>
        <w:rPr>
          <w:rFonts w:cstheme="minorHAnsi"/>
        </w:rPr>
      </w:pPr>
      <w:hyperlink r:id="rId189" w:history="1">
        <w:r w:rsidR="001276B4" w:rsidRPr="0051709F">
          <w:rPr>
            <w:rFonts w:cstheme="minorHAnsi"/>
            <w:color w:val="0000FF"/>
            <w:u w:val="single"/>
          </w:rPr>
          <w:t>València, Capital Verde Europea 2024 #EUGreenCapital - València (valencia.es)</w:t>
        </w:r>
      </w:hyperlink>
    </w:p>
    <w:p w14:paraId="6C1F74B3" w14:textId="77777777" w:rsidR="001276B4" w:rsidRPr="0051709F" w:rsidRDefault="00000000" w:rsidP="001276B4">
      <w:pPr>
        <w:jc w:val="both"/>
        <w:rPr>
          <w:rFonts w:cstheme="minorHAnsi"/>
        </w:rPr>
      </w:pPr>
      <w:hyperlink r:id="rId190" w:history="1">
        <w:r w:rsidR="001276B4" w:rsidRPr="0051709F">
          <w:rPr>
            <w:rFonts w:cstheme="minorHAnsi"/>
            <w:color w:val="0000FF"/>
            <w:u w:val="single"/>
          </w:rPr>
          <w:t>Valencia mira al futuro como Capital Verde Europea de 2024 (nationalgeographic.com.es)</w:t>
        </w:r>
      </w:hyperlink>
    </w:p>
    <w:p w14:paraId="0DCCF356" w14:textId="77777777" w:rsidR="001276B4" w:rsidRPr="0051709F" w:rsidRDefault="001276B4" w:rsidP="001276B4">
      <w:pPr>
        <w:jc w:val="both"/>
        <w:rPr>
          <w:rFonts w:cstheme="minorHAnsi"/>
          <w:b/>
          <w:bCs/>
          <w:color w:val="000000" w:themeColor="text1"/>
        </w:rPr>
      </w:pPr>
    </w:p>
    <w:p w14:paraId="0A9FEAE9" w14:textId="77777777" w:rsidR="001276B4" w:rsidRPr="0051709F" w:rsidRDefault="001276B4" w:rsidP="001276B4">
      <w:pPr>
        <w:jc w:val="both"/>
        <w:rPr>
          <w:rFonts w:cstheme="minorHAnsi"/>
          <w:b/>
          <w:bCs/>
          <w:color w:val="000000" w:themeColor="text1"/>
        </w:rPr>
      </w:pPr>
      <w:r w:rsidRPr="0051709F">
        <w:rPr>
          <w:rFonts w:cstheme="minorHAnsi"/>
          <w:b/>
          <w:bCs/>
          <w:color w:val="000000" w:themeColor="text1"/>
        </w:rPr>
        <w:t>6.- Pontevedra</w:t>
      </w:r>
    </w:p>
    <w:p w14:paraId="340396C1" w14:textId="77777777" w:rsidR="001276B4" w:rsidRPr="0051709F" w:rsidRDefault="001276B4" w:rsidP="001276B4">
      <w:pPr>
        <w:jc w:val="both"/>
        <w:rPr>
          <w:rFonts w:cstheme="minorHAnsi"/>
        </w:rPr>
      </w:pPr>
      <w:r w:rsidRPr="0051709F">
        <w:rPr>
          <w:rFonts w:cstheme="minorHAnsi"/>
        </w:rPr>
        <w:t>La ciudad en la que el peatón mandan y el coche obedece</w:t>
      </w:r>
    </w:p>
    <w:p w14:paraId="08BB471A" w14:textId="77777777" w:rsidR="001276B4" w:rsidRPr="0051709F" w:rsidRDefault="00000000" w:rsidP="001276B4">
      <w:pPr>
        <w:jc w:val="both"/>
        <w:rPr>
          <w:rFonts w:cstheme="minorHAnsi"/>
        </w:rPr>
      </w:pPr>
      <w:hyperlink r:id="rId191" w:anchor="13" w:history="1">
        <w:r w:rsidR="001276B4" w:rsidRPr="0051709F">
          <w:rPr>
            <w:rFonts w:cstheme="minorHAnsi"/>
            <w:color w:val="0000FF"/>
            <w:u w:val="single"/>
          </w:rPr>
          <w:t xml:space="preserve">Mejor a </w:t>
        </w:r>
        <w:proofErr w:type="spellStart"/>
        <w:r w:rsidR="001276B4" w:rsidRPr="0051709F">
          <w:rPr>
            <w:rFonts w:cstheme="minorHAnsi"/>
            <w:color w:val="0000FF"/>
            <w:u w:val="single"/>
          </w:rPr>
          <w:t>pié</w:t>
        </w:r>
        <w:proofErr w:type="spellEnd"/>
        <w:r w:rsidR="001276B4" w:rsidRPr="0051709F">
          <w:rPr>
            <w:rFonts w:cstheme="minorHAnsi"/>
            <w:color w:val="0000FF"/>
            <w:u w:val="single"/>
          </w:rPr>
          <w:t xml:space="preserve"> (</w:t>
        </w:r>
        <w:proofErr w:type="spellStart"/>
        <w:r w:rsidR="001276B4" w:rsidRPr="0051709F">
          <w:rPr>
            <w:rFonts w:cstheme="minorHAnsi"/>
            <w:color w:val="0000FF"/>
            <w:u w:val="single"/>
          </w:rPr>
          <w:t>pontevedra.gal</w:t>
        </w:r>
        <w:proofErr w:type="spellEnd"/>
        <w:r w:rsidR="001276B4" w:rsidRPr="0051709F">
          <w:rPr>
            <w:rFonts w:cstheme="minorHAnsi"/>
            <w:color w:val="0000FF"/>
            <w:u w:val="single"/>
          </w:rPr>
          <w:t>)</w:t>
        </w:r>
      </w:hyperlink>
    </w:p>
    <w:p w14:paraId="13A373E2" w14:textId="77777777" w:rsidR="001276B4" w:rsidRPr="0051709F" w:rsidRDefault="001276B4" w:rsidP="001276B4">
      <w:pPr>
        <w:jc w:val="both"/>
        <w:rPr>
          <w:rFonts w:cstheme="minorHAnsi"/>
          <w:b/>
          <w:bCs/>
        </w:rPr>
      </w:pPr>
    </w:p>
    <w:p w14:paraId="00A16ADD" w14:textId="77777777" w:rsidR="001276B4" w:rsidRPr="0051709F" w:rsidRDefault="001276B4" w:rsidP="001276B4">
      <w:pPr>
        <w:jc w:val="both"/>
        <w:rPr>
          <w:rFonts w:cstheme="minorHAnsi"/>
          <w:b/>
          <w:bCs/>
          <w:lang w:val="en-US"/>
        </w:rPr>
      </w:pPr>
      <w:r w:rsidRPr="0051709F">
        <w:rPr>
          <w:rFonts w:cstheme="minorHAnsi"/>
          <w:b/>
          <w:bCs/>
          <w:lang w:val="en-US"/>
        </w:rPr>
        <w:t xml:space="preserve">7.- </w:t>
      </w:r>
      <w:proofErr w:type="spellStart"/>
      <w:r w:rsidRPr="0051709F">
        <w:rPr>
          <w:rFonts w:cstheme="minorHAnsi"/>
          <w:b/>
          <w:bCs/>
          <w:lang w:val="en-US"/>
        </w:rPr>
        <w:t>Diracano</w:t>
      </w:r>
      <w:proofErr w:type="spellEnd"/>
      <w:r w:rsidRPr="0051709F">
        <w:rPr>
          <w:rFonts w:cstheme="minorHAnsi"/>
          <w:b/>
          <w:bCs/>
          <w:lang w:val="en-US"/>
        </w:rPr>
        <w:t xml:space="preserve"> Sport &amp; Nutrition</w:t>
      </w:r>
    </w:p>
    <w:p w14:paraId="4B8D57E2" w14:textId="77777777" w:rsidR="001276B4" w:rsidRPr="0051709F" w:rsidRDefault="001276B4" w:rsidP="001276B4">
      <w:pPr>
        <w:jc w:val="both"/>
        <w:rPr>
          <w:rFonts w:cstheme="minorHAnsi"/>
          <w:lang w:val="en-US"/>
        </w:rPr>
      </w:pPr>
      <w:r w:rsidRPr="0051709F">
        <w:rPr>
          <w:rFonts w:cstheme="minorHAnsi"/>
          <w:lang w:val="en-US"/>
        </w:rPr>
        <w:t>Eco Premium Sport Center</w:t>
      </w:r>
    </w:p>
    <w:p w14:paraId="08714A67" w14:textId="77777777" w:rsidR="001276B4" w:rsidRPr="0051709F" w:rsidRDefault="00000000" w:rsidP="001276B4">
      <w:pPr>
        <w:jc w:val="both"/>
        <w:rPr>
          <w:rFonts w:cstheme="minorHAnsi"/>
        </w:rPr>
      </w:pPr>
      <w:hyperlink r:id="rId192" w:history="1">
        <w:r w:rsidR="001276B4" w:rsidRPr="0051709F">
          <w:rPr>
            <w:rStyle w:val="Hipervnculo"/>
            <w:rFonts w:cstheme="minorHAnsi"/>
          </w:rPr>
          <w:t>www.dicarano.com</w:t>
        </w:r>
      </w:hyperlink>
    </w:p>
    <w:p w14:paraId="7D40136D" w14:textId="77777777" w:rsidR="001276B4" w:rsidRDefault="001276B4" w:rsidP="001276B4">
      <w:pPr>
        <w:jc w:val="both"/>
        <w:rPr>
          <w:rFonts w:cstheme="minorHAnsi"/>
          <w:b/>
          <w:bCs/>
        </w:rPr>
      </w:pPr>
    </w:p>
    <w:p w14:paraId="1AB1CA98" w14:textId="77777777" w:rsidR="00A65EF6" w:rsidRDefault="00A65EF6" w:rsidP="001276B4">
      <w:pPr>
        <w:jc w:val="both"/>
        <w:rPr>
          <w:rFonts w:cstheme="minorHAnsi"/>
          <w:b/>
          <w:bCs/>
        </w:rPr>
      </w:pPr>
    </w:p>
    <w:p w14:paraId="2CA91EC1" w14:textId="77777777" w:rsidR="00A65EF6" w:rsidRPr="0051709F" w:rsidRDefault="00A65EF6" w:rsidP="001276B4">
      <w:pPr>
        <w:jc w:val="both"/>
        <w:rPr>
          <w:rFonts w:cstheme="minorHAnsi"/>
          <w:b/>
          <w:bCs/>
        </w:rPr>
      </w:pPr>
    </w:p>
    <w:p w14:paraId="1E363DC7" w14:textId="77777777" w:rsidR="001276B4" w:rsidRPr="0051709F" w:rsidRDefault="001276B4" w:rsidP="001276B4">
      <w:pPr>
        <w:jc w:val="both"/>
        <w:rPr>
          <w:rFonts w:cstheme="minorHAnsi"/>
          <w:b/>
          <w:bCs/>
        </w:rPr>
      </w:pPr>
      <w:r w:rsidRPr="0051709F">
        <w:rPr>
          <w:rFonts w:cstheme="minorHAnsi"/>
          <w:b/>
          <w:bCs/>
        </w:rPr>
        <w:lastRenderedPageBreak/>
        <w:t>8.- Camp del Ferro</w:t>
      </w:r>
    </w:p>
    <w:p w14:paraId="21ECB477" w14:textId="77777777" w:rsidR="001276B4" w:rsidRPr="0051709F" w:rsidRDefault="001276B4" w:rsidP="001276B4">
      <w:pPr>
        <w:jc w:val="both"/>
        <w:rPr>
          <w:rFonts w:cstheme="minorHAnsi"/>
          <w:b/>
          <w:bCs/>
        </w:rPr>
      </w:pPr>
      <w:r w:rsidRPr="0051709F">
        <w:rPr>
          <w:rFonts w:cstheme="minorHAnsi"/>
          <w:b/>
          <w:bCs/>
        </w:rPr>
        <w:t>Instalación deportiva de energía casi nula LEED oro</w:t>
      </w:r>
    </w:p>
    <w:p w14:paraId="33BD61AD" w14:textId="77777777" w:rsidR="00C1013F" w:rsidRDefault="00000000" w:rsidP="001276B4">
      <w:pPr>
        <w:jc w:val="both"/>
        <w:rPr>
          <w:rFonts w:cstheme="minorHAnsi"/>
          <w:color w:val="0000FF"/>
          <w:u w:val="single"/>
        </w:rPr>
      </w:pPr>
      <w:hyperlink r:id="rId193" w:history="1">
        <w:r w:rsidR="001276B4" w:rsidRPr="0051709F">
          <w:rPr>
            <w:rFonts w:cstheme="minorHAnsi"/>
            <w:color w:val="0000FF"/>
            <w:u w:val="single"/>
          </w:rPr>
          <w:t>Complejo Deportivo Municipal ’Camp del Ferro’ - AIA</w:t>
        </w:r>
      </w:hyperlink>
    </w:p>
    <w:p w14:paraId="084E4FDB" w14:textId="77777777" w:rsidR="00C1013F" w:rsidRDefault="00C1013F" w:rsidP="001276B4">
      <w:pPr>
        <w:jc w:val="both"/>
        <w:rPr>
          <w:rFonts w:cstheme="minorHAnsi"/>
          <w:color w:val="0000FF"/>
          <w:u w:val="single"/>
        </w:rPr>
      </w:pPr>
    </w:p>
    <w:p w14:paraId="3F5A382F" w14:textId="6CE89DDB" w:rsidR="00C1013F" w:rsidRPr="0085322A" w:rsidRDefault="00C1013F" w:rsidP="0085322A">
      <w:pPr>
        <w:pStyle w:val="Prrafodelista"/>
        <w:jc w:val="both"/>
        <w:rPr>
          <w:rFonts w:asciiTheme="minorHAnsi" w:hAnsiTheme="minorHAnsi" w:cstheme="minorHAnsi"/>
          <w:b/>
          <w:bCs/>
          <w:caps/>
          <w:sz w:val="24"/>
          <w:szCs w:val="24"/>
        </w:rPr>
      </w:pPr>
      <w:r w:rsidRPr="0085322A">
        <w:rPr>
          <w:rFonts w:asciiTheme="minorHAnsi" w:hAnsiTheme="minorHAnsi" w:cstheme="minorHAnsi"/>
          <w:b/>
          <w:bCs/>
          <w:caps/>
          <w:sz w:val="24"/>
          <w:szCs w:val="24"/>
        </w:rPr>
        <w:t xml:space="preserve">Área </w:t>
      </w:r>
      <w:r w:rsidR="00306A95" w:rsidRPr="0085322A">
        <w:rPr>
          <w:rFonts w:asciiTheme="minorHAnsi" w:hAnsiTheme="minorHAnsi" w:cstheme="minorHAnsi"/>
          <w:b/>
          <w:bCs/>
          <w:caps/>
          <w:sz w:val="24"/>
          <w:szCs w:val="24"/>
        </w:rPr>
        <w:t>Entorno Físico</w:t>
      </w:r>
    </w:p>
    <w:p w14:paraId="51437946" w14:textId="77777777" w:rsidR="00306A95" w:rsidRPr="00306A95" w:rsidRDefault="00306A95" w:rsidP="00306A95">
      <w:pPr>
        <w:rPr>
          <w:b/>
        </w:rPr>
      </w:pPr>
    </w:p>
    <w:p w14:paraId="03DA6B75" w14:textId="108388CE" w:rsidR="00306A95" w:rsidRPr="00306A95" w:rsidRDefault="00306A95" w:rsidP="00306A95">
      <w:pPr>
        <w:rPr>
          <w:b/>
        </w:rPr>
      </w:pPr>
      <w:r w:rsidRPr="00306A95">
        <w:rPr>
          <w:b/>
        </w:rPr>
        <w:t>Entornos activos</w:t>
      </w:r>
    </w:p>
    <w:p w14:paraId="72BE24E6" w14:textId="6D5928EA" w:rsidR="00306A95" w:rsidRPr="00DA6852" w:rsidRDefault="00306A95" w:rsidP="00E6399B">
      <w:pPr>
        <w:pStyle w:val="Prrafodelista"/>
        <w:numPr>
          <w:ilvl w:val="0"/>
          <w:numId w:val="134"/>
        </w:numPr>
        <w:rPr>
          <w:rFonts w:asciiTheme="minorHAnsi" w:hAnsiTheme="minorHAnsi" w:cstheme="minorHAnsi"/>
          <w:sz w:val="24"/>
          <w:szCs w:val="24"/>
          <w:lang w:val="es-ES"/>
        </w:rPr>
      </w:pPr>
      <w:r w:rsidRPr="00DA6852">
        <w:rPr>
          <w:rFonts w:asciiTheme="minorHAnsi" w:hAnsiTheme="minorHAnsi" w:cstheme="minorHAnsi"/>
          <w:sz w:val="24"/>
          <w:szCs w:val="24"/>
          <w:lang w:val="es-ES"/>
        </w:rPr>
        <w:t>Salamanca, Tormes+: https://view.genial.ly/64917b2b17f8dd00114c2d2c/interactive-content-mapa-tormes-news-no15</w:t>
      </w:r>
    </w:p>
    <w:p w14:paraId="039A89AA" w14:textId="77777777" w:rsidR="00306A95" w:rsidRPr="00DA6852" w:rsidRDefault="00306A95" w:rsidP="00E6399B">
      <w:pPr>
        <w:pStyle w:val="Prrafodelista"/>
        <w:numPr>
          <w:ilvl w:val="0"/>
          <w:numId w:val="134"/>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Barcelona, 22@: </w:t>
      </w:r>
      <w:hyperlink r:id="rId194" w:history="1">
        <w:r w:rsidRPr="00DA6852">
          <w:rPr>
            <w:rStyle w:val="Hipervnculo"/>
            <w:rFonts w:asciiTheme="minorHAnsi" w:hAnsiTheme="minorHAnsi" w:cstheme="minorHAnsi"/>
            <w:sz w:val="24"/>
            <w:szCs w:val="24"/>
            <w:lang w:val="es-ES"/>
          </w:rPr>
          <w:t>https://www.meet.barcelona/en/visit-and-love-it/points-interest-city/el-22-99400387418</w:t>
        </w:r>
      </w:hyperlink>
    </w:p>
    <w:p w14:paraId="4367CD20" w14:textId="64A58852" w:rsidR="00306A95" w:rsidRPr="00306A95" w:rsidRDefault="00306A95" w:rsidP="00E6399B">
      <w:pPr>
        <w:pStyle w:val="Prrafodelista"/>
        <w:numPr>
          <w:ilvl w:val="0"/>
          <w:numId w:val="134"/>
        </w:numPr>
        <w:rPr>
          <w:rFonts w:asciiTheme="minorHAnsi" w:hAnsiTheme="minorHAnsi" w:cstheme="minorHAnsi"/>
          <w:sz w:val="24"/>
          <w:szCs w:val="24"/>
          <w:lang w:val="es-ES"/>
        </w:rPr>
      </w:pPr>
      <w:r w:rsidRPr="00306A95">
        <w:rPr>
          <w:rFonts w:asciiTheme="minorHAnsi" w:hAnsiTheme="minorHAnsi" w:cstheme="minorHAnsi"/>
          <w:sz w:val="24"/>
          <w:szCs w:val="24"/>
          <w:lang w:val="es-ES"/>
        </w:rPr>
        <w:t xml:space="preserve">Madrid, Plan Estratégico para el Área Central: </w:t>
      </w:r>
      <w:hyperlink r:id="rId195" w:history="1">
        <w:r w:rsidRPr="00306A95">
          <w:rPr>
            <w:rStyle w:val="Hipervnculo"/>
            <w:rFonts w:asciiTheme="minorHAnsi" w:hAnsiTheme="minorHAnsi" w:cstheme="minorHAnsi"/>
            <w:sz w:val="24"/>
            <w:szCs w:val="24"/>
            <w:lang w:val="es-ES"/>
          </w:rPr>
          <w:t>https://ezquiagaarquitectura.com/2012/proyecto-madrid-centro/</w:t>
        </w:r>
      </w:hyperlink>
    </w:p>
    <w:p w14:paraId="31EA900E" w14:textId="77777777" w:rsidR="00306A95" w:rsidRPr="00306A95" w:rsidRDefault="00306A95" w:rsidP="00306A95">
      <w:pPr>
        <w:pStyle w:val="Prrafodelista"/>
        <w:rPr>
          <w:rFonts w:asciiTheme="minorHAnsi" w:hAnsiTheme="minorHAnsi" w:cstheme="minorHAnsi"/>
          <w:sz w:val="24"/>
          <w:szCs w:val="24"/>
          <w:lang w:val="es-ES"/>
        </w:rPr>
      </w:pPr>
    </w:p>
    <w:p w14:paraId="00352A9B" w14:textId="77777777" w:rsidR="00306A95" w:rsidRPr="00306A95" w:rsidRDefault="00306A95" w:rsidP="00306A95">
      <w:pPr>
        <w:rPr>
          <w:b/>
        </w:rPr>
      </w:pPr>
      <w:r w:rsidRPr="00306A95">
        <w:rPr>
          <w:b/>
        </w:rPr>
        <w:t>Paisajes activos</w:t>
      </w:r>
    </w:p>
    <w:p w14:paraId="12B037F4" w14:textId="77777777" w:rsidR="00306A95" w:rsidRPr="00DA6852" w:rsidRDefault="00306A95" w:rsidP="00E6399B">
      <w:pPr>
        <w:pStyle w:val="Prrafodelista"/>
        <w:numPr>
          <w:ilvl w:val="0"/>
          <w:numId w:val="135"/>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Vitoria-Gasteiz, Ciudad Verde: </w:t>
      </w:r>
      <w:hyperlink r:id="rId196" w:history="1">
        <w:r w:rsidRPr="00DA6852">
          <w:rPr>
            <w:rStyle w:val="Hipervnculo"/>
            <w:rFonts w:asciiTheme="minorHAnsi" w:hAnsiTheme="minorHAnsi" w:cstheme="minorHAnsi"/>
            <w:sz w:val="24"/>
            <w:szCs w:val="24"/>
            <w:lang w:val="es-ES"/>
          </w:rPr>
          <w:t>https://www.vitoria-gasteiz.org</w:t>
        </w:r>
      </w:hyperlink>
    </w:p>
    <w:p w14:paraId="24D8719E" w14:textId="15CFFA33" w:rsidR="00306A95" w:rsidRPr="00306A95" w:rsidRDefault="00306A95" w:rsidP="00E6399B">
      <w:pPr>
        <w:pStyle w:val="Prrafodelista"/>
        <w:numPr>
          <w:ilvl w:val="0"/>
          <w:numId w:val="135"/>
        </w:numPr>
        <w:rPr>
          <w:lang w:val="es-ES"/>
        </w:rPr>
      </w:pPr>
      <w:r w:rsidRPr="00306A95">
        <w:rPr>
          <w:rFonts w:asciiTheme="minorHAnsi" w:hAnsiTheme="minorHAnsi" w:cstheme="minorHAnsi"/>
          <w:sz w:val="24"/>
          <w:szCs w:val="24"/>
          <w:lang w:val="es-ES"/>
        </w:rPr>
        <w:t xml:space="preserve">Zaragoza, LIFE Zaragoza Natural: </w:t>
      </w:r>
      <w:hyperlink r:id="rId197" w:history="1">
        <w:r w:rsidRPr="00A228A8">
          <w:rPr>
            <w:rStyle w:val="Hipervnculo"/>
            <w:rFonts w:asciiTheme="minorHAnsi" w:hAnsiTheme="minorHAnsi" w:cstheme="minorHAnsi"/>
            <w:sz w:val="24"/>
            <w:szCs w:val="24"/>
            <w:lang w:val="es-ES"/>
          </w:rPr>
          <w:t>http://www.zaragoza.es/ciudad/medioambiente/natural/</w:t>
        </w:r>
      </w:hyperlink>
    </w:p>
    <w:p w14:paraId="28685085" w14:textId="1E8B8182" w:rsidR="00306A95" w:rsidRPr="00306A95" w:rsidRDefault="00306A95" w:rsidP="00E6399B">
      <w:pPr>
        <w:pStyle w:val="Prrafodelista"/>
        <w:numPr>
          <w:ilvl w:val="0"/>
          <w:numId w:val="135"/>
        </w:numPr>
        <w:rPr>
          <w:lang w:val="es-ES"/>
        </w:rPr>
      </w:pPr>
      <w:r w:rsidRPr="00DA6852">
        <w:rPr>
          <w:rFonts w:asciiTheme="minorHAnsi" w:hAnsiTheme="minorHAnsi" w:cstheme="minorHAnsi"/>
          <w:sz w:val="24"/>
          <w:szCs w:val="24"/>
          <w:lang w:val="es-ES"/>
        </w:rPr>
        <w:t xml:space="preserve">Madrid, Bosque Metropolitanos: </w:t>
      </w:r>
      <w:hyperlink r:id="rId198" w:history="1">
        <w:r w:rsidRPr="00DA6852">
          <w:rPr>
            <w:rStyle w:val="Hipervnculo"/>
            <w:rFonts w:asciiTheme="minorHAnsi" w:hAnsiTheme="minorHAnsi" w:cstheme="minorHAnsi"/>
            <w:sz w:val="24"/>
            <w:szCs w:val="24"/>
            <w:lang w:val="es-ES"/>
          </w:rPr>
          <w:t>https://bosquemetropolitano.madrid.es/</w:t>
        </w:r>
      </w:hyperlink>
    </w:p>
    <w:p w14:paraId="66BEB491" w14:textId="44E5B40A" w:rsidR="00306A95" w:rsidRPr="00306A95" w:rsidRDefault="00306A95" w:rsidP="00E6399B">
      <w:pPr>
        <w:pStyle w:val="Prrafodelista"/>
        <w:numPr>
          <w:ilvl w:val="0"/>
          <w:numId w:val="135"/>
        </w:numPr>
        <w:rPr>
          <w:lang w:val="es-ES"/>
        </w:rPr>
      </w:pPr>
      <w:r w:rsidRPr="00306A95">
        <w:rPr>
          <w:rFonts w:asciiTheme="minorHAnsi" w:hAnsiTheme="minorHAnsi" w:cstheme="minorHAnsi"/>
          <w:sz w:val="24"/>
          <w:szCs w:val="24"/>
          <w:lang w:val="es-ES"/>
        </w:rPr>
        <w:t xml:space="preserve">Madrid, Arco Verde: </w:t>
      </w:r>
      <w:hyperlink r:id="rId199" w:history="1">
        <w:r w:rsidRPr="00306A95">
          <w:rPr>
            <w:rStyle w:val="Hipervnculo"/>
            <w:rFonts w:asciiTheme="minorHAnsi" w:hAnsiTheme="minorHAnsi" w:cstheme="minorHAnsi"/>
            <w:sz w:val="24"/>
            <w:szCs w:val="24"/>
            <w:lang w:val="es-ES"/>
          </w:rPr>
          <w:t>https://www.comunidad.madrid/servicios/urbanismo-medio-ambiente/arco-verde</w:t>
        </w:r>
      </w:hyperlink>
    </w:p>
    <w:p w14:paraId="577E530D" w14:textId="77777777" w:rsidR="00306A95" w:rsidRPr="00306A95" w:rsidRDefault="00306A95" w:rsidP="00306A95">
      <w:pPr>
        <w:pStyle w:val="Prrafodelista"/>
        <w:rPr>
          <w:lang w:val="es-ES"/>
        </w:rPr>
      </w:pPr>
    </w:p>
    <w:p w14:paraId="3D2215BD" w14:textId="4F418B23" w:rsidR="00306A95" w:rsidRPr="00306A95" w:rsidRDefault="00306A95" w:rsidP="00306A95">
      <w:pPr>
        <w:rPr>
          <w:b/>
        </w:rPr>
      </w:pPr>
      <w:r>
        <w:rPr>
          <w:b/>
        </w:rPr>
        <w:t>Espacios urbanos activos</w:t>
      </w:r>
    </w:p>
    <w:p w14:paraId="5FA8BF30" w14:textId="77777777" w:rsidR="00306A95" w:rsidRPr="00DA6852" w:rsidRDefault="00306A95" w:rsidP="00E6399B">
      <w:pPr>
        <w:pStyle w:val="Prrafodelista"/>
        <w:numPr>
          <w:ilvl w:val="0"/>
          <w:numId w:val="136"/>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Logroño, Calles Abiertas: </w:t>
      </w:r>
      <w:hyperlink r:id="rId200" w:history="1">
        <w:r w:rsidRPr="00DA6852">
          <w:rPr>
            <w:rStyle w:val="Hipervnculo"/>
            <w:rFonts w:asciiTheme="minorHAnsi" w:hAnsiTheme="minorHAnsi" w:cstheme="minorHAnsi"/>
            <w:sz w:val="24"/>
            <w:szCs w:val="24"/>
            <w:lang w:val="es-ES"/>
          </w:rPr>
          <w:t>https://logronocallesabiertas.es/</w:t>
        </w:r>
      </w:hyperlink>
    </w:p>
    <w:p w14:paraId="67BB71DF" w14:textId="77777777" w:rsidR="00306A95" w:rsidRPr="00DA6852" w:rsidRDefault="00306A95" w:rsidP="00E6399B">
      <w:pPr>
        <w:pStyle w:val="Prrafodelista"/>
        <w:numPr>
          <w:ilvl w:val="0"/>
          <w:numId w:val="136"/>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Barcelona, Supermanzanas: </w:t>
      </w:r>
      <w:hyperlink r:id="rId201" w:history="1">
        <w:r w:rsidRPr="00DA6852">
          <w:rPr>
            <w:rStyle w:val="Hipervnculo"/>
            <w:rFonts w:asciiTheme="minorHAnsi" w:hAnsiTheme="minorHAnsi" w:cstheme="minorHAnsi"/>
            <w:sz w:val="24"/>
            <w:szCs w:val="24"/>
            <w:lang w:val="es-ES"/>
          </w:rPr>
          <w:t>https://ajuntament.barcelona.cat/superilles/ca/</w:t>
        </w:r>
      </w:hyperlink>
    </w:p>
    <w:p w14:paraId="7F95685E" w14:textId="50BC072A" w:rsidR="00306A95" w:rsidRPr="00306A95" w:rsidRDefault="00306A95" w:rsidP="00E6399B">
      <w:pPr>
        <w:pStyle w:val="Prrafodelista"/>
        <w:numPr>
          <w:ilvl w:val="0"/>
          <w:numId w:val="136"/>
        </w:numPr>
        <w:rPr>
          <w:lang w:val="es-ES"/>
        </w:rPr>
      </w:pPr>
      <w:r w:rsidRPr="00306A95">
        <w:rPr>
          <w:rFonts w:asciiTheme="minorHAnsi" w:hAnsiTheme="minorHAnsi" w:cstheme="minorHAnsi"/>
          <w:sz w:val="24"/>
          <w:szCs w:val="24"/>
          <w:lang w:val="es-ES"/>
        </w:rPr>
        <w:t xml:space="preserve">Almería, Camina: </w:t>
      </w:r>
      <w:hyperlink r:id="rId202" w:history="1">
        <w:r w:rsidRPr="00306A95">
          <w:rPr>
            <w:rStyle w:val="Hipervnculo"/>
            <w:rFonts w:asciiTheme="minorHAnsi" w:hAnsiTheme="minorHAnsi" w:cstheme="minorHAnsi"/>
            <w:sz w:val="24"/>
            <w:szCs w:val="24"/>
            <w:lang w:val="es-ES"/>
          </w:rPr>
          <w:t>https://almeriacamina.es/</w:t>
        </w:r>
      </w:hyperlink>
    </w:p>
    <w:p w14:paraId="2FFDD8CC" w14:textId="77777777" w:rsidR="00306A95" w:rsidRPr="00306A95" w:rsidRDefault="00306A95" w:rsidP="00306A95">
      <w:pPr>
        <w:pStyle w:val="Prrafodelista"/>
        <w:rPr>
          <w:lang w:val="es-ES"/>
        </w:rPr>
      </w:pPr>
    </w:p>
    <w:p w14:paraId="21D1E4B9" w14:textId="77777777" w:rsidR="00306A95" w:rsidRPr="00306A95" w:rsidRDefault="00306A95" w:rsidP="00306A95">
      <w:pPr>
        <w:rPr>
          <w:b/>
        </w:rPr>
      </w:pPr>
      <w:r w:rsidRPr="00306A95">
        <w:rPr>
          <w:b/>
        </w:rPr>
        <w:t xml:space="preserve">Movilidad activa </w:t>
      </w:r>
    </w:p>
    <w:p w14:paraId="0C404961" w14:textId="77777777" w:rsidR="00306A95" w:rsidRPr="00DA6852" w:rsidRDefault="00306A95" w:rsidP="00E6399B">
      <w:pPr>
        <w:pStyle w:val="Prrafodelista"/>
        <w:numPr>
          <w:ilvl w:val="0"/>
          <w:numId w:val="137"/>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Pontevedra, Caminar resuelve: </w:t>
      </w:r>
      <w:hyperlink r:id="rId203" w:history="1">
        <w:r w:rsidRPr="00DA6852">
          <w:rPr>
            <w:rStyle w:val="Hipervnculo"/>
            <w:rFonts w:asciiTheme="minorHAnsi" w:hAnsiTheme="minorHAnsi" w:cstheme="minorHAnsi"/>
            <w:sz w:val="24"/>
            <w:szCs w:val="24"/>
            <w:lang w:val="es-ES"/>
          </w:rPr>
          <w:t>https://ok.pontevedra.gal/</w:t>
        </w:r>
      </w:hyperlink>
    </w:p>
    <w:p w14:paraId="194BBC3F" w14:textId="77777777" w:rsidR="00306A95" w:rsidRPr="00DA6852" w:rsidRDefault="00306A95" w:rsidP="00E6399B">
      <w:pPr>
        <w:pStyle w:val="Prrafodelista"/>
        <w:numPr>
          <w:ilvl w:val="0"/>
          <w:numId w:val="137"/>
        </w:numPr>
        <w:rPr>
          <w:rFonts w:asciiTheme="minorHAnsi" w:hAnsiTheme="minorHAnsi" w:cstheme="minorHAnsi"/>
          <w:sz w:val="24"/>
          <w:szCs w:val="24"/>
          <w:lang w:val="es-ES"/>
        </w:rPr>
      </w:pPr>
      <w:r w:rsidRPr="00DA6852">
        <w:rPr>
          <w:rFonts w:asciiTheme="minorHAnsi" w:hAnsiTheme="minorHAnsi" w:cstheme="minorHAnsi"/>
          <w:sz w:val="24"/>
          <w:szCs w:val="24"/>
          <w:lang w:val="es-ES"/>
        </w:rPr>
        <w:t xml:space="preserve">Málaga, Movima: </w:t>
      </w:r>
      <w:hyperlink r:id="rId204" w:history="1">
        <w:r w:rsidRPr="00DA6852">
          <w:rPr>
            <w:rStyle w:val="Hipervnculo"/>
            <w:rFonts w:asciiTheme="minorHAnsi" w:hAnsiTheme="minorHAnsi" w:cstheme="minorHAnsi"/>
            <w:sz w:val="24"/>
            <w:szCs w:val="24"/>
            <w:lang w:val="es-ES"/>
          </w:rPr>
          <w:t>https://movilidad.malaga.eu/</w:t>
        </w:r>
      </w:hyperlink>
    </w:p>
    <w:p w14:paraId="43658F1D" w14:textId="10ED7CF1" w:rsidR="00306A95" w:rsidRPr="00306A95" w:rsidRDefault="00306A95" w:rsidP="00E6399B">
      <w:pPr>
        <w:pStyle w:val="Prrafodelista"/>
        <w:numPr>
          <w:ilvl w:val="0"/>
          <w:numId w:val="137"/>
        </w:numPr>
        <w:rPr>
          <w:rFonts w:asciiTheme="minorHAnsi" w:hAnsiTheme="minorHAnsi" w:cstheme="minorHAnsi"/>
          <w:sz w:val="24"/>
          <w:szCs w:val="24"/>
          <w:lang w:val="es-ES"/>
        </w:rPr>
      </w:pPr>
      <w:r w:rsidRPr="00306A95">
        <w:rPr>
          <w:rFonts w:asciiTheme="minorHAnsi" w:hAnsiTheme="minorHAnsi" w:cstheme="minorHAnsi"/>
          <w:sz w:val="24"/>
          <w:szCs w:val="24"/>
          <w:lang w:val="es-ES"/>
        </w:rPr>
        <w:t xml:space="preserve">Soria, Soria 2030: </w:t>
      </w:r>
      <w:hyperlink r:id="rId205" w:history="1">
        <w:r w:rsidRPr="00306A95">
          <w:rPr>
            <w:rStyle w:val="Hipervnculo"/>
            <w:rFonts w:asciiTheme="minorHAnsi" w:hAnsiTheme="minorHAnsi" w:cstheme="minorHAnsi"/>
            <w:sz w:val="24"/>
            <w:szCs w:val="24"/>
            <w:lang w:val="es-ES"/>
          </w:rPr>
          <w:t>https://www.soria2030.es/</w:t>
        </w:r>
      </w:hyperlink>
    </w:p>
    <w:p w14:paraId="51111D5F" w14:textId="379261E3" w:rsidR="00306A95" w:rsidRPr="00306A95" w:rsidRDefault="00306A95" w:rsidP="00E6399B">
      <w:pPr>
        <w:pStyle w:val="Prrafodelista"/>
        <w:numPr>
          <w:ilvl w:val="0"/>
          <w:numId w:val="137"/>
        </w:numPr>
        <w:rPr>
          <w:lang w:val="es-ES"/>
        </w:rPr>
      </w:pPr>
      <w:r w:rsidRPr="00306A95">
        <w:rPr>
          <w:rFonts w:asciiTheme="minorHAnsi" w:hAnsiTheme="minorHAnsi" w:cstheme="minorHAnsi"/>
          <w:sz w:val="24"/>
          <w:szCs w:val="24"/>
          <w:lang w:val="es-ES"/>
        </w:rPr>
        <w:t xml:space="preserve">Zaragoza, La Bici en el Cole: </w:t>
      </w:r>
      <w:hyperlink r:id="rId206" w:history="1">
        <w:r w:rsidRPr="00A228A8">
          <w:rPr>
            <w:rStyle w:val="Hipervnculo"/>
            <w:rFonts w:asciiTheme="minorHAnsi" w:hAnsiTheme="minorHAnsi" w:cstheme="minorHAnsi"/>
            <w:sz w:val="24"/>
            <w:szCs w:val="24"/>
            <w:lang w:val="es-ES"/>
          </w:rPr>
          <w:t>https://labicienelcole.com/recursos/</w:t>
        </w:r>
      </w:hyperlink>
    </w:p>
    <w:p w14:paraId="2A07D1BD" w14:textId="77777777" w:rsidR="00306A95" w:rsidRPr="00306A95" w:rsidRDefault="00306A95" w:rsidP="00306A95">
      <w:pPr>
        <w:pStyle w:val="Prrafodelista"/>
        <w:rPr>
          <w:lang w:val="es-ES"/>
        </w:rPr>
      </w:pPr>
    </w:p>
    <w:p w14:paraId="18A0AC2B" w14:textId="65545684" w:rsidR="00306A95" w:rsidRPr="00306A95" w:rsidRDefault="00306A95" w:rsidP="00306A95">
      <w:pPr>
        <w:rPr>
          <w:b/>
        </w:rPr>
      </w:pPr>
      <w:r>
        <w:rPr>
          <w:b/>
        </w:rPr>
        <w:t>Arquitecturas activas</w:t>
      </w:r>
    </w:p>
    <w:p w14:paraId="66F99B40" w14:textId="77777777" w:rsidR="00306A95" w:rsidRPr="00DA6852" w:rsidRDefault="00306A95" w:rsidP="00E6399B">
      <w:pPr>
        <w:pStyle w:val="Prrafodelista"/>
        <w:numPr>
          <w:ilvl w:val="0"/>
          <w:numId w:val="138"/>
        </w:numPr>
        <w:rPr>
          <w:rFonts w:asciiTheme="minorHAnsi" w:hAnsiTheme="minorHAnsi" w:cstheme="minorHAnsi"/>
          <w:sz w:val="24"/>
          <w:szCs w:val="24"/>
          <w:lang w:val="es-ES"/>
        </w:rPr>
      </w:pPr>
      <w:r w:rsidRPr="00DA6852">
        <w:rPr>
          <w:rFonts w:asciiTheme="minorHAnsi" w:hAnsiTheme="minorHAnsi" w:cstheme="minorHAnsi"/>
          <w:sz w:val="24"/>
          <w:szCs w:val="24"/>
          <w:lang w:val="es-ES"/>
        </w:rPr>
        <w:t>Madrid, Complejo Inmobiliario Escuelas pías de San Antón.</w:t>
      </w:r>
    </w:p>
    <w:p w14:paraId="07A3335F" w14:textId="1C6FCF64" w:rsidR="00306A95" w:rsidRPr="00306A95" w:rsidRDefault="00306A95" w:rsidP="00E6399B">
      <w:pPr>
        <w:pStyle w:val="Prrafodelista"/>
        <w:numPr>
          <w:ilvl w:val="0"/>
          <w:numId w:val="138"/>
        </w:numPr>
        <w:rPr>
          <w:rFonts w:asciiTheme="minorHAnsi" w:hAnsiTheme="minorHAnsi" w:cstheme="minorHAnsi"/>
          <w:sz w:val="24"/>
          <w:szCs w:val="24"/>
          <w:lang w:val="es-ES"/>
        </w:rPr>
      </w:pPr>
      <w:r w:rsidRPr="00306A95">
        <w:rPr>
          <w:rFonts w:asciiTheme="minorHAnsi" w:hAnsiTheme="minorHAnsi" w:cstheme="minorHAnsi"/>
          <w:sz w:val="24"/>
          <w:szCs w:val="24"/>
          <w:lang w:val="es-ES"/>
        </w:rPr>
        <w:t xml:space="preserve">Madrid, Campus Empresarial de Acciona: </w:t>
      </w:r>
      <w:hyperlink r:id="rId207" w:history="1">
        <w:r w:rsidRPr="00306A95">
          <w:rPr>
            <w:rStyle w:val="Hipervnculo"/>
            <w:rFonts w:asciiTheme="minorHAnsi" w:hAnsiTheme="minorHAnsi" w:cstheme="minorHAnsi"/>
            <w:sz w:val="24"/>
            <w:szCs w:val="24"/>
            <w:lang w:val="es-ES"/>
          </w:rPr>
          <w:t>https://diario.madrid.es/blog/notas-de-prensa/el-ayuntamiento-aprueba-el-estudio-detalle-para-dar-forma-a-la-parcela-deportiva-del-club-banesto/</w:t>
        </w:r>
      </w:hyperlink>
    </w:p>
    <w:p w14:paraId="10F63B09" w14:textId="1AF67258" w:rsidR="00306A95" w:rsidRPr="00306A95" w:rsidRDefault="00306A95" w:rsidP="00E6399B">
      <w:pPr>
        <w:pStyle w:val="Prrafodelista"/>
        <w:numPr>
          <w:ilvl w:val="0"/>
          <w:numId w:val="138"/>
        </w:numPr>
        <w:rPr>
          <w:rFonts w:asciiTheme="minorHAnsi" w:hAnsiTheme="minorHAnsi" w:cstheme="minorHAnsi"/>
          <w:sz w:val="24"/>
          <w:szCs w:val="24"/>
          <w:lang w:val="es-ES"/>
        </w:rPr>
      </w:pPr>
      <w:r w:rsidRPr="00306A95">
        <w:rPr>
          <w:rFonts w:asciiTheme="minorHAnsi" w:hAnsiTheme="minorHAnsi" w:cstheme="minorHAnsi"/>
          <w:sz w:val="24"/>
          <w:szCs w:val="24"/>
          <w:lang w:val="es-ES"/>
        </w:rPr>
        <w:t xml:space="preserve">España, Patios Escolares Abiertos, “En Plan Bien”: </w:t>
      </w:r>
      <w:hyperlink r:id="rId208" w:history="1">
        <w:r w:rsidRPr="00306A95">
          <w:rPr>
            <w:rStyle w:val="Hipervnculo"/>
            <w:rFonts w:asciiTheme="minorHAnsi" w:hAnsiTheme="minorHAnsi" w:cstheme="minorHAnsi"/>
            <w:sz w:val="24"/>
            <w:szCs w:val="24"/>
            <w:lang w:val="es-ES"/>
          </w:rPr>
          <w:t>https://www.comisionadopobrezainfantil.gob.es/es/el-ministerio-de-sanidad-y-el-alto-comisionado-ponen-en-marcha-un-programa-de-promoci%C3%B3n-de-estilos</w:t>
        </w:r>
      </w:hyperlink>
    </w:p>
    <w:p w14:paraId="7D7B000E" w14:textId="77777777" w:rsidR="00306A95" w:rsidRPr="00306A95" w:rsidRDefault="00306A95" w:rsidP="00306A95">
      <w:pPr>
        <w:rPr>
          <w:rFonts w:cstheme="minorHAnsi"/>
        </w:rPr>
      </w:pPr>
    </w:p>
    <w:p w14:paraId="10D4036A" w14:textId="0358FF7F" w:rsidR="0032285C" w:rsidRPr="0051709F" w:rsidRDefault="0032285C" w:rsidP="001276B4">
      <w:pPr>
        <w:jc w:val="both"/>
        <w:rPr>
          <w:rFonts w:cstheme="minorHAnsi"/>
          <w:color w:val="0000FF"/>
          <w:u w:val="single"/>
        </w:rPr>
      </w:pPr>
      <w:r w:rsidRPr="0051709F">
        <w:rPr>
          <w:rFonts w:cstheme="minorHAnsi"/>
          <w:color w:val="0000FF"/>
          <w:u w:val="single"/>
        </w:rPr>
        <w:br w:type="page"/>
      </w:r>
    </w:p>
    <w:p w14:paraId="79512F68" w14:textId="77777777" w:rsidR="00A65EF6" w:rsidRDefault="00A65EF6" w:rsidP="0032285C">
      <w:pPr>
        <w:pStyle w:val="Ttulo1"/>
        <w:rPr>
          <w:rFonts w:asciiTheme="minorHAnsi" w:hAnsiTheme="minorHAnsi" w:cstheme="minorHAnsi"/>
          <w:sz w:val="24"/>
          <w:szCs w:val="24"/>
        </w:rPr>
      </w:pPr>
    </w:p>
    <w:p w14:paraId="7268F135" w14:textId="77777777" w:rsidR="00A65EF6" w:rsidRDefault="00A65EF6" w:rsidP="0032285C">
      <w:pPr>
        <w:pStyle w:val="Ttulo1"/>
        <w:rPr>
          <w:rFonts w:asciiTheme="minorHAnsi" w:hAnsiTheme="minorHAnsi" w:cstheme="minorHAnsi"/>
          <w:sz w:val="24"/>
          <w:szCs w:val="24"/>
        </w:rPr>
      </w:pPr>
    </w:p>
    <w:p w14:paraId="292B9330" w14:textId="77777777" w:rsidR="00A65EF6" w:rsidRDefault="00A65EF6" w:rsidP="0032285C">
      <w:pPr>
        <w:pStyle w:val="Ttulo1"/>
        <w:rPr>
          <w:rFonts w:asciiTheme="minorHAnsi" w:hAnsiTheme="minorHAnsi" w:cstheme="minorHAnsi"/>
          <w:sz w:val="24"/>
          <w:szCs w:val="24"/>
        </w:rPr>
      </w:pPr>
    </w:p>
    <w:p w14:paraId="157A0E15" w14:textId="77777777" w:rsidR="00A65EF6" w:rsidRDefault="00A65EF6" w:rsidP="0032285C">
      <w:pPr>
        <w:pStyle w:val="Ttulo1"/>
        <w:rPr>
          <w:rFonts w:asciiTheme="minorHAnsi" w:hAnsiTheme="minorHAnsi" w:cstheme="minorHAnsi"/>
          <w:sz w:val="24"/>
          <w:szCs w:val="24"/>
        </w:rPr>
      </w:pPr>
    </w:p>
    <w:p w14:paraId="35EE8813" w14:textId="77777777" w:rsidR="00A65EF6" w:rsidRDefault="00A65EF6" w:rsidP="0032285C">
      <w:pPr>
        <w:pStyle w:val="Ttulo1"/>
        <w:rPr>
          <w:rFonts w:asciiTheme="minorHAnsi" w:hAnsiTheme="minorHAnsi" w:cstheme="minorHAnsi"/>
          <w:sz w:val="24"/>
          <w:szCs w:val="24"/>
        </w:rPr>
      </w:pPr>
    </w:p>
    <w:p w14:paraId="089C0FBB" w14:textId="77777777" w:rsidR="00A65EF6" w:rsidRDefault="00A65EF6" w:rsidP="0032285C">
      <w:pPr>
        <w:pStyle w:val="Ttulo1"/>
        <w:rPr>
          <w:rFonts w:asciiTheme="minorHAnsi" w:hAnsiTheme="minorHAnsi" w:cstheme="minorHAnsi"/>
          <w:sz w:val="24"/>
          <w:szCs w:val="24"/>
        </w:rPr>
      </w:pPr>
    </w:p>
    <w:p w14:paraId="2D661BEC" w14:textId="77777777" w:rsidR="00A65EF6" w:rsidRDefault="00A65EF6" w:rsidP="0032285C">
      <w:pPr>
        <w:pStyle w:val="Ttulo1"/>
        <w:rPr>
          <w:rFonts w:asciiTheme="minorHAnsi" w:hAnsiTheme="minorHAnsi" w:cstheme="minorHAnsi"/>
          <w:sz w:val="24"/>
          <w:szCs w:val="24"/>
        </w:rPr>
      </w:pPr>
    </w:p>
    <w:p w14:paraId="50134543" w14:textId="77777777" w:rsidR="00A65EF6" w:rsidRDefault="00A65EF6" w:rsidP="0032285C">
      <w:pPr>
        <w:pStyle w:val="Ttulo1"/>
        <w:rPr>
          <w:rFonts w:asciiTheme="minorHAnsi" w:hAnsiTheme="minorHAnsi" w:cstheme="minorHAnsi"/>
          <w:sz w:val="24"/>
          <w:szCs w:val="24"/>
        </w:rPr>
      </w:pPr>
    </w:p>
    <w:p w14:paraId="788586E1" w14:textId="77777777" w:rsidR="00A65EF6" w:rsidRDefault="00A65EF6" w:rsidP="00A65EF6">
      <w:pPr>
        <w:pStyle w:val="Ttulo1"/>
        <w:jc w:val="right"/>
        <w:rPr>
          <w:rFonts w:asciiTheme="minorHAnsi" w:hAnsiTheme="minorHAnsi" w:cstheme="minorHAnsi"/>
        </w:rPr>
      </w:pPr>
    </w:p>
    <w:p w14:paraId="180F2C33" w14:textId="77777777" w:rsidR="00A65EF6" w:rsidRDefault="00A65EF6" w:rsidP="00A65EF6">
      <w:pPr>
        <w:pStyle w:val="Ttulo1"/>
        <w:jc w:val="right"/>
        <w:rPr>
          <w:rFonts w:asciiTheme="minorHAnsi" w:hAnsiTheme="minorHAnsi" w:cstheme="minorHAnsi"/>
        </w:rPr>
      </w:pPr>
    </w:p>
    <w:p w14:paraId="6234188B" w14:textId="77777777" w:rsidR="00A65EF6" w:rsidRDefault="00A65EF6" w:rsidP="00A65EF6">
      <w:pPr>
        <w:pStyle w:val="Ttulo1"/>
        <w:jc w:val="right"/>
        <w:rPr>
          <w:rFonts w:asciiTheme="minorHAnsi" w:hAnsiTheme="minorHAnsi" w:cstheme="minorHAnsi"/>
        </w:rPr>
      </w:pPr>
    </w:p>
    <w:p w14:paraId="6F4A1D18" w14:textId="77777777" w:rsidR="00A65EF6" w:rsidRDefault="00A65EF6" w:rsidP="00A65EF6">
      <w:pPr>
        <w:pStyle w:val="Ttulo1"/>
        <w:jc w:val="right"/>
        <w:rPr>
          <w:rFonts w:asciiTheme="minorHAnsi" w:hAnsiTheme="minorHAnsi" w:cstheme="minorHAnsi"/>
        </w:rPr>
      </w:pPr>
    </w:p>
    <w:p w14:paraId="1D84848E" w14:textId="77777777" w:rsidR="00A65EF6" w:rsidRDefault="00A65EF6" w:rsidP="00A65EF6">
      <w:pPr>
        <w:pStyle w:val="Ttulo1"/>
        <w:jc w:val="right"/>
        <w:rPr>
          <w:rFonts w:asciiTheme="minorHAnsi" w:hAnsiTheme="minorHAnsi" w:cstheme="minorHAnsi"/>
        </w:rPr>
      </w:pPr>
    </w:p>
    <w:p w14:paraId="05227132" w14:textId="77777777" w:rsidR="00A65EF6" w:rsidRDefault="00A65EF6" w:rsidP="00A65EF6">
      <w:pPr>
        <w:pStyle w:val="Ttulo1"/>
        <w:jc w:val="right"/>
        <w:rPr>
          <w:rFonts w:asciiTheme="minorHAnsi" w:hAnsiTheme="minorHAnsi" w:cstheme="minorHAnsi"/>
        </w:rPr>
      </w:pPr>
    </w:p>
    <w:p w14:paraId="49EE3896" w14:textId="62525C1B" w:rsidR="00A65EF6" w:rsidRPr="00A65EF6" w:rsidRDefault="00A65EF6" w:rsidP="00A65EF6">
      <w:pPr>
        <w:pStyle w:val="Ttulo1"/>
        <w:jc w:val="right"/>
        <w:rPr>
          <w:rFonts w:asciiTheme="minorHAnsi" w:hAnsiTheme="minorHAnsi" w:cstheme="minorHAnsi"/>
        </w:rPr>
      </w:pPr>
      <w:r w:rsidRPr="00A65EF6">
        <w:rPr>
          <w:rFonts w:asciiTheme="minorHAnsi" w:hAnsiTheme="minorHAnsi" w:cstheme="minorHAnsi"/>
        </w:rPr>
        <w:t xml:space="preserve">Anexo </w:t>
      </w:r>
      <w:r w:rsidR="0085322A">
        <w:rPr>
          <w:rFonts w:asciiTheme="minorHAnsi" w:hAnsiTheme="minorHAnsi" w:cstheme="minorHAnsi"/>
        </w:rPr>
        <w:t>3</w:t>
      </w:r>
      <w:r w:rsidRPr="00A65EF6">
        <w:rPr>
          <w:rFonts w:asciiTheme="minorHAnsi" w:hAnsiTheme="minorHAnsi" w:cstheme="minorHAnsi"/>
        </w:rPr>
        <w:t xml:space="preserve">: </w:t>
      </w:r>
    </w:p>
    <w:p w14:paraId="66704594" w14:textId="77777777" w:rsidR="00A65EF6" w:rsidRPr="00A65EF6" w:rsidRDefault="00A65EF6" w:rsidP="00A65EF6">
      <w:pPr>
        <w:pStyle w:val="Ttulo1"/>
        <w:jc w:val="right"/>
        <w:rPr>
          <w:rFonts w:asciiTheme="minorHAnsi" w:hAnsiTheme="minorHAnsi" w:cstheme="minorHAnsi"/>
        </w:rPr>
      </w:pPr>
      <w:r w:rsidRPr="00A65EF6">
        <w:rPr>
          <w:rFonts w:asciiTheme="minorHAnsi" w:hAnsiTheme="minorHAnsi" w:cstheme="minorHAnsi"/>
        </w:rPr>
        <w:t xml:space="preserve">Equipo completo de autores </w:t>
      </w:r>
    </w:p>
    <w:p w14:paraId="4FEA1A15" w14:textId="52FD9CAC" w:rsidR="00A65EF6" w:rsidRPr="00A65EF6" w:rsidRDefault="00A65EF6" w:rsidP="00A65EF6">
      <w:pPr>
        <w:pStyle w:val="Ttulo1"/>
        <w:jc w:val="right"/>
        <w:rPr>
          <w:rFonts w:asciiTheme="minorHAnsi" w:hAnsiTheme="minorHAnsi" w:cstheme="minorHAnsi"/>
        </w:rPr>
      </w:pPr>
      <w:r w:rsidRPr="00A65EF6">
        <w:rPr>
          <w:rFonts w:asciiTheme="minorHAnsi" w:hAnsiTheme="minorHAnsi" w:cstheme="minorHAnsi"/>
        </w:rPr>
        <w:t>y colaboradores de la propuesta</w:t>
      </w:r>
    </w:p>
    <w:p w14:paraId="6F17974F" w14:textId="77777777" w:rsidR="00A65EF6" w:rsidRDefault="00A65EF6" w:rsidP="0032285C">
      <w:pPr>
        <w:pStyle w:val="Ttulo1"/>
        <w:rPr>
          <w:rFonts w:asciiTheme="minorHAnsi" w:hAnsiTheme="minorHAnsi" w:cstheme="minorHAnsi"/>
          <w:sz w:val="24"/>
          <w:szCs w:val="24"/>
        </w:rPr>
      </w:pPr>
    </w:p>
    <w:p w14:paraId="6C39A7DB" w14:textId="77777777" w:rsidR="00A65EF6" w:rsidRDefault="00A65EF6" w:rsidP="0032285C">
      <w:pPr>
        <w:pStyle w:val="Ttulo1"/>
        <w:rPr>
          <w:rFonts w:asciiTheme="minorHAnsi" w:hAnsiTheme="minorHAnsi" w:cstheme="minorHAnsi"/>
          <w:sz w:val="24"/>
          <w:szCs w:val="24"/>
        </w:rPr>
      </w:pPr>
    </w:p>
    <w:p w14:paraId="6AAED339" w14:textId="77777777" w:rsidR="00A65EF6" w:rsidRDefault="00A65EF6" w:rsidP="0032285C">
      <w:pPr>
        <w:pStyle w:val="Ttulo1"/>
        <w:rPr>
          <w:rFonts w:asciiTheme="minorHAnsi" w:hAnsiTheme="minorHAnsi" w:cstheme="minorHAnsi"/>
          <w:sz w:val="24"/>
          <w:szCs w:val="24"/>
        </w:rPr>
      </w:pPr>
    </w:p>
    <w:p w14:paraId="3789109C" w14:textId="77777777" w:rsidR="00A65EF6" w:rsidRDefault="00A65EF6" w:rsidP="00A65EF6"/>
    <w:p w14:paraId="12841E94" w14:textId="77777777" w:rsidR="00A65EF6" w:rsidRDefault="00A65EF6" w:rsidP="00A65EF6"/>
    <w:p w14:paraId="18713990" w14:textId="77777777" w:rsidR="00A65EF6" w:rsidRDefault="00A65EF6" w:rsidP="00A65EF6"/>
    <w:p w14:paraId="5D881304" w14:textId="77777777" w:rsidR="00A65EF6" w:rsidRDefault="00A65EF6" w:rsidP="00A65EF6"/>
    <w:p w14:paraId="04C1D4B1" w14:textId="77777777" w:rsidR="00A65EF6" w:rsidRDefault="00A65EF6" w:rsidP="00A65EF6"/>
    <w:p w14:paraId="4E03BC69" w14:textId="77777777" w:rsidR="00A65EF6" w:rsidRDefault="00A65EF6" w:rsidP="00A65EF6"/>
    <w:p w14:paraId="7ACC0270" w14:textId="77777777" w:rsidR="00A65EF6" w:rsidRDefault="00A65EF6" w:rsidP="00A65EF6"/>
    <w:p w14:paraId="65ABCCB8" w14:textId="77777777" w:rsidR="00A65EF6" w:rsidRPr="00A65EF6" w:rsidRDefault="00A65EF6" w:rsidP="00A65EF6"/>
    <w:p w14:paraId="5931D2A8" w14:textId="77777777" w:rsidR="00A65EF6" w:rsidRDefault="00A65EF6" w:rsidP="0032285C">
      <w:pPr>
        <w:pStyle w:val="Ttulo1"/>
        <w:rPr>
          <w:rFonts w:asciiTheme="minorHAnsi" w:hAnsiTheme="minorHAnsi" w:cstheme="minorHAnsi"/>
          <w:sz w:val="28"/>
          <w:szCs w:val="28"/>
        </w:rPr>
      </w:pPr>
    </w:p>
    <w:p w14:paraId="43BBDF71" w14:textId="1BE4E50B" w:rsidR="00A65EF6" w:rsidRDefault="001276B4" w:rsidP="0032285C">
      <w:pPr>
        <w:pStyle w:val="Ttulo1"/>
        <w:rPr>
          <w:rFonts w:asciiTheme="minorHAnsi" w:hAnsiTheme="minorHAnsi" w:cstheme="minorHAnsi"/>
          <w:sz w:val="28"/>
          <w:szCs w:val="28"/>
        </w:rPr>
      </w:pPr>
      <w:r w:rsidRPr="00A65EF6">
        <w:rPr>
          <w:rFonts w:asciiTheme="minorHAnsi" w:hAnsiTheme="minorHAnsi" w:cstheme="minorHAnsi"/>
          <w:sz w:val="28"/>
          <w:szCs w:val="28"/>
        </w:rPr>
        <w:t xml:space="preserve">Anexo </w:t>
      </w:r>
      <w:r w:rsidR="0085322A">
        <w:rPr>
          <w:rFonts w:asciiTheme="minorHAnsi" w:hAnsiTheme="minorHAnsi" w:cstheme="minorHAnsi"/>
          <w:sz w:val="28"/>
          <w:szCs w:val="28"/>
        </w:rPr>
        <w:t>3</w:t>
      </w:r>
      <w:r w:rsidRPr="00A65EF6">
        <w:rPr>
          <w:rFonts w:asciiTheme="minorHAnsi" w:hAnsiTheme="minorHAnsi" w:cstheme="minorHAnsi"/>
          <w:sz w:val="28"/>
          <w:szCs w:val="28"/>
        </w:rPr>
        <w:t xml:space="preserve">: </w:t>
      </w:r>
    </w:p>
    <w:p w14:paraId="132EA273" w14:textId="5D9F4F8E" w:rsidR="001276B4" w:rsidRPr="00A65EF6" w:rsidRDefault="001276B4" w:rsidP="0032285C">
      <w:pPr>
        <w:pStyle w:val="Ttulo1"/>
        <w:rPr>
          <w:rFonts w:asciiTheme="minorHAnsi" w:hAnsiTheme="minorHAnsi" w:cstheme="minorHAnsi"/>
          <w:sz w:val="28"/>
          <w:szCs w:val="28"/>
        </w:rPr>
      </w:pPr>
      <w:r w:rsidRPr="00A65EF6">
        <w:rPr>
          <w:rFonts w:asciiTheme="minorHAnsi" w:hAnsiTheme="minorHAnsi" w:cstheme="minorHAnsi"/>
          <w:sz w:val="28"/>
          <w:szCs w:val="28"/>
        </w:rPr>
        <w:t>Equipo completo de autores y</w:t>
      </w:r>
      <w:r w:rsidR="0032285C" w:rsidRPr="00A65EF6">
        <w:rPr>
          <w:rFonts w:asciiTheme="minorHAnsi" w:hAnsiTheme="minorHAnsi" w:cstheme="minorHAnsi"/>
          <w:sz w:val="28"/>
          <w:szCs w:val="28"/>
        </w:rPr>
        <w:t xml:space="preserve"> colaboradores de la propuesta</w:t>
      </w:r>
    </w:p>
    <w:p w14:paraId="083AC77B" w14:textId="77777777" w:rsidR="00A9789C" w:rsidRDefault="00A9789C" w:rsidP="000449FE"/>
    <w:p w14:paraId="1A91921E" w14:textId="77777777" w:rsidR="00A65EF6" w:rsidRPr="006A6D22" w:rsidRDefault="00A65EF6" w:rsidP="000449FE"/>
    <w:p w14:paraId="33B52E1D" w14:textId="77777777" w:rsidR="000B139D" w:rsidRPr="000B139D" w:rsidRDefault="000B139D" w:rsidP="000B139D">
      <w:pPr>
        <w:jc w:val="both"/>
        <w:rPr>
          <w:b/>
          <w:bCs/>
        </w:rPr>
      </w:pPr>
      <w:r w:rsidRPr="000B139D">
        <w:rPr>
          <w:b/>
          <w:bCs/>
        </w:rPr>
        <w:t>Autores:</w:t>
      </w:r>
    </w:p>
    <w:p w14:paraId="2959FAF1" w14:textId="77777777" w:rsidR="000B139D" w:rsidRDefault="000B139D" w:rsidP="000B139D">
      <w:pPr>
        <w:jc w:val="both"/>
      </w:pPr>
    </w:p>
    <w:p w14:paraId="646EFC10" w14:textId="26A8B607" w:rsidR="00A9789C" w:rsidRDefault="00A9789C" w:rsidP="000B139D">
      <w:pPr>
        <w:jc w:val="both"/>
      </w:pPr>
      <w:r>
        <w:t>Prof. Dr. Alfonso Jiménez Gutiérrez</w:t>
      </w:r>
      <w:r w:rsidR="000B139D">
        <w:t xml:space="preserve"> (Coordinador del proyecto)</w:t>
      </w:r>
      <w:r>
        <w:t xml:space="preserve">. Catedrático </w:t>
      </w:r>
      <w:r w:rsidR="000B139D">
        <w:t>d</w:t>
      </w:r>
      <w:r>
        <w:t>el área de Educación Física y Deportiva.</w:t>
      </w:r>
      <w:r w:rsidR="000B139D">
        <w:t xml:space="preserve"> Direct</w:t>
      </w:r>
      <w:r w:rsidR="003663E5">
        <w:t xml:space="preserve">or del </w:t>
      </w:r>
      <w:r w:rsidR="000B139D">
        <w:t>Centro de Investigación en Ciencias del Deporte</w:t>
      </w:r>
      <w:r w:rsidR="003663E5">
        <w:t>,</w:t>
      </w:r>
      <w:r>
        <w:t xml:space="preserve"> Universidad Rey Juan Carlos.</w:t>
      </w:r>
      <w:r w:rsidR="000B139D">
        <w:t xml:space="preserve"> Director del Observatorio de la Fundación España Activa. Director de </w:t>
      </w:r>
      <w:proofErr w:type="spellStart"/>
      <w:r w:rsidR="000B139D">
        <w:t>THiNK</w:t>
      </w:r>
      <w:proofErr w:type="spellEnd"/>
      <w:r w:rsidR="000B139D">
        <w:t xml:space="preserve"> Active, Centro de </w:t>
      </w:r>
      <w:r w:rsidR="003663E5">
        <w:t>In</w:t>
      </w:r>
      <w:r w:rsidR="000B139D">
        <w:t xml:space="preserve">vestigación de </w:t>
      </w:r>
      <w:proofErr w:type="spellStart"/>
      <w:r w:rsidR="000B139D">
        <w:t>EuropeActive</w:t>
      </w:r>
      <w:proofErr w:type="spellEnd"/>
      <w:r w:rsidR="000B139D">
        <w:t xml:space="preserve">. IP del GO </w:t>
      </w:r>
      <w:proofErr w:type="spellStart"/>
      <w:r w:rsidR="000B139D">
        <w:t>fit</w:t>
      </w:r>
      <w:proofErr w:type="spellEnd"/>
      <w:r w:rsidR="000B139D">
        <w:t xml:space="preserve"> LAB. </w:t>
      </w:r>
    </w:p>
    <w:p w14:paraId="10C8DCBD" w14:textId="77777777" w:rsidR="00A9789C" w:rsidRPr="006A6D22" w:rsidRDefault="00A9789C" w:rsidP="000B139D">
      <w:pPr>
        <w:jc w:val="both"/>
      </w:pPr>
    </w:p>
    <w:p w14:paraId="1805D230" w14:textId="77777777" w:rsidR="000B139D" w:rsidRPr="0051709F" w:rsidRDefault="000B139D" w:rsidP="000B139D">
      <w:pPr>
        <w:jc w:val="both"/>
        <w:rPr>
          <w:rFonts w:cstheme="minorHAnsi"/>
          <w:color w:val="000000" w:themeColor="text1"/>
        </w:rPr>
      </w:pPr>
      <w:r w:rsidRPr="0051709F">
        <w:rPr>
          <w:rFonts w:cstheme="minorHAnsi"/>
          <w:color w:val="000000" w:themeColor="text1"/>
        </w:rPr>
        <w:t xml:space="preserve">Prof. Dr. Marcela González Gross. Catedrática de Nutrición Deportiva y Fisiología del Ejercicio en el área de Educación Física y Deportiva. </w:t>
      </w:r>
      <w:r>
        <w:rPr>
          <w:rFonts w:cstheme="minorHAnsi"/>
          <w:color w:val="000000" w:themeColor="text1"/>
        </w:rPr>
        <w:t xml:space="preserve">Directora del </w:t>
      </w:r>
      <w:r w:rsidRPr="0051709F">
        <w:rPr>
          <w:rFonts w:cstheme="minorHAnsi"/>
          <w:color w:val="000000" w:themeColor="text1"/>
        </w:rPr>
        <w:t>Departamento de Salud y Rendimiento Humano. Facultad de Ciencias de la Actividad Física y del Deporte-INEF. Universidad Politécnica de Madrid.</w:t>
      </w:r>
    </w:p>
    <w:p w14:paraId="3CB52EFB" w14:textId="77777777" w:rsidR="000B139D" w:rsidRDefault="000B139D" w:rsidP="000B139D">
      <w:pPr>
        <w:jc w:val="both"/>
      </w:pPr>
    </w:p>
    <w:p w14:paraId="6B2FC041" w14:textId="1C3FFEC9" w:rsidR="000449FE" w:rsidRDefault="000B139D" w:rsidP="000B139D">
      <w:pPr>
        <w:jc w:val="both"/>
      </w:pPr>
      <w:r w:rsidRPr="008A069C">
        <w:t xml:space="preserve">Prof. </w:t>
      </w:r>
      <w:r w:rsidR="000449FE" w:rsidRPr="008A069C">
        <w:t>Dr. David J. Moscoso</w:t>
      </w:r>
      <w:r w:rsidR="00A9789C" w:rsidRPr="008A069C">
        <w:t xml:space="preserve"> Sánchez</w:t>
      </w:r>
      <w:r w:rsidR="000449FE" w:rsidRPr="008A069C">
        <w:t xml:space="preserve">. </w:t>
      </w:r>
      <w:r w:rsidR="000449FE" w:rsidRPr="000449FE">
        <w:t>Doctor en Sociología</w:t>
      </w:r>
      <w:r w:rsidR="000449FE">
        <w:t>. C</w:t>
      </w:r>
      <w:r w:rsidR="003663E5">
        <w:t>atedrático de Sociología en</w:t>
      </w:r>
      <w:r w:rsidR="000449FE" w:rsidRPr="000449FE">
        <w:t xml:space="preserve"> la Universidad de Córdoba.</w:t>
      </w:r>
    </w:p>
    <w:p w14:paraId="354F0772" w14:textId="77777777" w:rsidR="000449FE" w:rsidRPr="000449FE" w:rsidRDefault="000449FE" w:rsidP="000B139D">
      <w:pPr>
        <w:jc w:val="both"/>
      </w:pPr>
    </w:p>
    <w:p w14:paraId="275BFD9D" w14:textId="57CDDC22" w:rsidR="000449FE" w:rsidRDefault="00077917" w:rsidP="000B139D">
      <w:pPr>
        <w:jc w:val="both"/>
        <w:rPr>
          <w:rFonts w:cstheme="minorHAnsi"/>
          <w:color w:val="000000" w:themeColor="text1"/>
        </w:rPr>
      </w:pPr>
      <w:r>
        <w:rPr>
          <w:rFonts w:cstheme="minorHAnsi"/>
          <w:color w:val="000000" w:themeColor="text1"/>
        </w:rPr>
        <w:t xml:space="preserve">Prof. Dr. </w:t>
      </w:r>
      <w:r w:rsidRPr="00077917">
        <w:rPr>
          <w:rFonts w:cstheme="minorHAnsi"/>
          <w:color w:val="000000" w:themeColor="text1"/>
        </w:rPr>
        <w:t>Juan Antonio Moreno Murcia</w:t>
      </w:r>
      <w:r>
        <w:rPr>
          <w:rFonts w:cstheme="minorHAnsi"/>
          <w:color w:val="000000" w:themeColor="text1"/>
        </w:rPr>
        <w:t xml:space="preserve">. Catedrático </w:t>
      </w:r>
      <w:r w:rsidR="000B139D">
        <w:rPr>
          <w:rFonts w:cstheme="minorHAnsi"/>
          <w:color w:val="000000" w:themeColor="text1"/>
        </w:rPr>
        <w:t>d</w:t>
      </w:r>
      <w:r>
        <w:rPr>
          <w:rFonts w:cstheme="minorHAnsi"/>
          <w:color w:val="000000" w:themeColor="text1"/>
        </w:rPr>
        <w:t>el área de Educación Física y Deportiva</w:t>
      </w:r>
      <w:r w:rsidR="000449FE">
        <w:rPr>
          <w:rFonts w:cstheme="minorHAnsi"/>
          <w:color w:val="000000" w:themeColor="text1"/>
        </w:rPr>
        <w:t xml:space="preserve">. Departamento de Ciencias del Deporte. </w:t>
      </w:r>
      <w:r w:rsidR="000449FE" w:rsidRPr="000449FE">
        <w:rPr>
          <w:rFonts w:cstheme="minorHAnsi"/>
          <w:color w:val="000000" w:themeColor="text1"/>
        </w:rPr>
        <w:t>Centro de Investigación del Deporte. Universidad Miguel Hernández de Elche</w:t>
      </w:r>
      <w:r w:rsidR="000449FE">
        <w:rPr>
          <w:rFonts w:cstheme="minorHAnsi"/>
          <w:color w:val="000000" w:themeColor="text1"/>
        </w:rPr>
        <w:t>.</w:t>
      </w:r>
    </w:p>
    <w:p w14:paraId="5E9E9AE5" w14:textId="77777777" w:rsidR="00433BD9" w:rsidRDefault="00433BD9" w:rsidP="000B139D">
      <w:pPr>
        <w:jc w:val="both"/>
        <w:rPr>
          <w:rFonts w:cstheme="minorHAnsi"/>
          <w:color w:val="000000" w:themeColor="text1"/>
        </w:rPr>
      </w:pPr>
    </w:p>
    <w:p w14:paraId="27D01C18" w14:textId="1CE59FD3" w:rsidR="00A9789C" w:rsidRDefault="00A9789C" w:rsidP="000B139D">
      <w:pPr>
        <w:jc w:val="both"/>
      </w:pPr>
      <w:r w:rsidRPr="00652A21">
        <w:t>Ana C. Vallejo Gil</w:t>
      </w:r>
      <w:r w:rsidR="00652A21">
        <w:t xml:space="preserve">. Dirección de proyectos en </w:t>
      </w:r>
      <w:proofErr w:type="spellStart"/>
      <w:r w:rsidR="00652A21" w:rsidRPr="00652A21">
        <w:t>MQSostenible</w:t>
      </w:r>
      <w:proofErr w:type="spellEnd"/>
      <w:r w:rsidR="00652A21" w:rsidRPr="00652A21">
        <w:t xml:space="preserve">, Sport &amp; Green </w:t>
      </w:r>
      <w:proofErr w:type="spellStart"/>
      <w:r w:rsidR="00652A21" w:rsidRPr="00652A21">
        <w:t>Events</w:t>
      </w:r>
      <w:proofErr w:type="spellEnd"/>
      <w:r w:rsidR="00652A21">
        <w:t xml:space="preserve">. </w:t>
      </w:r>
      <w:r w:rsidR="00652A21" w:rsidRPr="00652A21">
        <w:t>Especialista en la transformación de organizaciones deportivas a través de Proyectos de Gestión Medioambiental y más allá de la Sostenibilidad</w:t>
      </w:r>
      <w:r w:rsidR="00652A21">
        <w:t xml:space="preserve">. </w:t>
      </w:r>
      <w:r w:rsidR="000B139D">
        <w:t>Licenciada en Educación Física.</w:t>
      </w:r>
    </w:p>
    <w:p w14:paraId="2A64B948" w14:textId="77777777" w:rsidR="00A9789C" w:rsidRDefault="00A9789C" w:rsidP="000B139D">
      <w:pPr>
        <w:jc w:val="both"/>
      </w:pPr>
    </w:p>
    <w:p w14:paraId="11E00747" w14:textId="6A9A1BAA" w:rsidR="00A9789C" w:rsidRPr="00652A21" w:rsidRDefault="00A9789C" w:rsidP="000B139D">
      <w:pPr>
        <w:jc w:val="both"/>
      </w:pPr>
      <w:r>
        <w:t xml:space="preserve">Dr. Santiago F. Gómez. </w:t>
      </w:r>
      <w:r w:rsidR="00383608" w:rsidRPr="006A6D22">
        <w:t>Doctor en</w:t>
      </w:r>
      <w:r w:rsidR="003663E5">
        <w:t xml:space="preserve"> Psicología</w:t>
      </w:r>
      <w:r w:rsidR="00383608" w:rsidRPr="006A6D22">
        <w:t xml:space="preserve">. </w:t>
      </w:r>
      <w:r w:rsidR="00383608" w:rsidRPr="00652A21">
        <w:t xml:space="preserve">Director Global de Investigación y Programas en </w:t>
      </w:r>
      <w:r w:rsidR="003663E5">
        <w:t xml:space="preserve">la </w:t>
      </w:r>
      <w:r w:rsidR="00383608" w:rsidRPr="00652A21">
        <w:t xml:space="preserve">Gasol </w:t>
      </w:r>
      <w:proofErr w:type="spellStart"/>
      <w:r w:rsidR="00383608" w:rsidRPr="00652A21">
        <w:t>Foundation</w:t>
      </w:r>
      <w:proofErr w:type="spellEnd"/>
      <w:r w:rsidR="00383608" w:rsidRPr="00652A21">
        <w:t>.</w:t>
      </w:r>
    </w:p>
    <w:p w14:paraId="5A83E21E" w14:textId="76297E38" w:rsidR="00A9789C" w:rsidRPr="00652A21" w:rsidRDefault="00A9789C" w:rsidP="000B139D">
      <w:pPr>
        <w:jc w:val="both"/>
      </w:pPr>
    </w:p>
    <w:p w14:paraId="78001F66" w14:textId="7AE2ED51" w:rsidR="00A9789C" w:rsidRDefault="00A9789C" w:rsidP="000B139D">
      <w:pPr>
        <w:jc w:val="both"/>
      </w:pPr>
      <w:r>
        <w:t>Dr. Carlos Lahoz Palacios</w:t>
      </w:r>
      <w:r w:rsidR="00383608">
        <w:t xml:space="preserve">. Doctor en Arquitectura. </w:t>
      </w:r>
      <w:r w:rsidR="00383608" w:rsidRPr="00A9789C">
        <w:t xml:space="preserve">Profesor Colaborador Doctor </w:t>
      </w:r>
      <w:r w:rsidR="00383608">
        <w:t>en el Departamento de Arquitectura y Diseño. Universidad San Pablo CEU.</w:t>
      </w:r>
    </w:p>
    <w:p w14:paraId="44A505FB" w14:textId="77777777" w:rsidR="00A9789C" w:rsidRDefault="00A9789C" w:rsidP="000B139D">
      <w:pPr>
        <w:jc w:val="both"/>
      </w:pPr>
    </w:p>
    <w:p w14:paraId="00392432" w14:textId="26946903" w:rsidR="00A9789C" w:rsidRDefault="00A9789C" w:rsidP="000B139D">
      <w:pPr>
        <w:jc w:val="both"/>
      </w:pPr>
      <w:r>
        <w:t>Dra. Inés Nieto Romero. Doctora en Psicología</w:t>
      </w:r>
      <w:r w:rsidR="003663E5">
        <w:t xml:space="preserve"> Clínica</w:t>
      </w:r>
      <w:r>
        <w:t>.</w:t>
      </w:r>
      <w:r w:rsidR="000B139D">
        <w:t xml:space="preserve"> Investigadora postdoctoral en el Centro de Investigación en Ciencias del Deporte</w:t>
      </w:r>
      <w:r>
        <w:t>. Universidad Rey Juan Carlos.</w:t>
      </w:r>
    </w:p>
    <w:p w14:paraId="290A3810" w14:textId="77777777" w:rsidR="00A9789C" w:rsidRDefault="00A9789C" w:rsidP="000B139D">
      <w:pPr>
        <w:jc w:val="both"/>
      </w:pPr>
    </w:p>
    <w:p w14:paraId="48FEE311" w14:textId="1BED83D5" w:rsidR="003663E5" w:rsidRDefault="00A9789C" w:rsidP="003663E5">
      <w:pPr>
        <w:jc w:val="both"/>
      </w:pPr>
      <w:r>
        <w:t xml:space="preserve">Dr. </w:t>
      </w:r>
      <w:proofErr w:type="spellStart"/>
      <w:r>
        <w:t>Xian</w:t>
      </w:r>
      <w:proofErr w:type="spellEnd"/>
      <w:r>
        <w:t xml:space="preserve"> Mayo </w:t>
      </w:r>
      <w:proofErr w:type="spellStart"/>
      <w:r>
        <w:t>Mauriz</w:t>
      </w:r>
      <w:proofErr w:type="spellEnd"/>
      <w:r>
        <w:t>. P</w:t>
      </w:r>
      <w:r w:rsidR="000B139D">
        <w:t>rofesor Contratado Doctor</w:t>
      </w:r>
      <w:r w:rsidR="003663E5">
        <w:t>, Secretario</w:t>
      </w:r>
      <w:r w:rsidR="000B139D">
        <w:t xml:space="preserve"> </w:t>
      </w:r>
      <w:r w:rsidR="003663E5">
        <w:t>d</w:t>
      </w:r>
      <w:r w:rsidR="000B139D">
        <w:t>el Centro de Investigación en Ciencias del Deporte</w:t>
      </w:r>
      <w:r w:rsidR="003663E5">
        <w:t>,</w:t>
      </w:r>
      <w:r w:rsidR="000B139D">
        <w:t xml:space="preserve"> </w:t>
      </w:r>
      <w:r>
        <w:t>Universidad Rey Juan Carlos.</w:t>
      </w:r>
      <w:r w:rsidR="003663E5">
        <w:t xml:space="preserve"> Coordinador del Observatorio de la Fundación España Activa. GO </w:t>
      </w:r>
      <w:proofErr w:type="spellStart"/>
      <w:r w:rsidR="003663E5">
        <w:t>fit</w:t>
      </w:r>
      <w:proofErr w:type="spellEnd"/>
      <w:r w:rsidR="003663E5">
        <w:t xml:space="preserve"> LAB. </w:t>
      </w:r>
    </w:p>
    <w:p w14:paraId="4F735C13" w14:textId="7559EB9F" w:rsidR="00A9789C" w:rsidRDefault="00A9789C" w:rsidP="000B139D">
      <w:pPr>
        <w:jc w:val="both"/>
      </w:pPr>
    </w:p>
    <w:p w14:paraId="3BE269C3" w14:textId="77777777" w:rsidR="00A9789C" w:rsidRDefault="00A9789C" w:rsidP="000B139D">
      <w:pPr>
        <w:jc w:val="both"/>
        <w:rPr>
          <w:rFonts w:cstheme="minorHAnsi"/>
          <w:color w:val="000000" w:themeColor="text1"/>
        </w:rPr>
      </w:pPr>
    </w:p>
    <w:p w14:paraId="20E49D63" w14:textId="77777777" w:rsidR="00A65EF6" w:rsidRDefault="00A65EF6" w:rsidP="000B139D">
      <w:pPr>
        <w:jc w:val="both"/>
        <w:rPr>
          <w:rFonts w:cstheme="minorHAnsi"/>
          <w:color w:val="000000" w:themeColor="text1"/>
        </w:rPr>
      </w:pPr>
    </w:p>
    <w:p w14:paraId="49A041EE" w14:textId="77777777" w:rsidR="00A65EF6" w:rsidRDefault="00A65EF6" w:rsidP="000B139D">
      <w:pPr>
        <w:jc w:val="both"/>
        <w:rPr>
          <w:rFonts w:cstheme="minorHAnsi"/>
          <w:color w:val="000000" w:themeColor="text1"/>
        </w:rPr>
      </w:pPr>
    </w:p>
    <w:p w14:paraId="4B546D56" w14:textId="77777777" w:rsidR="00A65EF6" w:rsidRPr="0051709F" w:rsidRDefault="00A65EF6" w:rsidP="000B139D">
      <w:pPr>
        <w:jc w:val="both"/>
        <w:rPr>
          <w:rFonts w:cstheme="minorHAnsi"/>
          <w:color w:val="000000" w:themeColor="text1"/>
        </w:rPr>
      </w:pPr>
    </w:p>
    <w:p w14:paraId="05A92D98" w14:textId="77777777" w:rsidR="00433BD9" w:rsidRPr="0051709F" w:rsidRDefault="00433BD9" w:rsidP="000B139D">
      <w:pPr>
        <w:jc w:val="both"/>
        <w:rPr>
          <w:rFonts w:cstheme="minorHAnsi"/>
          <w:color w:val="000000" w:themeColor="text1"/>
        </w:rPr>
      </w:pPr>
      <w:r w:rsidRPr="00A9789C">
        <w:rPr>
          <w:rFonts w:cstheme="minorHAnsi"/>
          <w:b/>
          <w:color w:val="000000" w:themeColor="text1"/>
        </w:rPr>
        <w:t>Colaboradores</w:t>
      </w:r>
      <w:r w:rsidRPr="0051709F">
        <w:rPr>
          <w:rFonts w:cstheme="minorHAnsi"/>
          <w:color w:val="000000" w:themeColor="text1"/>
        </w:rPr>
        <w:t>:</w:t>
      </w:r>
    </w:p>
    <w:p w14:paraId="4646D0FF" w14:textId="77777777" w:rsidR="00433BD9" w:rsidRPr="0051709F" w:rsidRDefault="00433BD9" w:rsidP="000B139D">
      <w:pPr>
        <w:jc w:val="both"/>
        <w:rPr>
          <w:rFonts w:cstheme="minorHAnsi"/>
          <w:color w:val="000000" w:themeColor="text1"/>
        </w:rPr>
      </w:pPr>
    </w:p>
    <w:p w14:paraId="25CCA9FE" w14:textId="222BB4A4" w:rsidR="00433BD9" w:rsidRPr="0051709F" w:rsidRDefault="00433BD9" w:rsidP="000B139D">
      <w:pPr>
        <w:jc w:val="both"/>
        <w:rPr>
          <w:rFonts w:cstheme="minorHAnsi"/>
          <w:color w:val="000000" w:themeColor="text1"/>
        </w:rPr>
      </w:pPr>
      <w:r w:rsidRPr="0051709F">
        <w:rPr>
          <w:rFonts w:cstheme="minorHAnsi"/>
          <w:color w:val="000000" w:themeColor="text1"/>
        </w:rPr>
        <w:t>Prof. Dr</w:t>
      </w:r>
      <w:r w:rsidR="003663E5">
        <w:rPr>
          <w:rFonts w:cstheme="minorHAnsi"/>
          <w:color w:val="000000" w:themeColor="text1"/>
        </w:rPr>
        <w:t>a</w:t>
      </w:r>
      <w:r w:rsidRPr="0051709F">
        <w:rPr>
          <w:rFonts w:cstheme="minorHAnsi"/>
          <w:color w:val="000000" w:themeColor="text1"/>
        </w:rPr>
        <w:t>. Margarita Pérez Ruiz. Médico Especialista en Medicina Deportiva. Profesora Titular en el área de Educación Física y Deportiva. Departamento de Salud y Rendimiento Humano. Facultad de Ciencias de la Actividad Física y del Deporte-INEF. Universidad Politécnica de Madrid.</w:t>
      </w:r>
    </w:p>
    <w:p w14:paraId="37A24992" w14:textId="77777777" w:rsidR="00433BD9" w:rsidRPr="0051709F" w:rsidRDefault="00433BD9" w:rsidP="000B139D">
      <w:pPr>
        <w:jc w:val="both"/>
        <w:rPr>
          <w:rFonts w:cstheme="minorHAnsi"/>
          <w:color w:val="000000" w:themeColor="text1"/>
        </w:rPr>
      </w:pPr>
    </w:p>
    <w:p w14:paraId="67ED26C6" w14:textId="01E7516F" w:rsidR="00433BD9" w:rsidRPr="0051709F" w:rsidRDefault="00433BD9" w:rsidP="000B139D">
      <w:pPr>
        <w:jc w:val="both"/>
        <w:rPr>
          <w:rFonts w:cstheme="minorHAnsi"/>
          <w:color w:val="000000" w:themeColor="text1"/>
        </w:rPr>
      </w:pPr>
      <w:r w:rsidRPr="0051709F">
        <w:rPr>
          <w:rFonts w:cstheme="minorHAnsi"/>
          <w:color w:val="000000" w:themeColor="text1"/>
        </w:rPr>
        <w:t>Dr</w:t>
      </w:r>
      <w:r w:rsidR="003663E5">
        <w:rPr>
          <w:rFonts w:cstheme="minorHAnsi"/>
          <w:color w:val="000000" w:themeColor="text1"/>
        </w:rPr>
        <w:t>a</w:t>
      </w:r>
      <w:r w:rsidRPr="0051709F">
        <w:rPr>
          <w:rFonts w:cstheme="minorHAnsi"/>
          <w:color w:val="000000" w:themeColor="text1"/>
        </w:rPr>
        <w:t>. Raquel Aparicio Ugarriza. Investigadora Postdoctoral. Departamento de Salud y Rendimiento Humano. Facultad de Ciencias de la Actividad Física y del Deporte-INEF. Universidad Politécnica de Madrid.</w:t>
      </w:r>
    </w:p>
    <w:p w14:paraId="0FF577BD" w14:textId="77777777" w:rsidR="00433BD9" w:rsidRPr="0051709F" w:rsidRDefault="00433BD9" w:rsidP="000B139D">
      <w:pPr>
        <w:jc w:val="both"/>
        <w:rPr>
          <w:rFonts w:cstheme="minorHAnsi"/>
          <w:color w:val="000000" w:themeColor="text1"/>
        </w:rPr>
      </w:pPr>
    </w:p>
    <w:p w14:paraId="56FF4029" w14:textId="77777777" w:rsidR="00433BD9" w:rsidRPr="0051709F" w:rsidRDefault="00433BD9" w:rsidP="000B139D">
      <w:pPr>
        <w:jc w:val="both"/>
        <w:rPr>
          <w:rFonts w:cstheme="minorHAnsi"/>
          <w:color w:val="000000" w:themeColor="text1"/>
        </w:rPr>
      </w:pPr>
      <w:r w:rsidRPr="0051709F">
        <w:rPr>
          <w:rFonts w:cstheme="minorHAnsi"/>
          <w:color w:val="000000" w:themeColor="text1"/>
        </w:rPr>
        <w:t xml:space="preserve">Alicia </w:t>
      </w:r>
      <w:proofErr w:type="spellStart"/>
      <w:r w:rsidRPr="0051709F">
        <w:rPr>
          <w:rFonts w:cstheme="minorHAnsi"/>
          <w:color w:val="000000" w:themeColor="text1"/>
        </w:rPr>
        <w:t>Portals</w:t>
      </w:r>
      <w:proofErr w:type="spellEnd"/>
      <w:r w:rsidRPr="0051709F">
        <w:rPr>
          <w:rFonts w:cstheme="minorHAnsi"/>
          <w:color w:val="000000" w:themeColor="text1"/>
        </w:rPr>
        <w:t xml:space="preserve"> </w:t>
      </w:r>
      <w:proofErr w:type="spellStart"/>
      <w:r w:rsidRPr="0051709F">
        <w:rPr>
          <w:rFonts w:cstheme="minorHAnsi"/>
          <w:color w:val="000000" w:themeColor="text1"/>
        </w:rPr>
        <w:t>Riomao</w:t>
      </w:r>
      <w:proofErr w:type="spellEnd"/>
      <w:r w:rsidRPr="0051709F">
        <w:rPr>
          <w:rFonts w:cstheme="minorHAnsi"/>
          <w:color w:val="000000" w:themeColor="text1"/>
        </w:rPr>
        <w:t>. Graduada y Máster en Ciencias de la Actividad Física y del Deporte. Investigadora predoctoral. Departamento de Salud y Rendimiento Humano. Facultad de Ciencias de la Actividad Física y del Deporte-INEF. Universidad Politécnica de Madrid.</w:t>
      </w:r>
    </w:p>
    <w:p w14:paraId="194D4F12" w14:textId="77777777" w:rsidR="00433BD9" w:rsidRPr="0051709F" w:rsidRDefault="00433BD9" w:rsidP="000B139D">
      <w:pPr>
        <w:jc w:val="both"/>
        <w:rPr>
          <w:rFonts w:cstheme="minorHAnsi"/>
          <w:color w:val="000000" w:themeColor="text1"/>
        </w:rPr>
      </w:pPr>
    </w:p>
    <w:p w14:paraId="1632948A" w14:textId="1BA2C218" w:rsidR="00A9789C" w:rsidRPr="000449FE" w:rsidRDefault="00433BD9" w:rsidP="000B139D">
      <w:pPr>
        <w:jc w:val="both"/>
      </w:pPr>
      <w:proofErr w:type="spellStart"/>
      <w:r w:rsidRPr="0051709F">
        <w:rPr>
          <w:rFonts w:cstheme="minorHAnsi"/>
          <w:color w:val="000000" w:themeColor="text1"/>
        </w:rPr>
        <w:t>Asmaa</w:t>
      </w:r>
      <w:proofErr w:type="spellEnd"/>
      <w:r w:rsidRPr="0051709F">
        <w:rPr>
          <w:rFonts w:cstheme="minorHAnsi"/>
          <w:color w:val="000000" w:themeColor="text1"/>
        </w:rPr>
        <w:t xml:space="preserve"> </w:t>
      </w:r>
      <w:proofErr w:type="spellStart"/>
      <w:r w:rsidRPr="0051709F">
        <w:rPr>
          <w:rFonts w:cstheme="minorHAnsi"/>
          <w:color w:val="000000" w:themeColor="text1"/>
        </w:rPr>
        <w:t>Nehari</w:t>
      </w:r>
      <w:proofErr w:type="spellEnd"/>
      <w:r w:rsidRPr="0051709F">
        <w:rPr>
          <w:rFonts w:cstheme="minorHAnsi"/>
          <w:color w:val="000000" w:themeColor="text1"/>
        </w:rPr>
        <w:t>. Graduada y Máster en Nutrición y Dietética. Investigadora predoctoral. Departamento de Salud y Rendimiento Humano. Facultad de Ciencias de la Actividad Física y del Deporte-INEF. Un</w:t>
      </w:r>
      <w:r w:rsidR="002D7616">
        <w:rPr>
          <w:rFonts w:cstheme="minorHAnsi"/>
          <w:color w:val="000000" w:themeColor="text1"/>
        </w:rPr>
        <w:t>iversidad Politécnica de Madrid.</w:t>
      </w:r>
    </w:p>
    <w:p w14:paraId="50D32A55" w14:textId="499CC280" w:rsidR="00DB1DF2" w:rsidRDefault="00DB1DF2" w:rsidP="000B139D">
      <w:pPr>
        <w:jc w:val="both"/>
        <w:rPr>
          <w:rFonts w:cstheme="minorHAnsi"/>
          <w:color w:val="000000" w:themeColor="text1"/>
        </w:rPr>
      </w:pPr>
    </w:p>
    <w:p w14:paraId="0343401F" w14:textId="10125E4F" w:rsidR="0051709F" w:rsidRPr="002D7616" w:rsidRDefault="002D7616" w:rsidP="000B139D">
      <w:pPr>
        <w:jc w:val="both"/>
      </w:pPr>
      <w:r>
        <w:rPr>
          <w:rFonts w:cstheme="minorHAnsi"/>
          <w:color w:val="000000" w:themeColor="text1"/>
        </w:rPr>
        <w:t xml:space="preserve">Dr. Alfonso Arroyo Lorenzo. </w:t>
      </w:r>
      <w:r w:rsidRPr="002D7616">
        <w:rPr>
          <w:rFonts w:cstheme="minorHAnsi"/>
          <w:color w:val="000000" w:themeColor="text1"/>
        </w:rPr>
        <w:t>Plataforma España D</w:t>
      </w:r>
      <w:r>
        <w:rPr>
          <w:rFonts w:cstheme="minorHAnsi"/>
          <w:color w:val="000000" w:themeColor="text1"/>
        </w:rPr>
        <w:t>eporte. Profesor Asociado en el D</w:t>
      </w:r>
      <w:r>
        <w:t xml:space="preserve">epartamento de Estudios Históricos y Sociales, Lengua Española, Literatura, Filosofía Moral y Didácticas Específicas. Facultad de Ciencias de la Educación y del Deporte y </w:t>
      </w:r>
      <w:proofErr w:type="spellStart"/>
      <w:r>
        <w:t>Etudios</w:t>
      </w:r>
      <w:proofErr w:type="spellEnd"/>
      <w:r>
        <w:t xml:space="preserve"> Interdisciplinares. Universidad Rey Juan Carlos.</w:t>
      </w:r>
    </w:p>
    <w:p w14:paraId="361EDEBB" w14:textId="77777777" w:rsidR="002D7616" w:rsidRDefault="002D7616" w:rsidP="000B139D">
      <w:pPr>
        <w:jc w:val="both"/>
        <w:rPr>
          <w:rFonts w:cstheme="minorHAnsi"/>
          <w:color w:val="000000" w:themeColor="text1"/>
        </w:rPr>
      </w:pPr>
    </w:p>
    <w:p w14:paraId="15707A5C" w14:textId="47B1FE10" w:rsidR="002D7616" w:rsidRPr="00652A21" w:rsidRDefault="002D7616" w:rsidP="000B139D">
      <w:pPr>
        <w:jc w:val="both"/>
      </w:pPr>
      <w:r>
        <w:rPr>
          <w:rFonts w:cstheme="minorHAnsi"/>
          <w:color w:val="000000" w:themeColor="text1"/>
        </w:rPr>
        <w:t xml:space="preserve">Genís Según. Coordinador Técnico de Investigación y Programas </w:t>
      </w:r>
      <w:r w:rsidRPr="00652A21">
        <w:t xml:space="preserve">en Gasol </w:t>
      </w:r>
      <w:proofErr w:type="spellStart"/>
      <w:r w:rsidRPr="00652A21">
        <w:t>Foundation</w:t>
      </w:r>
      <w:proofErr w:type="spellEnd"/>
      <w:r w:rsidRPr="00652A21">
        <w:t>.</w:t>
      </w:r>
    </w:p>
    <w:p w14:paraId="3843A07C" w14:textId="77777777" w:rsidR="002D7616" w:rsidRDefault="002D7616" w:rsidP="000B139D">
      <w:pPr>
        <w:jc w:val="both"/>
        <w:rPr>
          <w:rFonts w:cstheme="minorHAnsi"/>
          <w:color w:val="000000" w:themeColor="text1"/>
        </w:rPr>
      </w:pPr>
    </w:p>
    <w:p w14:paraId="0044BD8A" w14:textId="11F2FB05" w:rsidR="002D7616" w:rsidRDefault="002D7616" w:rsidP="000B139D">
      <w:pPr>
        <w:jc w:val="both"/>
        <w:rPr>
          <w:rFonts w:cstheme="minorHAnsi"/>
          <w:color w:val="000000" w:themeColor="text1"/>
        </w:rPr>
      </w:pPr>
      <w:r w:rsidRPr="00DB1DF2">
        <w:rPr>
          <w:rFonts w:cstheme="minorHAnsi"/>
          <w:color w:val="000000" w:themeColor="text1"/>
        </w:rPr>
        <w:t>Mar Ribera</w:t>
      </w:r>
      <w:r>
        <w:rPr>
          <w:rFonts w:cstheme="minorHAnsi"/>
          <w:color w:val="000000" w:themeColor="text1"/>
        </w:rPr>
        <w:t xml:space="preserve"> </w:t>
      </w:r>
      <w:proofErr w:type="spellStart"/>
      <w:r>
        <w:rPr>
          <w:rFonts w:cstheme="minorHAnsi"/>
          <w:color w:val="000000" w:themeColor="text1"/>
        </w:rPr>
        <w:t>Sauny</w:t>
      </w:r>
      <w:proofErr w:type="spellEnd"/>
      <w:r>
        <w:rPr>
          <w:rFonts w:cstheme="minorHAnsi"/>
          <w:color w:val="000000" w:themeColor="text1"/>
        </w:rPr>
        <w:t xml:space="preserve">. </w:t>
      </w:r>
      <w:r w:rsidRPr="002D7616">
        <w:rPr>
          <w:rFonts w:cstheme="minorHAnsi"/>
          <w:color w:val="000000" w:themeColor="text1"/>
        </w:rPr>
        <w:t>Técnica d</w:t>
      </w:r>
      <w:r>
        <w:rPr>
          <w:rFonts w:cstheme="minorHAnsi"/>
          <w:color w:val="000000" w:themeColor="text1"/>
        </w:rPr>
        <w:t xml:space="preserve">e </w:t>
      </w:r>
      <w:r w:rsidR="003663E5">
        <w:rPr>
          <w:rFonts w:cstheme="minorHAnsi"/>
          <w:color w:val="000000" w:themeColor="text1"/>
        </w:rPr>
        <w:t>P</w:t>
      </w:r>
      <w:r>
        <w:rPr>
          <w:rFonts w:cstheme="minorHAnsi"/>
          <w:color w:val="000000" w:themeColor="text1"/>
        </w:rPr>
        <w:t xml:space="preserve">royectos en Gasol </w:t>
      </w:r>
      <w:proofErr w:type="spellStart"/>
      <w:r>
        <w:rPr>
          <w:rFonts w:cstheme="minorHAnsi"/>
          <w:color w:val="000000" w:themeColor="text1"/>
        </w:rPr>
        <w:t>Foundation</w:t>
      </w:r>
      <w:proofErr w:type="spellEnd"/>
      <w:r>
        <w:rPr>
          <w:rFonts w:cstheme="minorHAnsi"/>
          <w:color w:val="000000" w:themeColor="text1"/>
        </w:rPr>
        <w:t>.</w:t>
      </w:r>
    </w:p>
    <w:p w14:paraId="1712CF93" w14:textId="77777777" w:rsidR="002D7616" w:rsidRDefault="002D7616" w:rsidP="000B139D">
      <w:pPr>
        <w:jc w:val="both"/>
        <w:rPr>
          <w:rFonts w:cstheme="minorHAnsi"/>
          <w:color w:val="000000" w:themeColor="text1"/>
        </w:rPr>
      </w:pPr>
    </w:p>
    <w:p w14:paraId="68280968" w14:textId="60B1460B" w:rsidR="002D7616" w:rsidRDefault="002D7616" w:rsidP="000B139D">
      <w:pPr>
        <w:jc w:val="both"/>
        <w:rPr>
          <w:rFonts w:cstheme="minorHAnsi"/>
          <w:color w:val="000000" w:themeColor="text1"/>
        </w:rPr>
      </w:pPr>
      <w:r w:rsidRPr="00DB1DF2">
        <w:rPr>
          <w:rFonts w:cstheme="minorHAnsi"/>
          <w:color w:val="000000" w:themeColor="text1"/>
        </w:rPr>
        <w:t xml:space="preserve">Miguel </w:t>
      </w:r>
      <w:proofErr w:type="spellStart"/>
      <w:r w:rsidRPr="00DB1DF2">
        <w:rPr>
          <w:rFonts w:cstheme="minorHAnsi"/>
          <w:color w:val="000000" w:themeColor="text1"/>
        </w:rPr>
        <w:t>Ardanuy</w:t>
      </w:r>
      <w:proofErr w:type="spellEnd"/>
      <w:r w:rsidR="002D523B">
        <w:rPr>
          <w:rFonts w:cstheme="minorHAnsi"/>
          <w:color w:val="000000" w:themeColor="text1"/>
        </w:rPr>
        <w:t xml:space="preserve">. </w:t>
      </w:r>
      <w:r w:rsidR="003663E5">
        <w:rPr>
          <w:rFonts w:cstheme="minorHAnsi"/>
          <w:color w:val="000000" w:themeColor="text1"/>
        </w:rPr>
        <w:t xml:space="preserve">Responsable de Sostenibilidad en GO </w:t>
      </w:r>
      <w:proofErr w:type="spellStart"/>
      <w:r w:rsidR="003663E5">
        <w:rPr>
          <w:rFonts w:cstheme="minorHAnsi"/>
          <w:color w:val="000000" w:themeColor="text1"/>
        </w:rPr>
        <w:t>fit</w:t>
      </w:r>
      <w:proofErr w:type="spellEnd"/>
      <w:r w:rsidR="003663E5">
        <w:rPr>
          <w:rFonts w:cstheme="minorHAnsi"/>
          <w:color w:val="000000" w:themeColor="text1"/>
        </w:rPr>
        <w:t xml:space="preserve"> </w:t>
      </w:r>
      <w:proofErr w:type="spellStart"/>
      <w:r w:rsidR="003663E5">
        <w:rPr>
          <w:rFonts w:cstheme="minorHAnsi"/>
          <w:color w:val="000000" w:themeColor="text1"/>
        </w:rPr>
        <w:t>Life</w:t>
      </w:r>
      <w:proofErr w:type="spellEnd"/>
      <w:r w:rsidR="003663E5">
        <w:rPr>
          <w:rFonts w:cstheme="minorHAnsi"/>
          <w:color w:val="000000" w:themeColor="text1"/>
        </w:rPr>
        <w:t xml:space="preserve">, </w:t>
      </w:r>
      <w:proofErr w:type="spellStart"/>
      <w:r w:rsidR="003663E5">
        <w:rPr>
          <w:rFonts w:cstheme="minorHAnsi"/>
          <w:color w:val="000000" w:themeColor="text1"/>
        </w:rPr>
        <w:t>Science</w:t>
      </w:r>
      <w:proofErr w:type="spellEnd"/>
      <w:r w:rsidR="003663E5">
        <w:rPr>
          <w:rFonts w:cstheme="minorHAnsi"/>
          <w:color w:val="000000" w:themeColor="text1"/>
        </w:rPr>
        <w:t xml:space="preserve"> and </w:t>
      </w:r>
      <w:proofErr w:type="spellStart"/>
      <w:r w:rsidR="003663E5">
        <w:rPr>
          <w:rFonts w:cstheme="minorHAnsi"/>
          <w:color w:val="000000" w:themeColor="text1"/>
        </w:rPr>
        <w:t>Technology</w:t>
      </w:r>
      <w:proofErr w:type="spellEnd"/>
      <w:r w:rsidR="003663E5">
        <w:rPr>
          <w:rFonts w:cstheme="minorHAnsi"/>
          <w:color w:val="000000" w:themeColor="text1"/>
        </w:rPr>
        <w:t xml:space="preserve">, S.A. </w:t>
      </w:r>
      <w:r w:rsidR="000B139D">
        <w:rPr>
          <w:rFonts w:cstheme="minorHAnsi"/>
          <w:color w:val="000000" w:themeColor="text1"/>
        </w:rPr>
        <w:t>Ex</w:t>
      </w:r>
      <w:r w:rsidR="002D523B">
        <w:t>d</w:t>
      </w:r>
      <w:r w:rsidR="002D523B" w:rsidRPr="002D523B">
        <w:rPr>
          <w:rFonts w:cstheme="minorHAnsi"/>
          <w:color w:val="000000" w:themeColor="text1"/>
        </w:rPr>
        <w:t xml:space="preserve">iputado de la </w:t>
      </w:r>
      <w:r w:rsidR="000B139D">
        <w:rPr>
          <w:rFonts w:cstheme="minorHAnsi"/>
          <w:color w:val="000000" w:themeColor="text1"/>
        </w:rPr>
        <w:t xml:space="preserve">Asamblea </w:t>
      </w:r>
      <w:r w:rsidR="002D523B" w:rsidRPr="002D523B">
        <w:rPr>
          <w:rFonts w:cstheme="minorHAnsi"/>
          <w:color w:val="000000" w:themeColor="text1"/>
        </w:rPr>
        <w:t>de Madrid</w:t>
      </w:r>
      <w:r w:rsidR="000B139D">
        <w:rPr>
          <w:rFonts w:cstheme="minorHAnsi"/>
          <w:color w:val="000000" w:themeColor="text1"/>
        </w:rPr>
        <w:t>,</w:t>
      </w:r>
      <w:r w:rsidR="002D523B" w:rsidRPr="002D523B">
        <w:rPr>
          <w:rFonts w:cstheme="minorHAnsi"/>
          <w:color w:val="000000" w:themeColor="text1"/>
        </w:rPr>
        <w:t xml:space="preserve"> </w:t>
      </w:r>
      <w:r w:rsidR="000B139D">
        <w:rPr>
          <w:rFonts w:cstheme="minorHAnsi"/>
          <w:color w:val="000000" w:themeColor="text1"/>
        </w:rPr>
        <w:t>R</w:t>
      </w:r>
      <w:r w:rsidR="002D523B" w:rsidRPr="002D523B">
        <w:rPr>
          <w:rFonts w:cstheme="minorHAnsi"/>
          <w:color w:val="000000" w:themeColor="text1"/>
        </w:rPr>
        <w:t xml:space="preserve">esponsable de </w:t>
      </w:r>
      <w:r w:rsidR="000B139D">
        <w:rPr>
          <w:rFonts w:cstheme="minorHAnsi"/>
          <w:color w:val="000000" w:themeColor="text1"/>
        </w:rPr>
        <w:t>D</w:t>
      </w:r>
      <w:r w:rsidR="002D523B" w:rsidRPr="002D523B">
        <w:rPr>
          <w:rFonts w:cstheme="minorHAnsi"/>
          <w:color w:val="000000" w:themeColor="text1"/>
        </w:rPr>
        <w:t>epo</w:t>
      </w:r>
      <w:r w:rsidR="00961601">
        <w:rPr>
          <w:rFonts w:cstheme="minorHAnsi"/>
          <w:color w:val="000000" w:themeColor="text1"/>
        </w:rPr>
        <w:t xml:space="preserve">rte, </w:t>
      </w:r>
      <w:r w:rsidR="000B139D">
        <w:rPr>
          <w:rFonts w:cstheme="minorHAnsi"/>
          <w:color w:val="000000" w:themeColor="text1"/>
        </w:rPr>
        <w:t>E</w:t>
      </w:r>
      <w:r w:rsidR="00961601">
        <w:rPr>
          <w:rFonts w:cstheme="minorHAnsi"/>
          <w:color w:val="000000" w:themeColor="text1"/>
        </w:rPr>
        <w:t xml:space="preserve">ducación y </w:t>
      </w:r>
      <w:r w:rsidR="000B139D">
        <w:rPr>
          <w:rFonts w:cstheme="minorHAnsi"/>
          <w:color w:val="000000" w:themeColor="text1"/>
        </w:rPr>
        <w:t>P</w:t>
      </w:r>
      <w:r w:rsidR="00961601">
        <w:rPr>
          <w:rFonts w:cstheme="minorHAnsi"/>
          <w:color w:val="000000" w:themeColor="text1"/>
        </w:rPr>
        <w:t>articipación.</w:t>
      </w:r>
    </w:p>
    <w:p w14:paraId="439F1A94" w14:textId="77777777" w:rsidR="003663E5" w:rsidRDefault="003663E5" w:rsidP="000B139D">
      <w:pPr>
        <w:jc w:val="both"/>
        <w:rPr>
          <w:rFonts w:cstheme="minorHAnsi"/>
          <w:color w:val="000000" w:themeColor="text1"/>
        </w:rPr>
      </w:pPr>
    </w:p>
    <w:p w14:paraId="0F3FBBDC" w14:textId="0C9D3A26" w:rsidR="0031244A" w:rsidRDefault="0031244A" w:rsidP="0031244A">
      <w:pPr>
        <w:jc w:val="both"/>
        <w:rPr>
          <w:rFonts w:cstheme="minorHAnsi"/>
          <w:color w:val="000000" w:themeColor="text1"/>
        </w:rPr>
      </w:pPr>
      <w:r w:rsidRPr="0031244A">
        <w:rPr>
          <w:rFonts w:cstheme="minorHAnsi"/>
          <w:color w:val="000000" w:themeColor="text1"/>
        </w:rPr>
        <w:t>José Antonio Blasco Abad</w:t>
      </w:r>
      <w:r>
        <w:rPr>
          <w:rFonts w:cstheme="minorHAnsi"/>
          <w:color w:val="000000" w:themeColor="text1"/>
        </w:rPr>
        <w:t>. Arquitecto. Urban Networks.</w:t>
      </w:r>
    </w:p>
    <w:p w14:paraId="522BFCFD" w14:textId="77777777" w:rsidR="0031244A" w:rsidRPr="0031244A" w:rsidRDefault="0031244A" w:rsidP="0031244A">
      <w:pPr>
        <w:jc w:val="both"/>
        <w:rPr>
          <w:rFonts w:cstheme="minorHAnsi"/>
          <w:color w:val="000000" w:themeColor="text1"/>
        </w:rPr>
      </w:pPr>
    </w:p>
    <w:p w14:paraId="1B16995A" w14:textId="58A9C302" w:rsidR="0031244A" w:rsidRDefault="0031244A" w:rsidP="0031244A">
      <w:pPr>
        <w:jc w:val="both"/>
        <w:rPr>
          <w:rFonts w:cstheme="minorHAnsi"/>
          <w:color w:val="000000" w:themeColor="text1"/>
        </w:rPr>
      </w:pPr>
      <w:r w:rsidRPr="0031244A">
        <w:rPr>
          <w:rFonts w:cstheme="minorHAnsi"/>
          <w:color w:val="000000" w:themeColor="text1"/>
        </w:rPr>
        <w:t>Dr. Luis Barrero Pérez</w:t>
      </w:r>
      <w:r>
        <w:rPr>
          <w:rFonts w:cstheme="minorHAnsi"/>
          <w:color w:val="000000" w:themeColor="text1"/>
        </w:rPr>
        <w:t xml:space="preserve">. Doctor en Arquitectura. </w:t>
      </w:r>
    </w:p>
    <w:p w14:paraId="7C9556A4" w14:textId="77777777" w:rsidR="0031244A" w:rsidRPr="0031244A" w:rsidRDefault="0031244A" w:rsidP="0031244A">
      <w:pPr>
        <w:jc w:val="both"/>
        <w:rPr>
          <w:rFonts w:cstheme="minorHAnsi"/>
          <w:color w:val="000000" w:themeColor="text1"/>
        </w:rPr>
      </w:pPr>
    </w:p>
    <w:p w14:paraId="69FFDF50" w14:textId="74789D00" w:rsidR="003663E5" w:rsidRDefault="0031244A" w:rsidP="0031244A">
      <w:pPr>
        <w:jc w:val="both"/>
        <w:rPr>
          <w:rFonts w:cstheme="minorHAnsi"/>
          <w:color w:val="000000" w:themeColor="text1"/>
        </w:rPr>
      </w:pPr>
      <w:r w:rsidRPr="0031244A">
        <w:rPr>
          <w:rFonts w:cstheme="minorHAnsi"/>
          <w:color w:val="000000" w:themeColor="text1"/>
        </w:rPr>
        <w:t>Carlos Martínez-</w:t>
      </w:r>
      <w:proofErr w:type="spellStart"/>
      <w:r w:rsidRPr="0031244A">
        <w:rPr>
          <w:rFonts w:cstheme="minorHAnsi"/>
          <w:color w:val="000000" w:themeColor="text1"/>
        </w:rPr>
        <w:t>Arrarás</w:t>
      </w:r>
      <w:proofErr w:type="spellEnd"/>
      <w:r w:rsidRPr="0031244A">
        <w:rPr>
          <w:rFonts w:cstheme="minorHAnsi"/>
          <w:color w:val="000000" w:themeColor="text1"/>
        </w:rPr>
        <w:t xml:space="preserve"> Caro</w:t>
      </w:r>
      <w:r>
        <w:rPr>
          <w:rFonts w:cstheme="minorHAnsi"/>
          <w:color w:val="000000" w:themeColor="text1"/>
        </w:rPr>
        <w:t>. Arquitecto. Urban Networks.</w:t>
      </w:r>
    </w:p>
    <w:p w14:paraId="2753EFA4" w14:textId="77777777" w:rsidR="003663E5" w:rsidRDefault="003663E5" w:rsidP="000B139D">
      <w:pPr>
        <w:jc w:val="both"/>
        <w:rPr>
          <w:rFonts w:cstheme="minorHAnsi"/>
          <w:color w:val="000000" w:themeColor="text1"/>
        </w:rPr>
      </w:pPr>
    </w:p>
    <w:p w14:paraId="2CDBB5F6" w14:textId="77777777" w:rsidR="003663E5" w:rsidRDefault="003663E5" w:rsidP="000B139D">
      <w:pPr>
        <w:jc w:val="both"/>
        <w:rPr>
          <w:rFonts w:cstheme="minorHAnsi"/>
          <w:color w:val="000000" w:themeColor="text1"/>
        </w:rPr>
      </w:pPr>
    </w:p>
    <w:p w14:paraId="5411AAB4" w14:textId="77777777" w:rsidR="003663E5" w:rsidRDefault="003663E5" w:rsidP="000B139D">
      <w:pPr>
        <w:jc w:val="both"/>
        <w:rPr>
          <w:rFonts w:cstheme="minorHAnsi"/>
          <w:color w:val="000000" w:themeColor="text1"/>
        </w:rPr>
      </w:pPr>
    </w:p>
    <w:p w14:paraId="44C9C3E6" w14:textId="77777777" w:rsidR="003663E5" w:rsidRDefault="003663E5" w:rsidP="000B139D">
      <w:pPr>
        <w:jc w:val="both"/>
        <w:rPr>
          <w:rFonts w:cstheme="minorHAnsi"/>
          <w:color w:val="000000" w:themeColor="text1"/>
        </w:rPr>
      </w:pPr>
    </w:p>
    <w:p w14:paraId="74BC477B" w14:textId="77777777" w:rsidR="003663E5" w:rsidRDefault="003663E5" w:rsidP="000B139D">
      <w:pPr>
        <w:jc w:val="both"/>
        <w:rPr>
          <w:rFonts w:cstheme="minorHAnsi"/>
          <w:color w:val="000000" w:themeColor="text1"/>
        </w:rPr>
      </w:pPr>
    </w:p>
    <w:p w14:paraId="4279FC36" w14:textId="77777777" w:rsidR="003663E5" w:rsidRDefault="003663E5" w:rsidP="000B139D">
      <w:pPr>
        <w:jc w:val="both"/>
        <w:rPr>
          <w:rFonts w:cstheme="minorHAnsi"/>
          <w:color w:val="000000" w:themeColor="text1"/>
        </w:rPr>
      </w:pPr>
    </w:p>
    <w:p w14:paraId="50A95651" w14:textId="77777777" w:rsidR="003663E5" w:rsidRDefault="003663E5" w:rsidP="000B139D">
      <w:pPr>
        <w:jc w:val="both"/>
        <w:rPr>
          <w:rFonts w:cstheme="minorHAnsi"/>
          <w:color w:val="000000" w:themeColor="text1"/>
        </w:rPr>
      </w:pPr>
    </w:p>
    <w:p w14:paraId="1E1709AE" w14:textId="77777777" w:rsidR="001C43B9" w:rsidRDefault="001C43B9" w:rsidP="001C43B9"/>
    <w:p w14:paraId="423C2405" w14:textId="153A89C6" w:rsidR="0076678A" w:rsidRPr="00A65EF6" w:rsidRDefault="0076678A" w:rsidP="0076678A">
      <w:pPr>
        <w:pStyle w:val="Ttulo1"/>
        <w:rPr>
          <w:rFonts w:asciiTheme="minorHAnsi" w:hAnsiTheme="minorHAnsi" w:cstheme="minorHAnsi"/>
          <w:sz w:val="28"/>
          <w:szCs w:val="28"/>
        </w:rPr>
      </w:pPr>
      <w:r w:rsidRPr="00A65EF6">
        <w:rPr>
          <w:rFonts w:asciiTheme="minorHAnsi" w:hAnsiTheme="minorHAnsi" w:cstheme="minorHAnsi"/>
          <w:sz w:val="28"/>
          <w:szCs w:val="28"/>
        </w:rPr>
        <w:lastRenderedPageBreak/>
        <w:t>Abreviaturas y acrónimos</w:t>
      </w:r>
    </w:p>
    <w:p w14:paraId="1D766D6A" w14:textId="77777777" w:rsidR="003663E5" w:rsidRPr="003663E5" w:rsidRDefault="003663E5" w:rsidP="003663E5"/>
    <w:p w14:paraId="7A5D3081" w14:textId="2865DB64" w:rsidR="006F1CBB" w:rsidRDefault="006F1CBB" w:rsidP="006F1CBB">
      <w:pPr>
        <w:rPr>
          <w:rFonts w:cstheme="minorHAnsi"/>
          <w:color w:val="000000" w:themeColor="text1"/>
        </w:rPr>
      </w:pPr>
      <w:r>
        <w:rPr>
          <w:rFonts w:cstheme="minorHAnsi"/>
          <w:color w:val="000000" w:themeColor="text1"/>
        </w:rPr>
        <w:t xml:space="preserve">ACSM: </w:t>
      </w:r>
      <w:r w:rsidRPr="009E5881">
        <w:rPr>
          <w:rFonts w:cstheme="minorHAnsi"/>
          <w:color w:val="000000" w:themeColor="text1"/>
        </w:rPr>
        <w:t>Colegio Americano</w:t>
      </w:r>
      <w:r>
        <w:rPr>
          <w:rFonts w:cstheme="minorHAnsi"/>
          <w:color w:val="000000" w:themeColor="text1"/>
        </w:rPr>
        <w:t xml:space="preserve"> de Medicina del Deporte </w:t>
      </w:r>
    </w:p>
    <w:p w14:paraId="19D58F91" w14:textId="7FF927B4" w:rsidR="009E5881" w:rsidRDefault="009E5881" w:rsidP="002D7616">
      <w:pPr>
        <w:rPr>
          <w:rFonts w:cstheme="minorHAnsi"/>
          <w:color w:val="000000" w:themeColor="text1"/>
        </w:rPr>
      </w:pPr>
      <w:r>
        <w:rPr>
          <w:rFonts w:cstheme="minorHAnsi"/>
          <w:color w:val="000000" w:themeColor="text1"/>
        </w:rPr>
        <w:t>ADESP</w:t>
      </w:r>
      <w:r w:rsidR="006F1CBB">
        <w:rPr>
          <w:rFonts w:cstheme="minorHAnsi"/>
          <w:color w:val="000000" w:themeColor="text1"/>
        </w:rPr>
        <w:t xml:space="preserve">: </w:t>
      </w:r>
      <w:r w:rsidR="006F1CBB" w:rsidRPr="0051709F">
        <w:rPr>
          <w:rFonts w:cstheme="minorHAnsi"/>
          <w:color w:val="333333"/>
        </w:rPr>
        <w:t>Asociación del Deporte Español</w:t>
      </w:r>
    </w:p>
    <w:p w14:paraId="0423B8B0" w14:textId="77777777" w:rsidR="005A7A40" w:rsidRDefault="005A7A40" w:rsidP="00980DBF">
      <w:pPr>
        <w:rPr>
          <w:rFonts w:cstheme="minorHAnsi"/>
          <w:color w:val="000000" w:themeColor="text1"/>
        </w:rPr>
      </w:pPr>
      <w:r>
        <w:rPr>
          <w:rFonts w:cstheme="minorHAnsi"/>
          <w:color w:val="000000" w:themeColor="text1"/>
        </w:rPr>
        <w:t>AF: Actividad Física</w:t>
      </w:r>
    </w:p>
    <w:p w14:paraId="1E1CDF2A" w14:textId="64E9C5A3" w:rsidR="00510E5E" w:rsidRDefault="006F1CBB" w:rsidP="00980DBF">
      <w:pPr>
        <w:rPr>
          <w:rFonts w:cstheme="minorHAnsi"/>
          <w:color w:val="000000" w:themeColor="text1"/>
        </w:rPr>
      </w:pPr>
      <w:r>
        <w:rPr>
          <w:rFonts w:eastAsia="Calibri" w:cstheme="minorHAnsi"/>
        </w:rPr>
        <w:t xml:space="preserve">AVAC: </w:t>
      </w:r>
      <w:r w:rsidR="00510E5E" w:rsidRPr="0051709F">
        <w:rPr>
          <w:rFonts w:eastAsia="Calibri" w:cstheme="minorHAnsi"/>
        </w:rPr>
        <w:t>años de vi</w:t>
      </w:r>
      <w:r>
        <w:rPr>
          <w:rFonts w:eastAsia="Calibri" w:cstheme="minorHAnsi"/>
        </w:rPr>
        <w:t xml:space="preserve">da ajustados por calidad </w:t>
      </w:r>
    </w:p>
    <w:p w14:paraId="714FCA7A" w14:textId="77777777" w:rsidR="008107FD" w:rsidRDefault="008107FD" w:rsidP="008107FD">
      <w:pPr>
        <w:rPr>
          <w:rFonts w:cstheme="minorHAnsi"/>
          <w:color w:val="000000" w:themeColor="text1"/>
        </w:rPr>
      </w:pPr>
      <w:r>
        <w:rPr>
          <w:rFonts w:cstheme="minorHAnsi"/>
          <w:color w:val="000000" w:themeColor="text1"/>
        </w:rPr>
        <w:t>CCAA: Comunidad Autónoma</w:t>
      </w:r>
    </w:p>
    <w:p w14:paraId="43AB6686" w14:textId="1B02581B" w:rsidR="002648F9" w:rsidRDefault="002648F9" w:rsidP="00980DBF">
      <w:pPr>
        <w:rPr>
          <w:rFonts w:cstheme="minorHAnsi"/>
          <w:color w:val="000000" w:themeColor="text1"/>
        </w:rPr>
      </w:pPr>
      <w:r>
        <w:rPr>
          <w:rFonts w:cstheme="minorHAnsi"/>
        </w:rPr>
        <w:t xml:space="preserve">CNID: </w:t>
      </w:r>
      <w:r w:rsidRPr="0051709F">
        <w:rPr>
          <w:rFonts w:cstheme="minorHAnsi"/>
        </w:rPr>
        <w:t>Censo Nacion</w:t>
      </w:r>
      <w:r>
        <w:rPr>
          <w:rFonts w:cstheme="minorHAnsi"/>
        </w:rPr>
        <w:t xml:space="preserve">al de Instalaciones Deportivas </w:t>
      </w:r>
    </w:p>
    <w:p w14:paraId="38FB7269" w14:textId="6970E33E" w:rsidR="00980DBF" w:rsidRDefault="00980DBF" w:rsidP="00980DBF">
      <w:pPr>
        <w:rPr>
          <w:rFonts w:cstheme="minorHAnsi"/>
          <w:color w:val="000000" w:themeColor="text1"/>
        </w:rPr>
      </w:pPr>
      <w:r>
        <w:rPr>
          <w:rFonts w:cstheme="minorHAnsi"/>
          <w:color w:val="000000" w:themeColor="text1"/>
        </w:rPr>
        <w:t>CSD: Consejo Superior de Deportes</w:t>
      </w:r>
    </w:p>
    <w:p w14:paraId="2D47B6BF" w14:textId="08416B94" w:rsidR="008107FD" w:rsidRDefault="008107FD" w:rsidP="008107FD">
      <w:pPr>
        <w:rPr>
          <w:rFonts w:cstheme="minorHAnsi"/>
          <w:color w:val="000000" w:themeColor="text1"/>
          <w:lang w:val="es-ES_tradnl"/>
        </w:rPr>
      </w:pPr>
      <w:r>
        <w:rPr>
          <w:rFonts w:cstheme="minorHAnsi"/>
          <w:color w:val="000000" w:themeColor="text1"/>
          <w:lang w:val="es-ES_tradnl"/>
        </w:rPr>
        <w:t xml:space="preserve">EA: Ejercicio Aeróbico </w:t>
      </w:r>
    </w:p>
    <w:p w14:paraId="2F1FC04A" w14:textId="77777777" w:rsidR="00066C7F" w:rsidRPr="008107FD" w:rsidRDefault="00066C7F" w:rsidP="00066C7F">
      <w:pPr>
        <w:rPr>
          <w:rFonts w:cstheme="minorHAnsi"/>
          <w:shd w:val="clear" w:color="auto" w:fill="FFFFFF"/>
        </w:rPr>
      </w:pPr>
      <w:r w:rsidRPr="008107FD">
        <w:rPr>
          <w:rFonts w:cstheme="minorHAnsi"/>
          <w:shd w:val="clear" w:color="auto" w:fill="FFFFFF"/>
        </w:rPr>
        <w:t>ECCN:</w:t>
      </w:r>
      <w:r>
        <w:rPr>
          <w:rFonts w:cstheme="minorHAnsi"/>
          <w:shd w:val="clear" w:color="auto" w:fill="FFFFFF"/>
        </w:rPr>
        <w:t xml:space="preserve"> Edificios de Consumo Casi Nulo</w:t>
      </w:r>
    </w:p>
    <w:p w14:paraId="1BFDD048" w14:textId="6D8BD4B7" w:rsidR="00510E5E" w:rsidRPr="00066C7F" w:rsidRDefault="00510E5E" w:rsidP="002D7616">
      <w:pPr>
        <w:rPr>
          <w:rFonts w:cstheme="minorHAnsi"/>
          <w:lang w:val="en-GB"/>
        </w:rPr>
      </w:pPr>
      <w:r w:rsidRPr="00066C7F">
        <w:rPr>
          <w:rFonts w:cstheme="minorHAnsi"/>
          <w:lang w:val="en-GB"/>
        </w:rPr>
        <w:t>ECTS:</w:t>
      </w:r>
      <w:r w:rsidR="006F1CBB" w:rsidRPr="00066C7F">
        <w:rPr>
          <w:rFonts w:cstheme="minorHAnsi"/>
          <w:lang w:val="en-GB"/>
        </w:rPr>
        <w:t xml:space="preserve"> European Credit Transfer and Accumulation System</w:t>
      </w:r>
    </w:p>
    <w:p w14:paraId="42C1A7D9" w14:textId="77777777" w:rsidR="008107FD" w:rsidRDefault="008107FD" w:rsidP="008107FD">
      <w:pPr>
        <w:rPr>
          <w:rFonts w:cstheme="minorHAnsi"/>
          <w:color w:val="000000" w:themeColor="text1"/>
          <w:lang w:val="es-ES_tradnl"/>
        </w:rPr>
      </w:pPr>
      <w:r>
        <w:rPr>
          <w:rFonts w:cstheme="minorHAnsi"/>
          <w:color w:val="000000" w:themeColor="text1"/>
          <w:lang w:val="es-ES_tradnl"/>
        </w:rPr>
        <w:t>ED: Ejes de Desigualdad</w:t>
      </w:r>
    </w:p>
    <w:p w14:paraId="2BAE79C7" w14:textId="6DB310DB" w:rsidR="008107FD" w:rsidRDefault="008107FD" w:rsidP="008107FD">
      <w:pPr>
        <w:rPr>
          <w:rFonts w:cstheme="minorHAnsi"/>
        </w:rPr>
      </w:pPr>
      <w:r>
        <w:rPr>
          <w:rFonts w:cstheme="minorHAnsi"/>
        </w:rPr>
        <w:t>EF (profesor): Educación Física</w:t>
      </w:r>
    </w:p>
    <w:p w14:paraId="28D9800D" w14:textId="184ED6D8" w:rsidR="008107FD" w:rsidRDefault="008107FD" w:rsidP="008107FD">
      <w:pPr>
        <w:rPr>
          <w:rFonts w:cstheme="minorHAnsi"/>
          <w:color w:val="000000" w:themeColor="text1"/>
          <w:lang w:val="es-ES_tradnl"/>
        </w:rPr>
      </w:pPr>
      <w:r>
        <w:rPr>
          <w:rFonts w:cstheme="minorHAnsi"/>
          <w:color w:val="000000" w:themeColor="text1"/>
          <w:lang w:val="es-ES_tradnl"/>
        </w:rPr>
        <w:t>EF: Ejercicio de F</w:t>
      </w:r>
      <w:r w:rsidRPr="0051709F">
        <w:rPr>
          <w:rFonts w:cstheme="minorHAnsi"/>
          <w:color w:val="000000" w:themeColor="text1"/>
          <w:lang w:val="es-ES_tradnl"/>
        </w:rPr>
        <w:t xml:space="preserve">uerza </w:t>
      </w:r>
    </w:p>
    <w:p w14:paraId="19F96661" w14:textId="732C1F89" w:rsidR="002648F9" w:rsidRDefault="002648F9" w:rsidP="002D7616">
      <w:pPr>
        <w:rPr>
          <w:rFonts w:cstheme="minorHAnsi"/>
        </w:rPr>
      </w:pPr>
      <w:r>
        <w:rPr>
          <w:rFonts w:cstheme="minorHAnsi"/>
        </w:rPr>
        <w:t xml:space="preserve">EHDE: </w:t>
      </w:r>
      <w:r w:rsidRPr="0051709F">
        <w:rPr>
          <w:rFonts w:cstheme="minorHAnsi"/>
        </w:rPr>
        <w:t>Encuesta d</w:t>
      </w:r>
      <w:r>
        <w:rPr>
          <w:rFonts w:cstheme="minorHAnsi"/>
        </w:rPr>
        <w:t xml:space="preserve">e Hábitos Deportivos de España </w:t>
      </w:r>
      <w:r w:rsidRPr="0051709F">
        <w:rPr>
          <w:rFonts w:cstheme="minorHAnsi"/>
        </w:rPr>
        <w:t xml:space="preserve"> </w:t>
      </w:r>
    </w:p>
    <w:p w14:paraId="73D33BDD" w14:textId="77777777" w:rsidR="008107FD" w:rsidRDefault="008107FD" w:rsidP="008107FD">
      <w:pPr>
        <w:rPr>
          <w:rFonts w:cstheme="minorHAnsi"/>
          <w:color w:val="000000" w:themeColor="text1"/>
        </w:rPr>
      </w:pPr>
      <w:r>
        <w:rPr>
          <w:rFonts w:cstheme="minorHAnsi"/>
          <w:color w:val="000000" w:themeColor="text1"/>
        </w:rPr>
        <w:t xml:space="preserve">EIM: </w:t>
      </w:r>
      <w:proofErr w:type="spellStart"/>
      <w:r w:rsidRPr="009E5881">
        <w:rPr>
          <w:rFonts w:cstheme="minorHAnsi"/>
          <w:color w:val="000000" w:themeColor="text1"/>
        </w:rPr>
        <w:t>Exercise</w:t>
      </w:r>
      <w:proofErr w:type="spellEnd"/>
      <w:r w:rsidRPr="009E5881">
        <w:rPr>
          <w:rFonts w:cstheme="minorHAnsi"/>
          <w:color w:val="000000" w:themeColor="text1"/>
        </w:rPr>
        <w:t xml:space="preserve"> </w:t>
      </w:r>
      <w:proofErr w:type="spellStart"/>
      <w:r w:rsidRPr="009E5881">
        <w:rPr>
          <w:rFonts w:cstheme="minorHAnsi"/>
          <w:color w:val="000000" w:themeColor="text1"/>
        </w:rPr>
        <w:t>is</w:t>
      </w:r>
      <w:proofErr w:type="spellEnd"/>
      <w:r w:rsidRPr="009E5881">
        <w:rPr>
          <w:rFonts w:cstheme="minorHAnsi"/>
          <w:color w:val="000000" w:themeColor="text1"/>
        </w:rPr>
        <w:t xml:space="preserve"> Medicin</w:t>
      </w:r>
      <w:r>
        <w:rPr>
          <w:rFonts w:cstheme="minorHAnsi"/>
          <w:color w:val="000000" w:themeColor="text1"/>
        </w:rPr>
        <w:t>e (Ejercicio es Medicina)</w:t>
      </w:r>
    </w:p>
    <w:p w14:paraId="2818BE0A" w14:textId="0FD94AB8" w:rsidR="0076678A" w:rsidRDefault="0076678A" w:rsidP="002D7616">
      <w:pPr>
        <w:rPr>
          <w:rFonts w:cstheme="minorHAnsi"/>
          <w:color w:val="000000" w:themeColor="text1"/>
        </w:rPr>
      </w:pPr>
      <w:r>
        <w:rPr>
          <w:rFonts w:cstheme="minorHAnsi"/>
          <w:color w:val="000000" w:themeColor="text1"/>
        </w:rPr>
        <w:t>ENT</w:t>
      </w:r>
      <w:r w:rsidR="005A7A40">
        <w:rPr>
          <w:rFonts w:cstheme="minorHAnsi"/>
          <w:color w:val="000000" w:themeColor="text1"/>
        </w:rPr>
        <w:t xml:space="preserve">/NCD: Enfermedades No Transmisibles/Non </w:t>
      </w:r>
      <w:proofErr w:type="spellStart"/>
      <w:r w:rsidR="005A7A40">
        <w:rPr>
          <w:rFonts w:cstheme="minorHAnsi"/>
          <w:color w:val="000000" w:themeColor="text1"/>
        </w:rPr>
        <w:t>Communicable</w:t>
      </w:r>
      <w:proofErr w:type="spellEnd"/>
      <w:r w:rsidR="005A7A40">
        <w:rPr>
          <w:rFonts w:cstheme="minorHAnsi"/>
          <w:color w:val="000000" w:themeColor="text1"/>
        </w:rPr>
        <w:t xml:space="preserve"> </w:t>
      </w:r>
      <w:proofErr w:type="spellStart"/>
      <w:r w:rsidR="005A7A40">
        <w:rPr>
          <w:rFonts w:cstheme="minorHAnsi"/>
          <w:color w:val="000000" w:themeColor="text1"/>
        </w:rPr>
        <w:t>Disease</w:t>
      </w:r>
      <w:proofErr w:type="spellEnd"/>
    </w:p>
    <w:p w14:paraId="749A38D8" w14:textId="1C2C0D5A" w:rsidR="005A7A40" w:rsidRDefault="005A7A40" w:rsidP="002D7616">
      <w:pPr>
        <w:rPr>
          <w:rFonts w:cstheme="minorHAnsi"/>
          <w:color w:val="000000" w:themeColor="text1"/>
        </w:rPr>
      </w:pPr>
      <w:r>
        <w:rPr>
          <w:rFonts w:cstheme="minorHAnsi"/>
          <w:color w:val="000000" w:themeColor="text1"/>
        </w:rPr>
        <w:t>ENC: Encuesta Nacional de Salud</w:t>
      </w:r>
    </w:p>
    <w:p w14:paraId="7003EC90" w14:textId="77777777" w:rsidR="008107FD" w:rsidRDefault="008107FD" w:rsidP="008107FD">
      <w:pPr>
        <w:rPr>
          <w:rFonts w:cstheme="minorHAnsi"/>
          <w:color w:val="000000" w:themeColor="text1"/>
        </w:rPr>
      </w:pPr>
      <w:r>
        <w:rPr>
          <w:rFonts w:cstheme="minorHAnsi"/>
          <w:color w:val="000000" w:themeColor="text1"/>
        </w:rPr>
        <w:t>EXERNET: Red de Ejercicio Físico y Salud</w:t>
      </w:r>
    </w:p>
    <w:p w14:paraId="312F3FFD" w14:textId="0C5395E7" w:rsidR="00E92D0E" w:rsidRPr="006F1CBB" w:rsidRDefault="006D4843" w:rsidP="002D7616">
      <w:pPr>
        <w:rPr>
          <w:rFonts w:cstheme="minorHAnsi"/>
          <w:color w:val="000000" w:themeColor="text1"/>
          <w:lang w:val="en-GB"/>
        </w:rPr>
      </w:pPr>
      <w:r w:rsidRPr="006F1CBB">
        <w:rPr>
          <w:rFonts w:cstheme="minorHAnsi"/>
          <w:color w:val="000000" w:themeColor="text1"/>
          <w:lang w:val="en-GB"/>
        </w:rPr>
        <w:t>GAPPA</w:t>
      </w:r>
      <w:r w:rsidR="006F1CBB" w:rsidRPr="006F1CBB">
        <w:rPr>
          <w:rFonts w:cstheme="minorHAnsi"/>
          <w:color w:val="000000" w:themeColor="text1"/>
          <w:lang w:val="en-GB"/>
        </w:rPr>
        <w:t>: Global Action Plan on P</w:t>
      </w:r>
      <w:r w:rsidR="006F1CBB">
        <w:rPr>
          <w:rFonts w:cstheme="minorHAnsi"/>
          <w:color w:val="000000" w:themeColor="text1"/>
          <w:lang w:val="en-GB"/>
        </w:rPr>
        <w:t>hysical Activity</w:t>
      </w:r>
    </w:p>
    <w:p w14:paraId="1B07D43A" w14:textId="74C72643" w:rsidR="00980DBF" w:rsidRPr="006A6D22" w:rsidRDefault="00980DBF" w:rsidP="00980DBF">
      <w:pPr>
        <w:rPr>
          <w:rFonts w:cstheme="minorHAnsi"/>
          <w:bCs/>
        </w:rPr>
      </w:pPr>
      <w:r w:rsidRPr="006A6D22">
        <w:rPr>
          <w:rFonts w:cstheme="minorHAnsi"/>
          <w:bCs/>
        </w:rPr>
        <w:t>HEPA</w:t>
      </w:r>
      <w:r w:rsidR="005A7A40" w:rsidRPr="006A6D22">
        <w:rPr>
          <w:rFonts w:cstheme="minorHAnsi"/>
          <w:bCs/>
        </w:rPr>
        <w:t xml:space="preserve">: </w:t>
      </w:r>
      <w:proofErr w:type="spellStart"/>
      <w:r w:rsidR="005A7A40" w:rsidRPr="006A6D22">
        <w:rPr>
          <w:rFonts w:cstheme="minorHAnsi"/>
          <w:bCs/>
        </w:rPr>
        <w:t>Health-Enhancing</w:t>
      </w:r>
      <w:proofErr w:type="spellEnd"/>
      <w:r w:rsidR="005A7A40" w:rsidRPr="006A6D22">
        <w:rPr>
          <w:rFonts w:cstheme="minorHAnsi"/>
          <w:bCs/>
        </w:rPr>
        <w:t xml:space="preserve"> </w:t>
      </w:r>
      <w:proofErr w:type="spellStart"/>
      <w:r w:rsidR="005A7A40" w:rsidRPr="006A6D22">
        <w:rPr>
          <w:rFonts w:cstheme="minorHAnsi"/>
          <w:bCs/>
        </w:rPr>
        <w:t>Physical</w:t>
      </w:r>
      <w:proofErr w:type="spellEnd"/>
      <w:r w:rsidR="005A7A40" w:rsidRPr="006A6D22">
        <w:rPr>
          <w:rFonts w:cstheme="minorHAnsi"/>
          <w:bCs/>
        </w:rPr>
        <w:t xml:space="preserve"> </w:t>
      </w:r>
      <w:proofErr w:type="spellStart"/>
      <w:r w:rsidR="005A7A40" w:rsidRPr="006A6D22">
        <w:rPr>
          <w:rFonts w:cstheme="minorHAnsi"/>
          <w:bCs/>
        </w:rPr>
        <w:t>Activity</w:t>
      </w:r>
      <w:proofErr w:type="spellEnd"/>
    </w:p>
    <w:p w14:paraId="6C093E1A" w14:textId="4E8ADEAE" w:rsidR="005A7A40" w:rsidRDefault="005A7A40" w:rsidP="00980DBF">
      <w:pPr>
        <w:rPr>
          <w:rFonts w:cstheme="minorHAnsi"/>
          <w:bCs/>
        </w:rPr>
      </w:pPr>
      <w:r w:rsidRPr="005A7A40">
        <w:rPr>
          <w:rFonts w:cstheme="minorHAnsi"/>
          <w:bCs/>
        </w:rPr>
        <w:t>INE: Institu</w:t>
      </w:r>
      <w:r w:rsidR="0085322A">
        <w:rPr>
          <w:rFonts w:cstheme="minorHAnsi"/>
          <w:bCs/>
        </w:rPr>
        <w:t>t</w:t>
      </w:r>
      <w:r w:rsidRPr="005A7A40">
        <w:rPr>
          <w:rFonts w:cstheme="minorHAnsi"/>
          <w:bCs/>
        </w:rPr>
        <w:t>o Nacional de Es</w:t>
      </w:r>
      <w:r>
        <w:rPr>
          <w:rFonts w:cstheme="minorHAnsi"/>
          <w:bCs/>
        </w:rPr>
        <w:t>tadística</w:t>
      </w:r>
    </w:p>
    <w:p w14:paraId="5336FC43" w14:textId="77777777" w:rsidR="008107FD" w:rsidRDefault="008107FD" w:rsidP="008107FD">
      <w:pPr>
        <w:rPr>
          <w:rFonts w:cstheme="minorHAnsi"/>
          <w:color w:val="000000" w:themeColor="text1"/>
        </w:rPr>
      </w:pPr>
      <w:r>
        <w:rPr>
          <w:rFonts w:cstheme="minorHAnsi"/>
          <w:color w:val="000000" w:themeColor="text1"/>
        </w:rPr>
        <w:t xml:space="preserve">INSST: </w:t>
      </w:r>
      <w:r w:rsidRPr="0051709F">
        <w:rPr>
          <w:rFonts w:cstheme="minorHAnsi"/>
          <w:color w:val="000000" w:themeColor="text1"/>
        </w:rPr>
        <w:t>Instituto Nacional de S</w:t>
      </w:r>
      <w:r>
        <w:rPr>
          <w:rFonts w:cstheme="minorHAnsi"/>
          <w:color w:val="000000" w:themeColor="text1"/>
        </w:rPr>
        <w:t xml:space="preserve">eguridad y Salud en el Trabajo </w:t>
      </w:r>
    </w:p>
    <w:p w14:paraId="1A9CB744" w14:textId="22DBED74" w:rsidR="00B94D1D" w:rsidRPr="005A7A40" w:rsidRDefault="00B94D1D" w:rsidP="00980DBF">
      <w:pPr>
        <w:rPr>
          <w:rFonts w:cstheme="minorHAnsi"/>
          <w:color w:val="000000" w:themeColor="text1"/>
        </w:rPr>
      </w:pPr>
      <w:r w:rsidRPr="0051709F">
        <w:rPr>
          <w:rFonts w:cstheme="minorHAnsi"/>
        </w:rPr>
        <w:t>LGBTIQ</w:t>
      </w:r>
      <w:r>
        <w:rPr>
          <w:rFonts w:cstheme="minorHAnsi"/>
        </w:rPr>
        <w:t xml:space="preserve">+: </w:t>
      </w:r>
      <w:r w:rsidRPr="00B94D1D">
        <w:rPr>
          <w:rFonts w:cstheme="minorHAnsi"/>
        </w:rPr>
        <w:t>Lesbiana, Gay, Bisexual, Trans, Travesti, Intersexual, Queer y otras identidades</w:t>
      </w:r>
      <w:r>
        <w:rPr>
          <w:rFonts w:cstheme="minorHAnsi"/>
        </w:rPr>
        <w:t xml:space="preserve"> no incluidas en las anteriores</w:t>
      </w:r>
    </w:p>
    <w:p w14:paraId="71E0F540" w14:textId="377D7979" w:rsidR="00980DBF" w:rsidRDefault="00980DBF" w:rsidP="00980DBF">
      <w:pPr>
        <w:rPr>
          <w:rFonts w:cstheme="minorHAnsi"/>
          <w:color w:val="000000" w:themeColor="text1"/>
        </w:rPr>
      </w:pPr>
      <w:r>
        <w:rPr>
          <w:rFonts w:cstheme="minorHAnsi"/>
          <w:color w:val="000000" w:themeColor="text1"/>
        </w:rPr>
        <w:t xml:space="preserve">MINESP: </w:t>
      </w:r>
      <w:r w:rsidRPr="00980DBF">
        <w:rPr>
          <w:rFonts w:cstheme="minorHAnsi"/>
          <w:color w:val="000000" w:themeColor="text1"/>
        </w:rPr>
        <w:t>Conferencia Internacional de Ministros y Altos Funcionarios Encargados de la</w:t>
      </w:r>
      <w:r>
        <w:rPr>
          <w:rFonts w:cstheme="minorHAnsi"/>
          <w:color w:val="000000" w:themeColor="text1"/>
        </w:rPr>
        <w:t xml:space="preserve"> Educación Física y el Deporte </w:t>
      </w:r>
    </w:p>
    <w:p w14:paraId="1A63FED2" w14:textId="77777777" w:rsidR="002648F9" w:rsidRPr="00980DBF" w:rsidRDefault="002648F9" w:rsidP="002648F9">
      <w:pPr>
        <w:rPr>
          <w:rFonts w:cstheme="minorHAnsi"/>
          <w:color w:val="000000" w:themeColor="text1"/>
        </w:rPr>
      </w:pPr>
      <w:r>
        <w:rPr>
          <w:rFonts w:cstheme="minorHAnsi"/>
        </w:rPr>
        <w:t xml:space="preserve">MITECO: </w:t>
      </w:r>
      <w:r w:rsidRPr="0051709F">
        <w:rPr>
          <w:rFonts w:cstheme="minorHAnsi"/>
        </w:rPr>
        <w:t>Ministerio para la Transición E</w:t>
      </w:r>
      <w:r>
        <w:rPr>
          <w:rFonts w:cstheme="minorHAnsi"/>
        </w:rPr>
        <w:t xml:space="preserve">cológica y el Reto Demográfico </w:t>
      </w:r>
    </w:p>
    <w:p w14:paraId="317142B8" w14:textId="77777777" w:rsidR="008107FD" w:rsidRPr="008107FD" w:rsidRDefault="008107FD" w:rsidP="008107FD">
      <w:pPr>
        <w:rPr>
          <w:rFonts w:cstheme="minorHAnsi"/>
          <w:shd w:val="clear" w:color="auto" w:fill="FFFFFF"/>
        </w:rPr>
      </w:pPr>
      <w:proofErr w:type="spellStart"/>
      <w:r w:rsidRPr="008107FD">
        <w:rPr>
          <w:rFonts w:cstheme="minorHAnsi"/>
          <w:shd w:val="clear" w:color="auto" w:fill="FFFFFF"/>
        </w:rPr>
        <w:t>nZEB</w:t>
      </w:r>
      <w:proofErr w:type="spellEnd"/>
      <w:r w:rsidRPr="008107FD">
        <w:rPr>
          <w:rFonts w:cstheme="minorHAnsi"/>
          <w:shd w:val="clear" w:color="auto" w:fill="FFFFFF"/>
        </w:rPr>
        <w:t xml:space="preserve">: </w:t>
      </w:r>
      <w:proofErr w:type="spellStart"/>
      <w:r w:rsidRPr="008107FD">
        <w:rPr>
          <w:rFonts w:cstheme="minorHAnsi"/>
          <w:shd w:val="clear" w:color="auto" w:fill="FFFFFF"/>
        </w:rPr>
        <w:t>nearly</w:t>
      </w:r>
      <w:proofErr w:type="spellEnd"/>
      <w:r w:rsidRPr="008107FD">
        <w:rPr>
          <w:rFonts w:cstheme="minorHAnsi"/>
          <w:shd w:val="clear" w:color="auto" w:fill="FFFFFF"/>
        </w:rPr>
        <w:t xml:space="preserve"> Zero-Energy </w:t>
      </w:r>
      <w:proofErr w:type="spellStart"/>
      <w:r w:rsidRPr="008107FD">
        <w:rPr>
          <w:rFonts w:cstheme="minorHAnsi"/>
          <w:shd w:val="clear" w:color="auto" w:fill="FFFFFF"/>
        </w:rPr>
        <w:t>Building</w:t>
      </w:r>
      <w:proofErr w:type="spellEnd"/>
    </w:p>
    <w:p w14:paraId="3361671D" w14:textId="77777777" w:rsidR="006F1CBB" w:rsidRPr="006F1CBB" w:rsidRDefault="006F1CBB" w:rsidP="006F1CBB">
      <w:pPr>
        <w:rPr>
          <w:rFonts w:cstheme="minorHAnsi"/>
          <w:color w:val="000000" w:themeColor="text1"/>
        </w:rPr>
      </w:pPr>
      <w:r>
        <w:rPr>
          <w:rFonts w:cstheme="minorHAnsi"/>
          <w:color w:val="000000" w:themeColor="text1"/>
        </w:rPr>
        <w:t xml:space="preserve">OCDE: </w:t>
      </w:r>
      <w:r w:rsidRPr="006D4843">
        <w:rPr>
          <w:rFonts w:cstheme="minorHAnsi"/>
          <w:color w:val="000000" w:themeColor="text1"/>
        </w:rPr>
        <w:t>Organización para la Cooperación y el Desarrollo Económicos</w:t>
      </w:r>
    </w:p>
    <w:p w14:paraId="0F66F304" w14:textId="539ED495" w:rsidR="00980DBF" w:rsidRPr="00980DBF" w:rsidRDefault="00980DBF" w:rsidP="002D7616">
      <w:pPr>
        <w:rPr>
          <w:rFonts w:cstheme="minorHAnsi"/>
          <w:color w:val="000000" w:themeColor="text1"/>
        </w:rPr>
      </w:pPr>
      <w:r w:rsidRPr="00980DBF">
        <w:rPr>
          <w:rFonts w:cstheme="minorHAnsi"/>
          <w:color w:val="000000" w:themeColor="text1"/>
        </w:rPr>
        <w:t>ONU: Organización de las Naciones Unidas</w:t>
      </w:r>
    </w:p>
    <w:p w14:paraId="4A8D4088" w14:textId="26D69BA0" w:rsidR="00C773F1" w:rsidRPr="00510E5E" w:rsidRDefault="00980DBF" w:rsidP="00C773F1">
      <w:pPr>
        <w:rPr>
          <w:rFonts w:cstheme="minorHAnsi"/>
          <w:color w:val="000000" w:themeColor="text1"/>
          <w:lang w:val="en-GB"/>
        </w:rPr>
      </w:pPr>
      <w:r w:rsidRPr="00510E5E">
        <w:rPr>
          <w:rFonts w:cstheme="minorHAnsi"/>
          <w:color w:val="000000" w:themeColor="text1"/>
          <w:lang w:val="en-GB"/>
        </w:rPr>
        <w:t>OMS</w:t>
      </w:r>
      <w:r w:rsidR="00C773F1" w:rsidRPr="00510E5E">
        <w:rPr>
          <w:rFonts w:cstheme="minorHAnsi"/>
          <w:color w:val="000000" w:themeColor="text1"/>
          <w:lang w:val="en-GB"/>
        </w:rPr>
        <w:t>/WHO</w:t>
      </w:r>
      <w:r w:rsidRPr="00510E5E">
        <w:rPr>
          <w:rFonts w:cstheme="minorHAnsi"/>
          <w:color w:val="000000" w:themeColor="text1"/>
          <w:lang w:val="en-GB"/>
        </w:rPr>
        <w:t xml:space="preserve">: </w:t>
      </w:r>
      <w:proofErr w:type="spellStart"/>
      <w:r w:rsidRPr="00510E5E">
        <w:rPr>
          <w:rFonts w:cstheme="minorHAnsi"/>
          <w:color w:val="000000" w:themeColor="text1"/>
          <w:lang w:val="en-GB"/>
        </w:rPr>
        <w:t>Organización</w:t>
      </w:r>
      <w:proofErr w:type="spellEnd"/>
      <w:r w:rsidRPr="00510E5E">
        <w:rPr>
          <w:rFonts w:cstheme="minorHAnsi"/>
          <w:color w:val="000000" w:themeColor="text1"/>
          <w:lang w:val="en-GB"/>
        </w:rPr>
        <w:t xml:space="preserve"> Mundial de la Salud</w:t>
      </w:r>
      <w:r w:rsidR="00C773F1" w:rsidRPr="00510E5E">
        <w:rPr>
          <w:rFonts w:cstheme="minorHAnsi"/>
          <w:color w:val="000000" w:themeColor="text1"/>
          <w:lang w:val="en-GB"/>
        </w:rPr>
        <w:t>/ World Health Organization</w:t>
      </w:r>
    </w:p>
    <w:p w14:paraId="77BBB9F9" w14:textId="55AA898D" w:rsidR="00510E5E" w:rsidRDefault="00510E5E" w:rsidP="00510E5E">
      <w:pPr>
        <w:rPr>
          <w:rFonts w:cstheme="minorHAnsi"/>
          <w:color w:val="000000" w:themeColor="text1"/>
          <w:lang w:val="en-GB"/>
        </w:rPr>
      </w:pPr>
      <w:r>
        <w:rPr>
          <w:rFonts w:cstheme="minorHAnsi"/>
          <w:color w:val="000000" w:themeColor="text1"/>
          <w:lang w:val="en-GB"/>
        </w:rPr>
        <w:t xml:space="preserve">PAT: Policy Audit Tool </w:t>
      </w:r>
    </w:p>
    <w:p w14:paraId="65C7940C" w14:textId="5487A48A" w:rsidR="00510E5E" w:rsidRPr="00510E5E" w:rsidRDefault="00510E5E" w:rsidP="00510E5E">
      <w:pPr>
        <w:rPr>
          <w:rFonts w:cstheme="minorHAnsi"/>
          <w:color w:val="000000" w:themeColor="text1"/>
        </w:rPr>
      </w:pPr>
      <w:r w:rsidRPr="00510E5E">
        <w:rPr>
          <w:rFonts w:cstheme="minorHAnsi"/>
          <w:color w:val="000000" w:themeColor="text1"/>
        </w:rPr>
        <w:t>PDEF</w:t>
      </w:r>
      <w:r>
        <w:rPr>
          <w:rFonts w:cstheme="minorHAnsi"/>
          <w:color w:val="000000" w:themeColor="text1"/>
        </w:rPr>
        <w:t xml:space="preserve">: </w:t>
      </w:r>
      <w:r w:rsidRPr="00510E5E">
        <w:rPr>
          <w:rFonts w:cstheme="minorHAnsi"/>
          <w:color w:val="000000" w:themeColor="text1"/>
        </w:rPr>
        <w:t xml:space="preserve">programas de </w:t>
      </w:r>
      <w:r>
        <w:rPr>
          <w:rFonts w:cstheme="minorHAnsi"/>
          <w:color w:val="000000" w:themeColor="text1"/>
        </w:rPr>
        <w:t xml:space="preserve">derivación de ejercicio físico </w:t>
      </w:r>
    </w:p>
    <w:p w14:paraId="08C72F6C" w14:textId="77777777" w:rsidR="008107FD" w:rsidRDefault="008107FD" w:rsidP="008107FD">
      <w:pPr>
        <w:rPr>
          <w:rFonts w:cstheme="minorHAnsi"/>
          <w:color w:val="000000" w:themeColor="text1"/>
        </w:rPr>
      </w:pPr>
      <w:r>
        <w:rPr>
          <w:rFonts w:cstheme="minorHAnsi"/>
          <w:color w:val="000000" w:themeColor="text1"/>
        </w:rPr>
        <w:t>PIB: Producto Interior Bruto</w:t>
      </w:r>
    </w:p>
    <w:p w14:paraId="2443533E" w14:textId="77777777" w:rsidR="008107FD" w:rsidRDefault="008107FD" w:rsidP="008107FD">
      <w:pPr>
        <w:rPr>
          <w:rFonts w:cstheme="minorHAnsi"/>
          <w:color w:val="000000"/>
        </w:rPr>
      </w:pPr>
      <w:r>
        <w:rPr>
          <w:rFonts w:cstheme="minorHAnsi"/>
          <w:color w:val="000000"/>
        </w:rPr>
        <w:t xml:space="preserve">SAD: Sociedad Anónima Deportiva </w:t>
      </w:r>
    </w:p>
    <w:p w14:paraId="6B3FF1D2" w14:textId="53968F3A" w:rsidR="00980DBF" w:rsidRPr="00980DBF" w:rsidRDefault="00980DBF" w:rsidP="00980DBF">
      <w:pPr>
        <w:rPr>
          <w:rFonts w:cstheme="minorHAnsi"/>
          <w:color w:val="000000" w:themeColor="text1"/>
        </w:rPr>
      </w:pPr>
      <w:r w:rsidRPr="00980DBF">
        <w:rPr>
          <w:rFonts w:cstheme="minorHAnsi"/>
          <w:color w:val="000000" w:themeColor="text1"/>
        </w:rPr>
        <w:t xml:space="preserve">SDG/ODS: </w:t>
      </w:r>
      <w:proofErr w:type="spellStart"/>
      <w:r w:rsidRPr="00980DBF">
        <w:rPr>
          <w:rFonts w:cstheme="minorHAnsi"/>
          <w:color w:val="000000" w:themeColor="text1"/>
        </w:rPr>
        <w:t>Sustainable</w:t>
      </w:r>
      <w:proofErr w:type="spellEnd"/>
      <w:r w:rsidRPr="00980DBF">
        <w:rPr>
          <w:rFonts w:cstheme="minorHAnsi"/>
          <w:color w:val="000000" w:themeColor="text1"/>
        </w:rPr>
        <w:t xml:space="preserve"> </w:t>
      </w:r>
      <w:proofErr w:type="spellStart"/>
      <w:r w:rsidRPr="00980DBF">
        <w:rPr>
          <w:rFonts w:cstheme="minorHAnsi"/>
          <w:color w:val="000000" w:themeColor="text1"/>
        </w:rPr>
        <w:t>Development</w:t>
      </w:r>
      <w:proofErr w:type="spellEnd"/>
      <w:r w:rsidRPr="00980DBF">
        <w:rPr>
          <w:rFonts w:cstheme="minorHAnsi"/>
          <w:color w:val="000000" w:themeColor="text1"/>
        </w:rPr>
        <w:t xml:space="preserve"> </w:t>
      </w:r>
      <w:proofErr w:type="spellStart"/>
      <w:r w:rsidRPr="00980DBF">
        <w:rPr>
          <w:rFonts w:cstheme="minorHAnsi"/>
          <w:color w:val="000000" w:themeColor="text1"/>
        </w:rPr>
        <w:t>Goals</w:t>
      </w:r>
      <w:proofErr w:type="spellEnd"/>
      <w:r w:rsidRPr="00980DBF">
        <w:rPr>
          <w:rFonts w:cstheme="minorHAnsi"/>
          <w:color w:val="000000" w:themeColor="text1"/>
        </w:rPr>
        <w:t xml:space="preserve">/Objetivos de Desarrollo </w:t>
      </w:r>
      <w:r>
        <w:rPr>
          <w:rFonts w:cstheme="minorHAnsi"/>
          <w:color w:val="000000" w:themeColor="text1"/>
        </w:rPr>
        <w:t>Sostenible</w:t>
      </w:r>
    </w:p>
    <w:p w14:paraId="62BA1400" w14:textId="77777777" w:rsidR="00140135" w:rsidRDefault="00140135" w:rsidP="00140135">
      <w:pPr>
        <w:rPr>
          <w:rFonts w:cstheme="minorHAnsi"/>
        </w:rPr>
      </w:pPr>
      <w:r>
        <w:rPr>
          <w:rFonts w:cstheme="minorHAnsi"/>
        </w:rPr>
        <w:t>SEMFYC:</w:t>
      </w:r>
      <w:r w:rsidRPr="00140135">
        <w:t xml:space="preserve"> </w:t>
      </w:r>
      <w:r w:rsidRPr="00140135">
        <w:rPr>
          <w:rFonts w:cstheme="minorHAnsi"/>
        </w:rPr>
        <w:t xml:space="preserve">Sociedad Española de Medicina de Familia y Comunitaria </w:t>
      </w:r>
    </w:p>
    <w:p w14:paraId="179E3CCA" w14:textId="77777777" w:rsidR="00140135" w:rsidRDefault="00140135" w:rsidP="00140135">
      <w:pPr>
        <w:rPr>
          <w:rFonts w:cstheme="minorHAnsi"/>
        </w:rPr>
      </w:pPr>
      <w:r>
        <w:rPr>
          <w:rFonts w:cstheme="minorHAnsi"/>
        </w:rPr>
        <w:t>SEMERGEN: Sociedad Española de Médicos de Atención Primaria</w:t>
      </w:r>
    </w:p>
    <w:p w14:paraId="50E61FE1" w14:textId="77777777" w:rsidR="008107FD" w:rsidRDefault="008107FD" w:rsidP="008107FD">
      <w:pPr>
        <w:rPr>
          <w:rFonts w:cstheme="minorHAnsi"/>
        </w:rPr>
      </w:pPr>
      <w:r>
        <w:rPr>
          <w:rFonts w:cstheme="minorHAnsi"/>
        </w:rPr>
        <w:t xml:space="preserve">SNS: Sistema Nacional de Salud </w:t>
      </w:r>
    </w:p>
    <w:p w14:paraId="3B41B433" w14:textId="77777777" w:rsidR="008107FD" w:rsidRPr="008107FD" w:rsidRDefault="008107FD" w:rsidP="008107FD">
      <w:pPr>
        <w:jc w:val="both"/>
        <w:rPr>
          <w:rFonts w:cstheme="minorHAnsi"/>
        </w:rPr>
      </w:pPr>
      <w:r w:rsidRPr="008107FD">
        <w:rPr>
          <w:rFonts w:cstheme="minorHAnsi"/>
        </w:rPr>
        <w:t xml:space="preserve">TOD: </w:t>
      </w:r>
      <w:proofErr w:type="spellStart"/>
      <w:r w:rsidRPr="008107FD">
        <w:rPr>
          <w:rFonts w:cstheme="minorHAnsi"/>
          <w:iCs/>
        </w:rPr>
        <w:t>Transit</w:t>
      </w:r>
      <w:proofErr w:type="spellEnd"/>
      <w:r w:rsidRPr="008107FD">
        <w:rPr>
          <w:rFonts w:cstheme="minorHAnsi"/>
          <w:iCs/>
        </w:rPr>
        <w:t xml:space="preserve"> </w:t>
      </w:r>
      <w:proofErr w:type="spellStart"/>
      <w:r w:rsidRPr="008107FD">
        <w:rPr>
          <w:rFonts w:cstheme="minorHAnsi"/>
          <w:iCs/>
        </w:rPr>
        <w:t>Oriented</w:t>
      </w:r>
      <w:proofErr w:type="spellEnd"/>
      <w:r w:rsidRPr="008107FD">
        <w:rPr>
          <w:rFonts w:cstheme="minorHAnsi"/>
          <w:iCs/>
        </w:rPr>
        <w:t xml:space="preserve"> </w:t>
      </w:r>
      <w:proofErr w:type="spellStart"/>
      <w:r w:rsidRPr="008107FD">
        <w:rPr>
          <w:rFonts w:cstheme="minorHAnsi"/>
          <w:iCs/>
        </w:rPr>
        <w:t>Development</w:t>
      </w:r>
      <w:proofErr w:type="spellEnd"/>
    </w:p>
    <w:p w14:paraId="4B8F575A" w14:textId="18FA17D1" w:rsidR="00980DBF" w:rsidRPr="00980DBF" w:rsidRDefault="00980DBF" w:rsidP="00980DBF">
      <w:pPr>
        <w:rPr>
          <w:rFonts w:cstheme="minorHAnsi"/>
          <w:color w:val="000000" w:themeColor="text1"/>
        </w:rPr>
      </w:pPr>
      <w:r w:rsidRPr="00980DBF">
        <w:rPr>
          <w:rFonts w:cstheme="minorHAnsi"/>
          <w:color w:val="000000" w:themeColor="text1"/>
        </w:rPr>
        <w:t>UNESCO</w:t>
      </w:r>
      <w:r w:rsidR="006F1CBB">
        <w:rPr>
          <w:rFonts w:cstheme="minorHAnsi"/>
          <w:color w:val="000000" w:themeColor="text1"/>
        </w:rPr>
        <w:t xml:space="preserve">: </w:t>
      </w:r>
      <w:r w:rsidR="006F1CBB" w:rsidRPr="006F1CBB">
        <w:rPr>
          <w:rFonts w:cstheme="minorHAnsi"/>
          <w:color w:val="000000" w:themeColor="text1"/>
        </w:rPr>
        <w:t>Organización de las Naciones Unidas para la Educ</w:t>
      </w:r>
      <w:r w:rsidR="008107FD">
        <w:rPr>
          <w:rFonts w:cstheme="minorHAnsi"/>
          <w:color w:val="000000" w:themeColor="text1"/>
        </w:rPr>
        <w:t>ación, la Ciencia y la Cultura</w:t>
      </w:r>
    </w:p>
    <w:p w14:paraId="5CDE7220" w14:textId="155C54C4" w:rsidR="00980DBF" w:rsidRDefault="00980DBF" w:rsidP="002D7616">
      <w:pPr>
        <w:rPr>
          <w:rFonts w:cstheme="minorHAnsi"/>
          <w:color w:val="000000" w:themeColor="text1"/>
        </w:rPr>
      </w:pPr>
      <w:r w:rsidRPr="00980DBF">
        <w:rPr>
          <w:rFonts w:cstheme="minorHAnsi"/>
          <w:color w:val="000000" w:themeColor="text1"/>
        </w:rPr>
        <w:t>UE</w:t>
      </w:r>
      <w:r w:rsidR="005A7A40">
        <w:rPr>
          <w:rFonts w:cstheme="minorHAnsi"/>
          <w:color w:val="000000" w:themeColor="text1"/>
        </w:rPr>
        <w:t>/EU</w:t>
      </w:r>
      <w:r w:rsidRPr="00980DBF">
        <w:rPr>
          <w:rFonts w:cstheme="minorHAnsi"/>
          <w:color w:val="000000" w:themeColor="text1"/>
        </w:rPr>
        <w:t>: Unión Europea</w:t>
      </w:r>
      <w:r w:rsidR="005A7A40">
        <w:rPr>
          <w:rFonts w:cstheme="minorHAnsi"/>
          <w:color w:val="000000" w:themeColor="text1"/>
        </w:rPr>
        <w:t>/</w:t>
      </w:r>
      <w:proofErr w:type="spellStart"/>
      <w:r w:rsidR="005A7A40">
        <w:rPr>
          <w:rFonts w:cstheme="minorHAnsi"/>
          <w:color w:val="000000" w:themeColor="text1"/>
        </w:rPr>
        <w:t>European</w:t>
      </w:r>
      <w:proofErr w:type="spellEnd"/>
      <w:r w:rsidR="005A7A40">
        <w:rPr>
          <w:rFonts w:cstheme="minorHAnsi"/>
          <w:color w:val="000000" w:themeColor="text1"/>
        </w:rPr>
        <w:t xml:space="preserve"> </w:t>
      </w:r>
      <w:proofErr w:type="spellStart"/>
      <w:r w:rsidR="005A7A40">
        <w:rPr>
          <w:rFonts w:cstheme="minorHAnsi"/>
          <w:color w:val="000000" w:themeColor="text1"/>
        </w:rPr>
        <w:t>Union</w:t>
      </w:r>
      <w:proofErr w:type="spellEnd"/>
    </w:p>
    <w:p w14:paraId="18C6B4C7" w14:textId="77777777" w:rsidR="001D1443" w:rsidRPr="001D1443" w:rsidRDefault="001D1443" w:rsidP="001D1443">
      <w:pPr>
        <w:rPr>
          <w:rFonts w:cstheme="minorHAnsi"/>
          <w:color w:val="000000" w:themeColor="text1"/>
          <w:lang w:val="en-GB"/>
        </w:rPr>
      </w:pPr>
      <w:r w:rsidRPr="001D1443">
        <w:rPr>
          <w:rFonts w:cstheme="minorHAnsi"/>
          <w:color w:val="000000" w:themeColor="text1"/>
          <w:lang w:val="en-GB"/>
        </w:rPr>
        <w:t>UEFA: Union of European Football Associations</w:t>
      </w:r>
    </w:p>
    <w:p w14:paraId="3C7A7E0A" w14:textId="408DA688" w:rsidR="008107FD" w:rsidRDefault="008107FD" w:rsidP="002D7616">
      <w:pPr>
        <w:rPr>
          <w:rFonts w:cstheme="minorHAnsi"/>
          <w:color w:val="000000" w:themeColor="text1"/>
        </w:rPr>
      </w:pPr>
      <w:r>
        <w:rPr>
          <w:rFonts w:cstheme="minorHAnsi"/>
          <w:color w:val="000000" w:themeColor="text1"/>
        </w:rPr>
        <w:t>USD: Dólar americano</w:t>
      </w:r>
      <w:r w:rsidR="0085322A">
        <w:rPr>
          <w:rFonts w:cstheme="minorHAnsi"/>
          <w:color w:val="000000" w:themeColor="text1"/>
        </w:rPr>
        <w:t>.</w:t>
      </w:r>
    </w:p>
    <w:p w14:paraId="266C7951" w14:textId="77777777" w:rsidR="006F1CBB" w:rsidRPr="009E5881" w:rsidRDefault="006F1CBB" w:rsidP="002D7616">
      <w:pPr>
        <w:rPr>
          <w:rFonts w:cstheme="minorHAnsi"/>
          <w:color w:val="000000" w:themeColor="text1"/>
        </w:rPr>
      </w:pPr>
    </w:p>
    <w:sectPr w:rsidR="006F1CBB" w:rsidRPr="009E5881" w:rsidSect="00FE6028">
      <w:headerReference w:type="default" r:id="rId209"/>
      <w:footerReference w:type="even" r:id="rId210"/>
      <w:footerReference w:type="default" r:id="rId211"/>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9C0BAA" w14:textId="77777777" w:rsidR="006C747B" w:rsidRDefault="006C747B" w:rsidP="009909B1">
      <w:r>
        <w:separator/>
      </w:r>
    </w:p>
  </w:endnote>
  <w:endnote w:type="continuationSeparator" w:id="0">
    <w:p w14:paraId="6F130F21" w14:textId="77777777" w:rsidR="006C747B" w:rsidRDefault="006C747B" w:rsidP="00990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Zilla Slab SemiBold">
    <w:altName w:val="Cambria"/>
    <w:charset w:val="00"/>
    <w:family w:val="roman"/>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ontserrat">
    <w:charset w:val="00"/>
    <w:family w:val="auto"/>
    <w:pitch w:val="variable"/>
    <w:sig w:usb0="2000020F" w:usb1="00000003" w:usb2="00000000" w:usb3="00000000" w:csb0="00000197" w:csb1="00000000"/>
  </w:font>
  <w:font w:name="FlamaCondensed-Book">
    <w:altName w:val="MS Gothic"/>
    <w:charset w:val="80"/>
    <w:family w:val="swiss"/>
    <w:pitch w:val="default"/>
    <w:sig w:usb0="00000001" w:usb1="08070000" w:usb2="00000010" w:usb3="00000000" w:csb0="00020000" w:csb1="00000000"/>
  </w:font>
  <w:font w:name="FlamaCondensed-Medium">
    <w:altName w:val="MS Gothic"/>
    <w:charset w:val="80"/>
    <w:family w:val="swiss"/>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728524100"/>
      <w:docPartObj>
        <w:docPartGallery w:val="Page Numbers (Bottom of Page)"/>
        <w:docPartUnique/>
      </w:docPartObj>
    </w:sdtPr>
    <w:sdtContent>
      <w:p w14:paraId="002C4759" w14:textId="6920EA1D" w:rsidR="008A069C" w:rsidRDefault="008A069C" w:rsidP="00BF7D2E">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20</w:t>
        </w:r>
        <w:r>
          <w:rPr>
            <w:rStyle w:val="Nmerodepgina"/>
          </w:rPr>
          <w:fldChar w:fldCharType="end"/>
        </w:r>
      </w:p>
    </w:sdtContent>
  </w:sdt>
  <w:p w14:paraId="6BE30B10" w14:textId="77777777" w:rsidR="008A069C" w:rsidRDefault="008A069C" w:rsidP="009909B1">
    <w:pPr>
      <w:pStyle w:val="Piedepgina"/>
      <w:ind w:right="360"/>
    </w:pPr>
  </w:p>
  <w:p w14:paraId="343EF1A0" w14:textId="77777777" w:rsidR="008A069C" w:rsidRDefault="008A069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788234750"/>
      <w:docPartObj>
        <w:docPartGallery w:val="Page Numbers (Bottom of Page)"/>
        <w:docPartUnique/>
      </w:docPartObj>
    </w:sdtPr>
    <w:sdtContent>
      <w:p w14:paraId="0E377C31" w14:textId="77812155" w:rsidR="008A069C" w:rsidRPr="00F508AB" w:rsidRDefault="008A069C" w:rsidP="00BF7D2E">
        <w:pPr>
          <w:pStyle w:val="Piedepgina"/>
          <w:framePr w:wrap="none" w:vAnchor="text" w:hAnchor="margin" w:xAlign="right" w:y="1"/>
          <w:rPr>
            <w:rStyle w:val="Nmerodepgina"/>
            <w:lang w:val="es-ES"/>
          </w:rPr>
        </w:pPr>
        <w:r>
          <w:rPr>
            <w:rStyle w:val="Nmerodepgina"/>
          </w:rPr>
          <w:fldChar w:fldCharType="begin"/>
        </w:r>
        <w:r w:rsidRPr="00F508AB">
          <w:rPr>
            <w:rStyle w:val="Nmerodepgina"/>
            <w:lang w:val="es-ES"/>
          </w:rPr>
          <w:instrText xml:space="preserve"> PAGE </w:instrText>
        </w:r>
        <w:r>
          <w:rPr>
            <w:rStyle w:val="Nmerodepgina"/>
          </w:rPr>
          <w:fldChar w:fldCharType="separate"/>
        </w:r>
        <w:r w:rsidR="007B78CE">
          <w:rPr>
            <w:rStyle w:val="Nmerodepgina"/>
            <w:noProof/>
            <w:lang w:val="es-ES"/>
          </w:rPr>
          <w:t>200</w:t>
        </w:r>
        <w:r>
          <w:rPr>
            <w:rStyle w:val="Nmerodepgina"/>
          </w:rPr>
          <w:fldChar w:fldCharType="end"/>
        </w:r>
      </w:p>
    </w:sdtContent>
  </w:sdt>
  <w:p w14:paraId="4AD9524F" w14:textId="7692E0CD" w:rsidR="008A069C" w:rsidRPr="009909B1" w:rsidRDefault="008A069C" w:rsidP="001B1885">
    <w:pPr>
      <w:pStyle w:val="Piedepgina"/>
      <w:ind w:right="360"/>
      <w:rPr>
        <w:i/>
        <w:iCs/>
        <w:sz w:val="18"/>
        <w:szCs w:val="18"/>
        <w:lang w:val="es-ES"/>
      </w:rPr>
    </w:pPr>
    <w:r w:rsidRPr="009909B1">
      <w:rPr>
        <w:i/>
        <w:iCs/>
        <w:sz w:val="18"/>
        <w:szCs w:val="18"/>
        <w:lang w:val="es-ES"/>
      </w:rPr>
      <w:t xml:space="preserve">Estrategia Nacional de </w:t>
    </w:r>
    <w:r>
      <w:rPr>
        <w:i/>
        <w:iCs/>
        <w:sz w:val="18"/>
        <w:szCs w:val="18"/>
        <w:lang w:val="es-ES"/>
      </w:rPr>
      <w:t>F</w:t>
    </w:r>
    <w:r w:rsidRPr="009909B1">
      <w:rPr>
        <w:i/>
        <w:iCs/>
        <w:sz w:val="18"/>
        <w:szCs w:val="18"/>
        <w:lang w:val="es-ES"/>
      </w:rPr>
      <w:t xml:space="preserve">omento del </w:t>
    </w:r>
    <w:r>
      <w:rPr>
        <w:i/>
        <w:iCs/>
        <w:sz w:val="18"/>
        <w:szCs w:val="18"/>
        <w:lang w:val="es-ES"/>
      </w:rPr>
      <w:t>D</w:t>
    </w:r>
    <w:r w:rsidRPr="009909B1">
      <w:rPr>
        <w:i/>
        <w:iCs/>
        <w:sz w:val="18"/>
        <w:szCs w:val="18"/>
        <w:lang w:val="es-ES"/>
      </w:rPr>
      <w:t xml:space="preserve">eporte contra el </w:t>
    </w:r>
    <w:r>
      <w:rPr>
        <w:i/>
        <w:iCs/>
        <w:sz w:val="18"/>
        <w:szCs w:val="18"/>
        <w:lang w:val="es-ES"/>
      </w:rPr>
      <w:t>S</w:t>
    </w:r>
    <w:r w:rsidRPr="009909B1">
      <w:rPr>
        <w:i/>
        <w:iCs/>
        <w:sz w:val="18"/>
        <w:szCs w:val="18"/>
        <w:lang w:val="es-ES"/>
      </w:rPr>
      <w:t>edentarismo</w:t>
    </w:r>
    <w:r>
      <w:rPr>
        <w:i/>
        <w:iCs/>
        <w:sz w:val="18"/>
        <w:szCs w:val="18"/>
        <w:lang w:val="es-ES"/>
      </w:rPr>
      <w:t xml:space="preserve"> y la Inactividad Física</w:t>
    </w:r>
    <w:r w:rsidRPr="009909B1">
      <w:rPr>
        <w:i/>
        <w:iCs/>
        <w:sz w:val="18"/>
        <w:szCs w:val="18"/>
        <w:lang w:val="es-ES"/>
      </w:rPr>
      <w:t xml:space="preserve"> </w:t>
    </w:r>
    <w:r w:rsidR="00582480">
      <w:rPr>
        <w:i/>
        <w:iCs/>
        <w:sz w:val="18"/>
        <w:szCs w:val="18"/>
        <w:lang w:val="es-ES"/>
      </w:rPr>
      <w:t>(versión</w:t>
    </w:r>
    <w:r>
      <w:rPr>
        <w:i/>
        <w:iCs/>
        <w:sz w:val="18"/>
        <w:szCs w:val="18"/>
        <w:lang w:val="es-ES"/>
      </w:rPr>
      <w:t xml:space="preserve"> #2)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17CE1" w14:textId="77777777" w:rsidR="006C747B" w:rsidRDefault="006C747B" w:rsidP="009909B1">
      <w:r>
        <w:separator/>
      </w:r>
    </w:p>
  </w:footnote>
  <w:footnote w:type="continuationSeparator" w:id="0">
    <w:p w14:paraId="1092E871" w14:textId="77777777" w:rsidR="006C747B" w:rsidRDefault="006C747B" w:rsidP="009909B1">
      <w:r>
        <w:continuationSeparator/>
      </w:r>
    </w:p>
  </w:footnote>
  <w:footnote w:id="1">
    <w:p w14:paraId="2B14B44B" w14:textId="0CFC0BA0" w:rsidR="008A069C" w:rsidRPr="00784B00" w:rsidRDefault="008A069C" w:rsidP="006B6011">
      <w:pPr>
        <w:pStyle w:val="Textonotapie"/>
        <w:jc w:val="both"/>
        <w:rPr>
          <w:rFonts w:asciiTheme="minorHAnsi" w:hAnsiTheme="minorHAnsi" w:cstheme="minorHAnsi"/>
        </w:rPr>
      </w:pPr>
      <w:r w:rsidRPr="00784B00">
        <w:rPr>
          <w:rStyle w:val="Refdenotaalpie"/>
          <w:rFonts w:asciiTheme="minorHAnsi" w:hAnsiTheme="minorHAnsi" w:cstheme="minorHAnsi"/>
        </w:rPr>
        <w:footnoteRef/>
      </w:r>
      <w:r w:rsidRPr="00784B00">
        <w:rPr>
          <w:rFonts w:asciiTheme="minorHAnsi" w:hAnsiTheme="minorHAnsi" w:cstheme="minorHAnsi"/>
        </w:rPr>
        <w:t xml:space="preserve"> La VIII reunión de MINESP se ha celebrado en Bakú (</w:t>
      </w:r>
      <w:proofErr w:type="spellStart"/>
      <w:r w:rsidRPr="00784B00">
        <w:rPr>
          <w:rFonts w:asciiTheme="minorHAnsi" w:hAnsiTheme="minorHAnsi" w:cstheme="minorHAnsi"/>
        </w:rPr>
        <w:t>Azerbayán</w:t>
      </w:r>
      <w:proofErr w:type="spellEnd"/>
      <w:r w:rsidRPr="00784B00">
        <w:rPr>
          <w:rFonts w:asciiTheme="minorHAnsi" w:hAnsiTheme="minorHAnsi" w:cstheme="minorHAnsi"/>
        </w:rPr>
        <w:t>)</w:t>
      </w:r>
      <w:r w:rsidR="00E15FD6">
        <w:rPr>
          <w:rFonts w:asciiTheme="minorHAnsi" w:hAnsiTheme="minorHAnsi" w:cstheme="minorHAnsi"/>
        </w:rPr>
        <w:t xml:space="preserve"> en 2023</w:t>
      </w:r>
      <w:r>
        <w:rPr>
          <w:rFonts w:asciiTheme="minorHAnsi" w:hAnsiTheme="minorHAnsi" w:cstheme="minorHAnsi"/>
        </w:rPr>
        <w:t>,</w:t>
      </w:r>
      <w:r w:rsidRPr="00784B00">
        <w:rPr>
          <w:rFonts w:asciiTheme="minorHAnsi" w:hAnsiTheme="minorHAnsi" w:cstheme="minorHAnsi"/>
        </w:rPr>
        <w:t xml:space="preserve"> y </w:t>
      </w:r>
      <w:r w:rsidR="00E15FD6">
        <w:rPr>
          <w:rFonts w:asciiTheme="minorHAnsi" w:hAnsiTheme="minorHAnsi" w:cstheme="minorHAnsi"/>
        </w:rPr>
        <w:t>se espera</w:t>
      </w:r>
      <w:r w:rsidRPr="00784B00">
        <w:rPr>
          <w:rFonts w:asciiTheme="minorHAnsi" w:hAnsiTheme="minorHAnsi" w:cstheme="minorHAnsi"/>
        </w:rPr>
        <w:t xml:space="preserve"> que </w:t>
      </w:r>
      <w:r w:rsidR="00E15FD6">
        <w:rPr>
          <w:rFonts w:asciiTheme="minorHAnsi" w:hAnsiTheme="minorHAnsi" w:cstheme="minorHAnsi"/>
        </w:rPr>
        <w:t>como parte de</w:t>
      </w:r>
      <w:r w:rsidR="00E15FD6" w:rsidRPr="00784B00">
        <w:rPr>
          <w:rFonts w:asciiTheme="minorHAnsi" w:hAnsiTheme="minorHAnsi" w:cstheme="minorHAnsi"/>
        </w:rPr>
        <w:t xml:space="preserve"> </w:t>
      </w:r>
      <w:r w:rsidRPr="00784B00">
        <w:rPr>
          <w:rFonts w:asciiTheme="minorHAnsi" w:hAnsiTheme="minorHAnsi" w:cstheme="minorHAnsi"/>
        </w:rPr>
        <w:t>las conclu</w:t>
      </w:r>
      <w:r>
        <w:rPr>
          <w:rFonts w:asciiTheme="minorHAnsi" w:hAnsiTheme="minorHAnsi" w:cstheme="minorHAnsi"/>
        </w:rPr>
        <w:t>s</w:t>
      </w:r>
      <w:r w:rsidRPr="00784B00">
        <w:rPr>
          <w:rFonts w:asciiTheme="minorHAnsi" w:hAnsiTheme="minorHAnsi" w:cstheme="minorHAnsi"/>
        </w:rPr>
        <w:t xml:space="preserve">iones del encuentro se publique una actualización del </w:t>
      </w:r>
      <w:r w:rsidRPr="00784B00">
        <w:rPr>
          <w:rFonts w:asciiTheme="minorHAnsi" w:hAnsiTheme="minorHAnsi" w:cstheme="minorHAnsi"/>
          <w:i/>
          <w:iCs/>
        </w:rPr>
        <w:t>Plan de Acción de Kazán</w:t>
      </w:r>
      <w:r w:rsidRPr="00784B00">
        <w:rPr>
          <w:rFonts w:asciiTheme="minorHAnsi" w:hAnsiTheme="minorHAnsi" w:cstheme="minorHAnsi"/>
        </w:rPr>
        <w:t xml:space="preserve"> en base a la evaluación de su impacto en el periodo 2017-2023.</w:t>
      </w:r>
    </w:p>
  </w:footnote>
  <w:footnote w:id="2">
    <w:p w14:paraId="5CCA245E" w14:textId="3C56B7FE" w:rsidR="008A069C" w:rsidRPr="00DD62A6" w:rsidRDefault="008A069C" w:rsidP="00BF7D2E">
      <w:pPr>
        <w:pStyle w:val="Textonotapie"/>
        <w:jc w:val="both"/>
        <w:rPr>
          <w:rFonts w:asciiTheme="minorHAnsi" w:hAnsiTheme="minorHAnsi" w:cstheme="minorHAnsi"/>
          <w:lang w:val="en-GB"/>
        </w:rPr>
      </w:pPr>
      <w:r w:rsidRPr="003017E5">
        <w:rPr>
          <w:rStyle w:val="Refdenotaalpie"/>
          <w:rFonts w:asciiTheme="minorHAnsi" w:hAnsiTheme="minorHAnsi" w:cstheme="minorHAnsi"/>
        </w:rPr>
        <w:footnoteRef/>
      </w:r>
      <w:r w:rsidRPr="00DD62A6">
        <w:rPr>
          <w:rFonts w:asciiTheme="minorHAnsi" w:hAnsiTheme="minorHAnsi" w:cstheme="minorHAnsi"/>
          <w:lang w:val="en-GB"/>
        </w:rPr>
        <w:t xml:space="preserve"> Por </w:t>
      </w:r>
      <w:proofErr w:type="spellStart"/>
      <w:r w:rsidRPr="00DD62A6">
        <w:rPr>
          <w:rFonts w:asciiTheme="minorHAnsi" w:hAnsiTheme="minorHAnsi" w:cstheme="minorHAnsi"/>
          <w:lang w:val="en-GB"/>
        </w:rPr>
        <w:t>ejemplo</w:t>
      </w:r>
      <w:proofErr w:type="spellEnd"/>
      <w:r w:rsidRPr="00DD62A6">
        <w:rPr>
          <w:rFonts w:asciiTheme="minorHAnsi" w:hAnsiTheme="minorHAnsi" w:cstheme="minorHAnsi"/>
          <w:lang w:val="en-GB"/>
        </w:rPr>
        <w:t xml:space="preserve">, </w:t>
      </w:r>
      <w:proofErr w:type="spellStart"/>
      <w:r w:rsidRPr="00DD62A6">
        <w:rPr>
          <w:rFonts w:asciiTheme="minorHAnsi" w:hAnsiTheme="minorHAnsi" w:cstheme="minorHAnsi"/>
          <w:lang w:val="en-GB"/>
        </w:rPr>
        <w:t>el</w:t>
      </w:r>
      <w:proofErr w:type="spellEnd"/>
      <w:r w:rsidRPr="00DD62A6">
        <w:rPr>
          <w:rFonts w:asciiTheme="minorHAnsi" w:hAnsiTheme="minorHAnsi" w:cstheme="minorHAnsi"/>
          <w:lang w:val="en-GB"/>
        </w:rPr>
        <w:t xml:space="preserve"> </w:t>
      </w:r>
      <w:r w:rsidRPr="00BB0148">
        <w:rPr>
          <w:rFonts w:asciiTheme="minorHAnsi" w:hAnsiTheme="minorHAnsi" w:cstheme="minorHAnsi"/>
          <w:i/>
          <w:iCs/>
          <w:lang w:val="en-GB"/>
        </w:rPr>
        <w:t>National Physical Activity Plan</w:t>
      </w:r>
      <w:r w:rsidRPr="00DD62A6">
        <w:rPr>
          <w:rFonts w:asciiTheme="minorHAnsi" w:hAnsiTheme="minorHAnsi" w:cstheme="minorHAnsi"/>
          <w:lang w:val="en-GB"/>
        </w:rPr>
        <w:t xml:space="preserve"> 2016, </w:t>
      </w:r>
      <w:proofErr w:type="spellStart"/>
      <w:r w:rsidRPr="00DD62A6">
        <w:rPr>
          <w:rFonts w:asciiTheme="minorHAnsi" w:hAnsiTheme="minorHAnsi" w:cstheme="minorHAnsi"/>
          <w:lang w:val="en-GB"/>
        </w:rPr>
        <w:t>en</w:t>
      </w:r>
      <w:proofErr w:type="spellEnd"/>
      <w:r w:rsidRPr="00DD62A6">
        <w:rPr>
          <w:rFonts w:asciiTheme="minorHAnsi" w:hAnsiTheme="minorHAnsi" w:cstheme="minorHAnsi"/>
          <w:lang w:val="en-GB"/>
        </w:rPr>
        <w:t xml:space="preserve"> Irlanda, </w:t>
      </w:r>
      <w:proofErr w:type="spellStart"/>
      <w:r w:rsidRPr="00DD62A6">
        <w:rPr>
          <w:rFonts w:asciiTheme="minorHAnsi" w:hAnsiTheme="minorHAnsi" w:cstheme="minorHAnsi"/>
          <w:lang w:val="en-GB"/>
        </w:rPr>
        <w:t>el</w:t>
      </w:r>
      <w:proofErr w:type="spellEnd"/>
      <w:r w:rsidRPr="00DD62A6">
        <w:rPr>
          <w:rFonts w:asciiTheme="minorHAnsi" w:hAnsiTheme="minorHAnsi" w:cstheme="minorHAnsi"/>
          <w:lang w:val="en-GB"/>
        </w:rPr>
        <w:t xml:space="preserve"> National Strategy for Physical Activity Promoting Health and Wellbeing 2020, </w:t>
      </w:r>
      <w:proofErr w:type="spellStart"/>
      <w:r w:rsidRPr="00DD62A6">
        <w:rPr>
          <w:rFonts w:asciiTheme="minorHAnsi" w:hAnsiTheme="minorHAnsi" w:cstheme="minorHAnsi"/>
          <w:lang w:val="en-GB"/>
        </w:rPr>
        <w:t>en</w:t>
      </w:r>
      <w:proofErr w:type="spellEnd"/>
      <w:r w:rsidRPr="00DD62A6">
        <w:rPr>
          <w:rFonts w:asciiTheme="minorHAnsi" w:hAnsiTheme="minorHAnsi" w:cstheme="minorHAnsi"/>
          <w:lang w:val="en-GB"/>
        </w:rPr>
        <w:t xml:space="preserve"> Finlandia, o </w:t>
      </w:r>
      <w:proofErr w:type="spellStart"/>
      <w:r w:rsidRPr="00DD62A6">
        <w:rPr>
          <w:rFonts w:asciiTheme="minorHAnsi" w:hAnsiTheme="minorHAnsi" w:cstheme="minorHAnsi"/>
          <w:lang w:val="en-GB"/>
        </w:rPr>
        <w:t>el</w:t>
      </w:r>
      <w:proofErr w:type="spellEnd"/>
      <w:r w:rsidRPr="00DD62A6">
        <w:rPr>
          <w:rFonts w:asciiTheme="minorHAnsi" w:hAnsiTheme="minorHAnsi" w:cstheme="minorHAnsi"/>
          <w:lang w:val="en-GB"/>
        </w:rPr>
        <w:t xml:space="preserve"> National Sport-Health Strategy 2019-2024, </w:t>
      </w:r>
      <w:proofErr w:type="spellStart"/>
      <w:r w:rsidRPr="00DD62A6">
        <w:rPr>
          <w:rFonts w:asciiTheme="minorHAnsi" w:hAnsiTheme="minorHAnsi" w:cstheme="minorHAnsi"/>
          <w:lang w:val="en-GB"/>
        </w:rPr>
        <w:t>en</w:t>
      </w:r>
      <w:proofErr w:type="spellEnd"/>
      <w:r w:rsidRPr="00DD62A6">
        <w:rPr>
          <w:rFonts w:asciiTheme="minorHAnsi" w:hAnsiTheme="minorHAnsi" w:cstheme="minorHAnsi"/>
          <w:lang w:val="en-GB"/>
        </w:rPr>
        <w:t xml:space="preserve"> Francia.</w:t>
      </w:r>
    </w:p>
  </w:footnote>
  <w:footnote w:id="3">
    <w:p w14:paraId="1A3D7FE7" w14:textId="65DD4DF5" w:rsidR="008A069C" w:rsidRPr="003017E5" w:rsidRDefault="008A069C" w:rsidP="00BA55E0">
      <w:pPr>
        <w:pStyle w:val="Textonotapie"/>
        <w:jc w:val="both"/>
        <w:rPr>
          <w:rFonts w:asciiTheme="minorHAnsi" w:hAnsiTheme="minorHAnsi" w:cstheme="minorHAnsi"/>
        </w:rPr>
      </w:pPr>
      <w:r w:rsidRPr="003017E5">
        <w:rPr>
          <w:rStyle w:val="Refdenotaalpie"/>
          <w:rFonts w:asciiTheme="minorHAnsi" w:hAnsiTheme="minorHAnsi" w:cstheme="minorHAnsi"/>
        </w:rPr>
        <w:footnoteRef/>
      </w:r>
      <w:r w:rsidRPr="003017E5">
        <w:rPr>
          <w:rFonts w:asciiTheme="minorHAnsi" w:hAnsiTheme="minorHAnsi" w:cstheme="minorHAnsi"/>
        </w:rPr>
        <w:t xml:space="preserve"> No en vano, la inactividad física incide entre un 60% de la población como primera causa de mortalidad, </w:t>
      </w:r>
      <w:r w:rsidR="00332D7D">
        <w:rPr>
          <w:rFonts w:asciiTheme="minorHAnsi" w:hAnsiTheme="minorHAnsi" w:cstheme="minorHAnsi"/>
        </w:rPr>
        <w:t xml:space="preserve">debido </w:t>
      </w:r>
      <w:r w:rsidR="00E25F37">
        <w:rPr>
          <w:rFonts w:asciiTheme="minorHAnsi" w:hAnsiTheme="minorHAnsi" w:cstheme="minorHAnsi"/>
        </w:rPr>
        <w:t>a</w:t>
      </w:r>
      <w:r w:rsidR="00332D7D">
        <w:rPr>
          <w:rFonts w:asciiTheme="minorHAnsi" w:hAnsiTheme="minorHAnsi" w:cstheme="minorHAnsi"/>
        </w:rPr>
        <w:t xml:space="preserve"> </w:t>
      </w:r>
      <w:r w:rsidRPr="003017E5">
        <w:rPr>
          <w:rFonts w:asciiTheme="minorHAnsi" w:hAnsiTheme="minorHAnsi" w:cstheme="minorHAnsi"/>
        </w:rPr>
        <w:t>los problemas cardiovasculares y cerebrovasculares.</w:t>
      </w:r>
    </w:p>
  </w:footnote>
  <w:footnote w:id="4">
    <w:p w14:paraId="20CB63C2" w14:textId="7604A32A" w:rsidR="008A069C" w:rsidRPr="00B5522C" w:rsidRDefault="008A069C" w:rsidP="002E66D9">
      <w:pPr>
        <w:pStyle w:val="Textonotapie"/>
        <w:jc w:val="both"/>
        <w:rPr>
          <w:rFonts w:asciiTheme="minorHAnsi" w:hAnsiTheme="minorHAnsi" w:cstheme="minorHAnsi"/>
        </w:rPr>
      </w:pPr>
      <w:r w:rsidRPr="00B5522C">
        <w:rPr>
          <w:rStyle w:val="Refdenotaalpie"/>
          <w:rFonts w:asciiTheme="minorHAnsi" w:hAnsiTheme="minorHAnsi" w:cstheme="minorHAnsi"/>
        </w:rPr>
        <w:footnoteRef/>
      </w:r>
      <w:r w:rsidRPr="00B5522C">
        <w:rPr>
          <w:rFonts w:asciiTheme="minorHAnsi" w:hAnsiTheme="minorHAnsi" w:cstheme="minorHAnsi"/>
        </w:rPr>
        <w:t xml:space="preserve"> Que </w:t>
      </w:r>
      <w:r>
        <w:rPr>
          <w:rFonts w:asciiTheme="minorHAnsi" w:hAnsiTheme="minorHAnsi" w:cstheme="minorHAnsi"/>
        </w:rPr>
        <w:t>conlleva</w:t>
      </w:r>
      <w:r w:rsidRPr="00B5522C">
        <w:rPr>
          <w:rFonts w:asciiTheme="minorHAnsi" w:hAnsiTheme="minorHAnsi" w:cstheme="minorHAnsi"/>
        </w:rPr>
        <w:t xml:space="preserve"> grandes distancias entre los distintos lugares a los que nos desplazamos entre nuestra residencia y el puesto de trabajo, los centros comerciales, los centros educativos o las </w:t>
      </w:r>
      <w:r w:rsidR="005C2AF8">
        <w:rPr>
          <w:rFonts w:asciiTheme="minorHAnsi" w:hAnsiTheme="minorHAnsi" w:cstheme="minorHAnsi"/>
        </w:rPr>
        <w:t>u</w:t>
      </w:r>
      <w:r w:rsidRPr="00B5522C">
        <w:rPr>
          <w:rFonts w:asciiTheme="minorHAnsi" w:hAnsiTheme="minorHAnsi" w:cstheme="minorHAnsi"/>
        </w:rPr>
        <w:t xml:space="preserve">niversidades, el hogar familiar o las residencias de mayores, las bibliotecas, los centros deportivos, </w:t>
      </w:r>
      <w:r>
        <w:rPr>
          <w:rFonts w:asciiTheme="minorHAnsi" w:hAnsiTheme="minorHAnsi" w:cstheme="minorHAnsi"/>
        </w:rPr>
        <w:t xml:space="preserve">los centros de ocio, </w:t>
      </w:r>
      <w:r w:rsidRPr="00B5522C">
        <w:rPr>
          <w:rFonts w:asciiTheme="minorHAnsi" w:hAnsiTheme="minorHAnsi" w:cstheme="minorHAnsi"/>
        </w:rPr>
        <w:t>etc.</w:t>
      </w:r>
    </w:p>
  </w:footnote>
  <w:footnote w:id="5">
    <w:p w14:paraId="35BED335" w14:textId="02490E84" w:rsidR="008A069C" w:rsidRPr="00B5522C" w:rsidRDefault="008A069C" w:rsidP="002E66D9">
      <w:pPr>
        <w:pStyle w:val="Textonotapie"/>
        <w:jc w:val="both"/>
        <w:rPr>
          <w:rFonts w:asciiTheme="minorHAnsi" w:hAnsiTheme="minorHAnsi" w:cstheme="minorHAnsi"/>
        </w:rPr>
      </w:pPr>
      <w:r w:rsidRPr="00B5522C">
        <w:rPr>
          <w:rStyle w:val="Refdenotaalpie"/>
          <w:rFonts w:asciiTheme="minorHAnsi" w:hAnsiTheme="minorHAnsi" w:cstheme="minorHAnsi"/>
        </w:rPr>
        <w:footnoteRef/>
      </w:r>
      <w:r w:rsidRPr="00B5522C">
        <w:rPr>
          <w:rFonts w:asciiTheme="minorHAnsi" w:hAnsiTheme="minorHAnsi" w:cstheme="minorHAnsi"/>
        </w:rPr>
        <w:t xml:space="preserve"> La Encuesta de Hábitos Deportivos en España (EHDE) forma parte de las estadísticas oficiales </w:t>
      </w:r>
      <w:r>
        <w:rPr>
          <w:rFonts w:asciiTheme="minorHAnsi" w:hAnsiTheme="minorHAnsi" w:cstheme="minorHAnsi"/>
        </w:rPr>
        <w:t>del Estado</w:t>
      </w:r>
      <w:r w:rsidRPr="00B5522C">
        <w:rPr>
          <w:rFonts w:asciiTheme="minorHAnsi" w:hAnsiTheme="minorHAnsi" w:cstheme="minorHAnsi"/>
        </w:rPr>
        <w:t>. Se ha realizado de forma periódica cada cinco años desde 1980 a 2020, si bien la última edición se ha realizado en 202</w:t>
      </w:r>
      <w:r>
        <w:rPr>
          <w:rFonts w:asciiTheme="minorHAnsi" w:hAnsiTheme="minorHAnsi" w:cstheme="minorHAnsi"/>
        </w:rPr>
        <w:t>2</w:t>
      </w:r>
      <w:r w:rsidRPr="00B5522C">
        <w:rPr>
          <w:rFonts w:asciiTheme="minorHAnsi" w:hAnsiTheme="minorHAnsi" w:cstheme="minorHAnsi"/>
        </w:rPr>
        <w:t xml:space="preserve"> </w:t>
      </w:r>
      <w:r>
        <w:rPr>
          <w:rFonts w:asciiTheme="minorHAnsi" w:hAnsiTheme="minorHAnsi" w:cstheme="minorHAnsi"/>
        </w:rPr>
        <w:t>con un intervalo bianual</w:t>
      </w:r>
      <w:r w:rsidRPr="00B5522C">
        <w:rPr>
          <w:rFonts w:asciiTheme="minorHAnsi" w:hAnsiTheme="minorHAnsi" w:cstheme="minorHAnsi"/>
        </w:rPr>
        <w:t>. El diseño y planificación recae en el Consejo Superior de Deportes (CSD), máximo órgano del deporte español, aunque su ejecución se ha encomendado a diferentes organismos públicos en el pasado, como el Centro de Investigaciones Sociológicas (CIS). La encuesta proporciona información periódica sobre hábitos, comportamientos y actitudes de la población</w:t>
      </w:r>
      <w:r>
        <w:rPr>
          <w:rFonts w:asciiTheme="minorHAnsi" w:hAnsiTheme="minorHAnsi" w:cstheme="minorHAnsi"/>
        </w:rPr>
        <w:t xml:space="preserve"> española</w:t>
      </w:r>
      <w:r w:rsidRPr="00B5522C">
        <w:rPr>
          <w:rFonts w:asciiTheme="minorHAnsi" w:hAnsiTheme="minorHAnsi" w:cstheme="minorHAnsi"/>
        </w:rPr>
        <w:t xml:space="preserve"> hacia el deporte.</w:t>
      </w:r>
    </w:p>
  </w:footnote>
  <w:footnote w:id="6">
    <w:p w14:paraId="477A1C9C" w14:textId="77777777" w:rsidR="008A069C" w:rsidRPr="00B5522C" w:rsidRDefault="008A069C" w:rsidP="00F6291C">
      <w:pPr>
        <w:pStyle w:val="Textonotapie"/>
        <w:jc w:val="both"/>
        <w:rPr>
          <w:rFonts w:asciiTheme="minorHAnsi" w:hAnsiTheme="minorHAnsi" w:cstheme="minorHAnsi"/>
        </w:rPr>
      </w:pPr>
      <w:r w:rsidRPr="00B5522C">
        <w:rPr>
          <w:rStyle w:val="Refdenotaalpie"/>
          <w:rFonts w:asciiTheme="minorHAnsi" w:hAnsiTheme="minorHAnsi" w:cstheme="minorHAnsi"/>
        </w:rPr>
        <w:footnoteRef/>
      </w:r>
      <w:r w:rsidRPr="00B5522C">
        <w:rPr>
          <w:rFonts w:asciiTheme="minorHAnsi" w:hAnsiTheme="minorHAnsi" w:cstheme="minorHAnsi"/>
        </w:rPr>
        <w:t xml:space="preserve"> La categoría “salir tarde o cansado del trabajo” no ofrece información </w:t>
      </w:r>
      <w:r>
        <w:rPr>
          <w:rFonts w:asciiTheme="minorHAnsi" w:hAnsiTheme="minorHAnsi" w:cstheme="minorHAnsi"/>
        </w:rPr>
        <w:t>en</w:t>
      </w:r>
      <w:r w:rsidRPr="00B5522C">
        <w:rPr>
          <w:rFonts w:asciiTheme="minorHAnsi" w:hAnsiTheme="minorHAnsi" w:cstheme="minorHAnsi"/>
        </w:rPr>
        <w:t xml:space="preserve"> la </w:t>
      </w:r>
      <w:r>
        <w:rPr>
          <w:rFonts w:asciiTheme="minorHAnsi" w:hAnsiTheme="minorHAnsi" w:cstheme="minorHAnsi"/>
        </w:rPr>
        <w:t xml:space="preserve">edición de </w:t>
      </w:r>
      <w:r w:rsidRPr="00B5522C">
        <w:rPr>
          <w:rFonts w:asciiTheme="minorHAnsi" w:hAnsiTheme="minorHAnsi" w:cstheme="minorHAnsi"/>
        </w:rPr>
        <w:t xml:space="preserve">2022, porque en la ficha empleada en el diseño del cuestionario después de 2015 se excluyó esa opción. No obstante, otras encuestas autonómicas o estatales sobre hábitos y comportamientos deportivos </w:t>
      </w:r>
      <w:r>
        <w:rPr>
          <w:rFonts w:asciiTheme="minorHAnsi" w:hAnsiTheme="minorHAnsi" w:cstheme="minorHAnsi"/>
        </w:rPr>
        <w:t>ratifican</w:t>
      </w:r>
      <w:r w:rsidRPr="00B5522C">
        <w:rPr>
          <w:rFonts w:asciiTheme="minorHAnsi" w:hAnsiTheme="minorHAnsi" w:cstheme="minorHAnsi"/>
        </w:rPr>
        <w:t xml:space="preserve"> ésta como la principal razón aludida para excusar la falta de realización de deporte.</w:t>
      </w:r>
    </w:p>
  </w:footnote>
  <w:footnote w:id="7">
    <w:p w14:paraId="04C6F322" w14:textId="47BE915B" w:rsidR="008A069C" w:rsidRPr="006D28F2" w:rsidRDefault="008A069C" w:rsidP="00DA303F">
      <w:pPr>
        <w:pStyle w:val="Textonotapie"/>
        <w:jc w:val="both"/>
        <w:rPr>
          <w:rFonts w:asciiTheme="minorHAnsi" w:hAnsiTheme="minorHAnsi" w:cstheme="minorHAnsi"/>
        </w:rPr>
      </w:pPr>
      <w:r w:rsidRPr="006D28F2">
        <w:rPr>
          <w:rStyle w:val="Refdenotaalpie"/>
          <w:rFonts w:asciiTheme="minorHAnsi" w:hAnsiTheme="minorHAnsi" w:cstheme="minorHAnsi"/>
        </w:rPr>
        <w:footnoteRef/>
      </w:r>
      <w:r w:rsidRPr="006D28F2">
        <w:rPr>
          <w:rFonts w:asciiTheme="minorHAnsi" w:hAnsiTheme="minorHAnsi" w:cstheme="minorHAnsi"/>
        </w:rPr>
        <w:t xml:space="preserve"> No existen referencias temporales más actuales, </w:t>
      </w:r>
      <w:r>
        <w:rPr>
          <w:rFonts w:asciiTheme="minorHAnsi" w:hAnsiTheme="minorHAnsi" w:cstheme="minorHAnsi"/>
        </w:rPr>
        <w:t>debido a que el modelo de</w:t>
      </w:r>
      <w:r w:rsidRPr="006D28F2">
        <w:rPr>
          <w:rFonts w:asciiTheme="minorHAnsi" w:hAnsiTheme="minorHAnsi" w:cstheme="minorHAnsi"/>
        </w:rPr>
        <w:t xml:space="preserve"> cuestionario </w:t>
      </w:r>
      <w:r>
        <w:rPr>
          <w:rFonts w:asciiTheme="minorHAnsi" w:hAnsiTheme="minorHAnsi" w:cstheme="minorHAnsi"/>
        </w:rPr>
        <w:t>empleado desde la edición de la encuesta en 2015 ha cambiado sustancialmente, excluyendo esta motivación de la práctica deportiva y, por tanto, zanjando</w:t>
      </w:r>
      <w:r w:rsidRPr="006D28F2">
        <w:rPr>
          <w:rFonts w:asciiTheme="minorHAnsi" w:hAnsiTheme="minorHAnsi" w:cstheme="minorHAnsi"/>
        </w:rPr>
        <w:t xml:space="preserve"> la serie histórica de los 35 años anteriores.</w:t>
      </w:r>
    </w:p>
  </w:footnote>
  <w:footnote w:id="8">
    <w:p w14:paraId="3623FC7F" w14:textId="77777777" w:rsidR="008A069C" w:rsidRPr="002E06C7" w:rsidRDefault="008A069C" w:rsidP="00CD50C9">
      <w:pPr>
        <w:pStyle w:val="Textonotapie"/>
        <w:jc w:val="both"/>
        <w:rPr>
          <w:rFonts w:asciiTheme="minorHAnsi" w:hAnsiTheme="minorHAnsi" w:cstheme="minorHAnsi"/>
        </w:rPr>
      </w:pPr>
      <w:r w:rsidRPr="002E06C7">
        <w:rPr>
          <w:rStyle w:val="Refdenotaalpie"/>
          <w:rFonts w:asciiTheme="minorHAnsi" w:hAnsiTheme="minorHAnsi" w:cstheme="minorHAnsi"/>
        </w:rPr>
        <w:footnoteRef/>
      </w:r>
      <w:r w:rsidRPr="002E06C7">
        <w:rPr>
          <w:rFonts w:asciiTheme="minorHAnsi" w:hAnsiTheme="minorHAnsi" w:cstheme="minorHAnsi"/>
        </w:rPr>
        <w:t xml:space="preserve"> </w:t>
      </w:r>
      <w:hyperlink r:id="rId1" w:history="1">
        <w:r w:rsidRPr="002E06C7">
          <w:rPr>
            <w:rStyle w:val="Hipervnculo"/>
            <w:rFonts w:asciiTheme="minorHAnsi" w:eastAsia="PMingLiU" w:hAnsiTheme="minorHAnsi" w:cstheme="minorHAnsi"/>
            <w:i/>
            <w:iCs/>
          </w:rPr>
          <w:t>www.rand.org/randeurope/research/projects/britains-healthiest-workplace.html</w:t>
        </w:r>
      </w:hyperlink>
      <w:r w:rsidRPr="002E06C7">
        <w:rPr>
          <w:rFonts w:asciiTheme="minorHAnsi" w:hAnsiTheme="minorHAnsi" w:cstheme="minorHAnsi"/>
          <w:i/>
          <w:iCs/>
        </w:rPr>
        <w:t xml:space="preserve"> </w:t>
      </w:r>
      <w:r w:rsidRPr="002E06C7">
        <w:rPr>
          <w:rFonts w:asciiTheme="minorHAnsi" w:hAnsiTheme="minorHAnsi" w:cstheme="minorHAnsi"/>
        </w:rPr>
        <w:t xml:space="preserve"> </w:t>
      </w:r>
    </w:p>
  </w:footnote>
  <w:footnote w:id="9">
    <w:p w14:paraId="1D9A6117" w14:textId="77777777" w:rsidR="008A069C" w:rsidRPr="002E06C7" w:rsidRDefault="008A069C" w:rsidP="00CD50C9">
      <w:pPr>
        <w:pStyle w:val="Textonotapie"/>
        <w:jc w:val="both"/>
        <w:rPr>
          <w:rFonts w:asciiTheme="minorHAnsi" w:hAnsiTheme="minorHAnsi" w:cstheme="minorHAnsi"/>
        </w:rPr>
      </w:pPr>
      <w:r w:rsidRPr="002E06C7">
        <w:rPr>
          <w:rStyle w:val="Refdenotaalpie"/>
          <w:rFonts w:asciiTheme="minorHAnsi" w:hAnsiTheme="minorHAnsi" w:cstheme="minorHAnsi"/>
        </w:rPr>
        <w:footnoteRef/>
      </w:r>
      <w:r w:rsidRPr="002E06C7">
        <w:rPr>
          <w:rFonts w:asciiTheme="minorHAnsi" w:hAnsiTheme="minorHAnsi" w:cstheme="minorHAnsi"/>
        </w:rPr>
        <w:t xml:space="preserve"> </w:t>
      </w:r>
      <w:hyperlink r:id="rId2" w:history="1">
        <w:r w:rsidRPr="002E06C7">
          <w:rPr>
            <w:rStyle w:val="Hipervnculo"/>
            <w:rFonts w:asciiTheme="minorHAnsi" w:eastAsia="PMingLiU" w:hAnsiTheme="minorHAnsi" w:cstheme="minorHAnsi"/>
            <w:i/>
            <w:iCs/>
          </w:rPr>
          <w:t>www.rand.org/randeurope/research/projects/asia-s-healthiestworkplace.html</w:t>
        </w:r>
      </w:hyperlink>
      <w:r w:rsidRPr="002E06C7">
        <w:rPr>
          <w:rFonts w:asciiTheme="minorHAnsi" w:hAnsiTheme="minorHAnsi" w:cstheme="minorHAnsi"/>
          <w:i/>
          <w:iCs/>
        </w:rPr>
        <w:t xml:space="preserve"> </w:t>
      </w:r>
      <w:r w:rsidRPr="002E06C7">
        <w:rPr>
          <w:rFonts w:asciiTheme="minorHAnsi" w:hAnsiTheme="minorHAnsi" w:cstheme="minorHAnsi"/>
        </w:rPr>
        <w:t xml:space="preserve"> </w:t>
      </w:r>
    </w:p>
    <w:p w14:paraId="468B77BC" w14:textId="77777777" w:rsidR="008A069C" w:rsidRPr="002E06C7" w:rsidRDefault="008A069C" w:rsidP="00CD50C9">
      <w:pPr>
        <w:pStyle w:val="Textonotapie"/>
      </w:pPr>
    </w:p>
  </w:footnote>
  <w:footnote w:id="10">
    <w:p w14:paraId="5F04D921" w14:textId="77777777" w:rsidR="008A069C" w:rsidRPr="00A01F04" w:rsidRDefault="008A069C" w:rsidP="008A069C">
      <w:pPr>
        <w:rPr>
          <w:sz w:val="20"/>
          <w:szCs w:val="20"/>
        </w:rPr>
      </w:pPr>
      <w:r w:rsidRPr="00A01F04">
        <w:rPr>
          <w:rStyle w:val="Refdenotaalpie"/>
          <w:sz w:val="20"/>
          <w:szCs w:val="20"/>
        </w:rPr>
        <w:footnoteRef/>
      </w:r>
      <w:r w:rsidRPr="00A01F04">
        <w:rPr>
          <w:sz w:val="20"/>
          <w:szCs w:val="20"/>
        </w:rPr>
        <w:t xml:space="preserve"> </w:t>
      </w:r>
      <w:r w:rsidRPr="00A01F04">
        <w:rPr>
          <w:rFonts w:cs="Arial"/>
          <w:sz w:val="20"/>
          <w:szCs w:val="20"/>
          <w:lang w:eastAsia="es-ES"/>
        </w:rPr>
        <w:t>Ayuntamiento</w:t>
      </w:r>
      <w:r w:rsidRPr="00A01F04">
        <w:rPr>
          <w:sz w:val="20"/>
          <w:szCs w:val="20"/>
        </w:rPr>
        <w:t xml:space="preserve"> de Torrelodones. «Plan Ciudad Activa. Una comunidad basada en la calidad de vida y la salud», 9 de marzo de 2023. </w:t>
      </w:r>
      <w:hyperlink r:id="rId3" w:history="1">
        <w:r w:rsidRPr="00A01F04">
          <w:rPr>
            <w:rStyle w:val="Hipervnculo"/>
            <w:sz w:val="20"/>
            <w:szCs w:val="20"/>
          </w:rPr>
          <w:t>https://www.torrelodones.es/noticias/9067-plan-ciudad-activa-comunidad-en-calidad-de-vida-y-salud</w:t>
        </w:r>
      </w:hyperlink>
      <w:r w:rsidRPr="00A01F04">
        <w:rPr>
          <w:sz w:val="20"/>
          <w:szCs w:val="20"/>
        </w:rPr>
        <w:t>.</w:t>
      </w:r>
    </w:p>
    <w:p w14:paraId="580AC158" w14:textId="77777777" w:rsidR="008A069C" w:rsidRDefault="008A069C" w:rsidP="008A069C">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107A4" w14:textId="77777777" w:rsidR="008A069C" w:rsidRDefault="008A069C">
    <w:pPr>
      <w:pStyle w:val="Encabezado"/>
    </w:pPr>
  </w:p>
  <w:p w14:paraId="2F89683B" w14:textId="77777777" w:rsidR="008A069C" w:rsidRDefault="008A06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03E0E1E"/>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5068F3FA"/>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E9C1FFA"/>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C51EAEA8"/>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84288416"/>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19EC866"/>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688C62A"/>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14807A4"/>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646731E"/>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8D08D562"/>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03517E3"/>
    <w:multiLevelType w:val="hybridMultilevel"/>
    <w:tmpl w:val="1F92AC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09C1978"/>
    <w:multiLevelType w:val="hybridMultilevel"/>
    <w:tmpl w:val="6DFCEAB4"/>
    <w:lvl w:ilvl="0" w:tplc="BC6AE05C">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0D230C6"/>
    <w:multiLevelType w:val="hybridMultilevel"/>
    <w:tmpl w:val="B64AAD0A"/>
    <w:lvl w:ilvl="0" w:tplc="CABC2700">
      <w:start w:val="1"/>
      <w:numFmt w:val="bullet"/>
      <w:lvlText w:val="•"/>
      <w:lvlJc w:val="left"/>
      <w:pPr>
        <w:tabs>
          <w:tab w:val="num" w:pos="720"/>
        </w:tabs>
        <w:ind w:left="720" w:hanging="360"/>
      </w:pPr>
      <w:rPr>
        <w:rFonts w:ascii="Arial" w:hAnsi="Arial" w:hint="default"/>
      </w:rPr>
    </w:lvl>
    <w:lvl w:ilvl="1" w:tplc="A446BF92" w:tentative="1">
      <w:start w:val="1"/>
      <w:numFmt w:val="bullet"/>
      <w:lvlText w:val="•"/>
      <w:lvlJc w:val="left"/>
      <w:pPr>
        <w:tabs>
          <w:tab w:val="num" w:pos="1440"/>
        </w:tabs>
        <w:ind w:left="1440" w:hanging="360"/>
      </w:pPr>
      <w:rPr>
        <w:rFonts w:ascii="Arial" w:hAnsi="Arial" w:hint="default"/>
      </w:rPr>
    </w:lvl>
    <w:lvl w:ilvl="2" w:tplc="FAFEA22A" w:tentative="1">
      <w:start w:val="1"/>
      <w:numFmt w:val="bullet"/>
      <w:lvlText w:val="•"/>
      <w:lvlJc w:val="left"/>
      <w:pPr>
        <w:tabs>
          <w:tab w:val="num" w:pos="2160"/>
        </w:tabs>
        <w:ind w:left="2160" w:hanging="360"/>
      </w:pPr>
      <w:rPr>
        <w:rFonts w:ascii="Arial" w:hAnsi="Arial" w:hint="default"/>
      </w:rPr>
    </w:lvl>
    <w:lvl w:ilvl="3" w:tplc="BEE2A00E" w:tentative="1">
      <w:start w:val="1"/>
      <w:numFmt w:val="bullet"/>
      <w:lvlText w:val="•"/>
      <w:lvlJc w:val="left"/>
      <w:pPr>
        <w:tabs>
          <w:tab w:val="num" w:pos="2880"/>
        </w:tabs>
        <w:ind w:left="2880" w:hanging="360"/>
      </w:pPr>
      <w:rPr>
        <w:rFonts w:ascii="Arial" w:hAnsi="Arial" w:hint="default"/>
      </w:rPr>
    </w:lvl>
    <w:lvl w:ilvl="4" w:tplc="DA629256" w:tentative="1">
      <w:start w:val="1"/>
      <w:numFmt w:val="bullet"/>
      <w:lvlText w:val="•"/>
      <w:lvlJc w:val="left"/>
      <w:pPr>
        <w:tabs>
          <w:tab w:val="num" w:pos="3600"/>
        </w:tabs>
        <w:ind w:left="3600" w:hanging="360"/>
      </w:pPr>
      <w:rPr>
        <w:rFonts w:ascii="Arial" w:hAnsi="Arial" w:hint="default"/>
      </w:rPr>
    </w:lvl>
    <w:lvl w:ilvl="5" w:tplc="944C972A" w:tentative="1">
      <w:start w:val="1"/>
      <w:numFmt w:val="bullet"/>
      <w:lvlText w:val="•"/>
      <w:lvlJc w:val="left"/>
      <w:pPr>
        <w:tabs>
          <w:tab w:val="num" w:pos="4320"/>
        </w:tabs>
        <w:ind w:left="4320" w:hanging="360"/>
      </w:pPr>
      <w:rPr>
        <w:rFonts w:ascii="Arial" w:hAnsi="Arial" w:hint="default"/>
      </w:rPr>
    </w:lvl>
    <w:lvl w:ilvl="6" w:tplc="C63A3F8E" w:tentative="1">
      <w:start w:val="1"/>
      <w:numFmt w:val="bullet"/>
      <w:lvlText w:val="•"/>
      <w:lvlJc w:val="left"/>
      <w:pPr>
        <w:tabs>
          <w:tab w:val="num" w:pos="5040"/>
        </w:tabs>
        <w:ind w:left="5040" w:hanging="360"/>
      </w:pPr>
      <w:rPr>
        <w:rFonts w:ascii="Arial" w:hAnsi="Arial" w:hint="default"/>
      </w:rPr>
    </w:lvl>
    <w:lvl w:ilvl="7" w:tplc="879840A8" w:tentative="1">
      <w:start w:val="1"/>
      <w:numFmt w:val="bullet"/>
      <w:lvlText w:val="•"/>
      <w:lvlJc w:val="left"/>
      <w:pPr>
        <w:tabs>
          <w:tab w:val="num" w:pos="5760"/>
        </w:tabs>
        <w:ind w:left="5760" w:hanging="360"/>
      </w:pPr>
      <w:rPr>
        <w:rFonts w:ascii="Arial" w:hAnsi="Arial" w:hint="default"/>
      </w:rPr>
    </w:lvl>
    <w:lvl w:ilvl="8" w:tplc="E750953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22456C3"/>
    <w:multiLevelType w:val="hybridMultilevel"/>
    <w:tmpl w:val="6AC444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25365CA"/>
    <w:multiLevelType w:val="hybridMultilevel"/>
    <w:tmpl w:val="A2BED4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2C9754F"/>
    <w:multiLevelType w:val="hybridMultilevel"/>
    <w:tmpl w:val="965246EC"/>
    <w:lvl w:ilvl="0" w:tplc="FFFFFFFF">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0C0A0003">
      <w:start w:val="1"/>
      <w:numFmt w:val="bullet"/>
      <w:lvlText w:val="o"/>
      <w:lvlJc w:val="left"/>
      <w:pPr>
        <w:ind w:left="2160" w:hanging="360"/>
      </w:pPr>
      <w:rPr>
        <w:rFonts w:ascii="Courier New" w:hAnsi="Courier New" w:cs="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05AD7B07"/>
    <w:multiLevelType w:val="hybridMultilevel"/>
    <w:tmpl w:val="FC86616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06C56DE0"/>
    <w:multiLevelType w:val="hybridMultilevel"/>
    <w:tmpl w:val="024A2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74C2280"/>
    <w:multiLevelType w:val="hybridMultilevel"/>
    <w:tmpl w:val="A62EA1F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08321949"/>
    <w:multiLevelType w:val="hybridMultilevel"/>
    <w:tmpl w:val="74369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87C3489"/>
    <w:multiLevelType w:val="hybridMultilevel"/>
    <w:tmpl w:val="713C7A8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0AC318A0"/>
    <w:multiLevelType w:val="hybridMultilevel"/>
    <w:tmpl w:val="D5FE2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C7F25C6"/>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23" w15:restartNumberingAfterBreak="0">
    <w:nsid w:val="0C8327E5"/>
    <w:multiLevelType w:val="hybridMultilevel"/>
    <w:tmpl w:val="5C3AAF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0C9A17D0"/>
    <w:multiLevelType w:val="hybridMultilevel"/>
    <w:tmpl w:val="8100591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0DBC19FE"/>
    <w:multiLevelType w:val="hybridMultilevel"/>
    <w:tmpl w:val="5218C0AC"/>
    <w:lvl w:ilvl="0" w:tplc="FC1662EC">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0DE53837"/>
    <w:multiLevelType w:val="hybridMultilevel"/>
    <w:tmpl w:val="BDF25D72"/>
    <w:lvl w:ilvl="0" w:tplc="63066A5A">
      <w:start w:val="4"/>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0DFA6BA9"/>
    <w:multiLevelType w:val="hybridMultilevel"/>
    <w:tmpl w:val="1B26C8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E200610"/>
    <w:multiLevelType w:val="hybridMultilevel"/>
    <w:tmpl w:val="6C4C03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F2EEB63"/>
    <w:multiLevelType w:val="hybridMultilevel"/>
    <w:tmpl w:val="E8689E12"/>
    <w:lvl w:ilvl="0" w:tplc="BC6AE05C">
      <w:start w:val="1"/>
      <w:numFmt w:val="bullet"/>
      <w:lvlText w:val="-"/>
      <w:lvlJc w:val="left"/>
      <w:pPr>
        <w:ind w:left="720" w:hanging="360"/>
      </w:pPr>
      <w:rPr>
        <w:rFonts w:ascii="Calibri" w:hAnsi="Calibri" w:hint="default"/>
      </w:rPr>
    </w:lvl>
    <w:lvl w:ilvl="1" w:tplc="EEE2E9DE">
      <w:start w:val="1"/>
      <w:numFmt w:val="bullet"/>
      <w:lvlText w:val="o"/>
      <w:lvlJc w:val="left"/>
      <w:pPr>
        <w:ind w:left="1440" w:hanging="360"/>
      </w:pPr>
      <w:rPr>
        <w:rFonts w:ascii="Courier New" w:hAnsi="Courier New" w:hint="default"/>
      </w:rPr>
    </w:lvl>
    <w:lvl w:ilvl="2" w:tplc="7B945E68">
      <w:start w:val="1"/>
      <w:numFmt w:val="bullet"/>
      <w:lvlText w:val=""/>
      <w:lvlJc w:val="left"/>
      <w:pPr>
        <w:ind w:left="2160" w:hanging="360"/>
      </w:pPr>
      <w:rPr>
        <w:rFonts w:ascii="Wingdings" w:hAnsi="Wingdings" w:hint="default"/>
      </w:rPr>
    </w:lvl>
    <w:lvl w:ilvl="3" w:tplc="56C0825A">
      <w:start w:val="1"/>
      <w:numFmt w:val="bullet"/>
      <w:lvlText w:val=""/>
      <w:lvlJc w:val="left"/>
      <w:pPr>
        <w:ind w:left="2880" w:hanging="360"/>
      </w:pPr>
      <w:rPr>
        <w:rFonts w:ascii="Symbol" w:hAnsi="Symbol" w:hint="default"/>
      </w:rPr>
    </w:lvl>
    <w:lvl w:ilvl="4" w:tplc="15908EA4">
      <w:start w:val="1"/>
      <w:numFmt w:val="bullet"/>
      <w:lvlText w:val="o"/>
      <w:lvlJc w:val="left"/>
      <w:pPr>
        <w:ind w:left="3600" w:hanging="360"/>
      </w:pPr>
      <w:rPr>
        <w:rFonts w:ascii="Courier New" w:hAnsi="Courier New" w:hint="default"/>
      </w:rPr>
    </w:lvl>
    <w:lvl w:ilvl="5" w:tplc="BBE0F200">
      <w:start w:val="1"/>
      <w:numFmt w:val="bullet"/>
      <w:lvlText w:val=""/>
      <w:lvlJc w:val="left"/>
      <w:pPr>
        <w:ind w:left="4320" w:hanging="360"/>
      </w:pPr>
      <w:rPr>
        <w:rFonts w:ascii="Wingdings" w:hAnsi="Wingdings" w:hint="default"/>
      </w:rPr>
    </w:lvl>
    <w:lvl w:ilvl="6" w:tplc="7A7A07C6">
      <w:start w:val="1"/>
      <w:numFmt w:val="bullet"/>
      <w:lvlText w:val=""/>
      <w:lvlJc w:val="left"/>
      <w:pPr>
        <w:ind w:left="5040" w:hanging="360"/>
      </w:pPr>
      <w:rPr>
        <w:rFonts w:ascii="Symbol" w:hAnsi="Symbol" w:hint="default"/>
      </w:rPr>
    </w:lvl>
    <w:lvl w:ilvl="7" w:tplc="7ACC4A42">
      <w:start w:val="1"/>
      <w:numFmt w:val="bullet"/>
      <w:lvlText w:val="o"/>
      <w:lvlJc w:val="left"/>
      <w:pPr>
        <w:ind w:left="5760" w:hanging="360"/>
      </w:pPr>
      <w:rPr>
        <w:rFonts w:ascii="Courier New" w:hAnsi="Courier New" w:hint="default"/>
      </w:rPr>
    </w:lvl>
    <w:lvl w:ilvl="8" w:tplc="453452F0">
      <w:start w:val="1"/>
      <w:numFmt w:val="bullet"/>
      <w:lvlText w:val=""/>
      <w:lvlJc w:val="left"/>
      <w:pPr>
        <w:ind w:left="6480" w:hanging="360"/>
      </w:pPr>
      <w:rPr>
        <w:rFonts w:ascii="Wingdings" w:hAnsi="Wingdings" w:hint="default"/>
      </w:rPr>
    </w:lvl>
  </w:abstractNum>
  <w:abstractNum w:abstractNumId="30" w15:restartNumberingAfterBreak="0">
    <w:nsid w:val="0F8754DA"/>
    <w:multiLevelType w:val="hybridMultilevel"/>
    <w:tmpl w:val="09F426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2F74100"/>
    <w:multiLevelType w:val="hybridMultilevel"/>
    <w:tmpl w:val="BF4419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13654131"/>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33" w15:restartNumberingAfterBreak="0">
    <w:nsid w:val="14053335"/>
    <w:multiLevelType w:val="hybridMultilevel"/>
    <w:tmpl w:val="8C9EFD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4F23804"/>
    <w:multiLevelType w:val="hybridMultilevel"/>
    <w:tmpl w:val="A614C7F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15726D35"/>
    <w:multiLevelType w:val="hybridMultilevel"/>
    <w:tmpl w:val="B4D854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16FF7B10"/>
    <w:multiLevelType w:val="multilevel"/>
    <w:tmpl w:val="051C6A46"/>
    <w:lvl w:ilvl="0">
      <w:start w:val="1"/>
      <w:numFmt w:val="decimal"/>
      <w:lvlText w:val="%1."/>
      <w:lvlJc w:val="left"/>
      <w:pPr>
        <w:ind w:left="644" w:hanging="36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7" w15:restartNumberingAfterBreak="0">
    <w:nsid w:val="1718322D"/>
    <w:multiLevelType w:val="hybridMultilevel"/>
    <w:tmpl w:val="6414D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8455262"/>
    <w:multiLevelType w:val="multilevel"/>
    <w:tmpl w:val="7758D4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192E3F8A"/>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40" w15:restartNumberingAfterBreak="0">
    <w:nsid w:val="19EC26DD"/>
    <w:multiLevelType w:val="hybridMultilevel"/>
    <w:tmpl w:val="D5CA6520"/>
    <w:lvl w:ilvl="0" w:tplc="0809000F">
      <w:start w:val="1"/>
      <w:numFmt w:val="decimal"/>
      <w:lvlText w:val="%1."/>
      <w:lvlJc w:val="left"/>
      <w:pPr>
        <w:ind w:left="720" w:hanging="360"/>
      </w:pPr>
    </w:lvl>
    <w:lvl w:ilvl="1" w:tplc="F35CB9AC">
      <w:start w:val="1"/>
      <w:numFmt w:val="lowerLetter"/>
      <w:lvlText w:val="%2)"/>
      <w:lvlJc w:val="left"/>
      <w:pPr>
        <w:ind w:left="1620" w:hanging="54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AB370D5"/>
    <w:multiLevelType w:val="hybridMultilevel"/>
    <w:tmpl w:val="FC74A7B4"/>
    <w:lvl w:ilvl="0" w:tplc="0809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15:restartNumberingAfterBreak="0">
    <w:nsid w:val="1ABE24A0"/>
    <w:multiLevelType w:val="hybridMultilevel"/>
    <w:tmpl w:val="B37ADF1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1AD168DC"/>
    <w:multiLevelType w:val="hybridMultilevel"/>
    <w:tmpl w:val="3D1A8B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B5842B1"/>
    <w:multiLevelType w:val="hybridMultilevel"/>
    <w:tmpl w:val="9752C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C510BF2"/>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46" w15:restartNumberingAfterBreak="0">
    <w:nsid w:val="1CD249FF"/>
    <w:multiLevelType w:val="hybridMultilevel"/>
    <w:tmpl w:val="F042D7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1D7376D7"/>
    <w:multiLevelType w:val="hybridMultilevel"/>
    <w:tmpl w:val="E57AFC8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8" w15:restartNumberingAfterBreak="0">
    <w:nsid w:val="1D8104B3"/>
    <w:multiLevelType w:val="hybridMultilevel"/>
    <w:tmpl w:val="07B63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DC413F0"/>
    <w:multiLevelType w:val="hybridMultilevel"/>
    <w:tmpl w:val="35AC93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1DD52875"/>
    <w:multiLevelType w:val="hybridMultilevel"/>
    <w:tmpl w:val="B8C01DD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15:restartNumberingAfterBreak="0">
    <w:nsid w:val="1EEB5527"/>
    <w:multiLevelType w:val="hybridMultilevel"/>
    <w:tmpl w:val="007849A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1F180092"/>
    <w:multiLevelType w:val="hybridMultilevel"/>
    <w:tmpl w:val="031A39D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15:restartNumberingAfterBreak="0">
    <w:nsid w:val="2029713C"/>
    <w:multiLevelType w:val="hybridMultilevel"/>
    <w:tmpl w:val="BF20CF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21237C51"/>
    <w:multiLevelType w:val="hybridMultilevel"/>
    <w:tmpl w:val="EB526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132BB8D"/>
    <w:multiLevelType w:val="hybridMultilevel"/>
    <w:tmpl w:val="858234EE"/>
    <w:lvl w:ilvl="0" w:tplc="15D02A0C">
      <w:start w:val="1"/>
      <w:numFmt w:val="bullet"/>
      <w:lvlText w:val="-"/>
      <w:lvlJc w:val="left"/>
      <w:pPr>
        <w:ind w:left="720" w:hanging="360"/>
      </w:pPr>
      <w:rPr>
        <w:rFonts w:ascii="Calibri" w:hAnsi="Calibri" w:hint="default"/>
      </w:rPr>
    </w:lvl>
    <w:lvl w:ilvl="1" w:tplc="91388C00">
      <w:start w:val="1"/>
      <w:numFmt w:val="bullet"/>
      <w:lvlText w:val="o"/>
      <w:lvlJc w:val="left"/>
      <w:pPr>
        <w:ind w:left="1440" w:hanging="360"/>
      </w:pPr>
      <w:rPr>
        <w:rFonts w:ascii="Courier New" w:hAnsi="Courier New" w:hint="default"/>
      </w:rPr>
    </w:lvl>
    <w:lvl w:ilvl="2" w:tplc="885EF4F4">
      <w:start w:val="1"/>
      <w:numFmt w:val="bullet"/>
      <w:lvlText w:val=""/>
      <w:lvlJc w:val="left"/>
      <w:pPr>
        <w:ind w:left="2160" w:hanging="360"/>
      </w:pPr>
      <w:rPr>
        <w:rFonts w:ascii="Wingdings" w:hAnsi="Wingdings" w:hint="default"/>
      </w:rPr>
    </w:lvl>
    <w:lvl w:ilvl="3" w:tplc="C4208EA0">
      <w:start w:val="1"/>
      <w:numFmt w:val="bullet"/>
      <w:lvlText w:val=""/>
      <w:lvlJc w:val="left"/>
      <w:pPr>
        <w:ind w:left="2880" w:hanging="360"/>
      </w:pPr>
      <w:rPr>
        <w:rFonts w:ascii="Symbol" w:hAnsi="Symbol" w:hint="default"/>
      </w:rPr>
    </w:lvl>
    <w:lvl w:ilvl="4" w:tplc="2FC0662C">
      <w:start w:val="1"/>
      <w:numFmt w:val="bullet"/>
      <w:lvlText w:val="o"/>
      <w:lvlJc w:val="left"/>
      <w:pPr>
        <w:ind w:left="3600" w:hanging="360"/>
      </w:pPr>
      <w:rPr>
        <w:rFonts w:ascii="Courier New" w:hAnsi="Courier New" w:hint="default"/>
      </w:rPr>
    </w:lvl>
    <w:lvl w:ilvl="5" w:tplc="3C586B70">
      <w:start w:val="1"/>
      <w:numFmt w:val="bullet"/>
      <w:lvlText w:val=""/>
      <w:lvlJc w:val="left"/>
      <w:pPr>
        <w:ind w:left="4320" w:hanging="360"/>
      </w:pPr>
      <w:rPr>
        <w:rFonts w:ascii="Wingdings" w:hAnsi="Wingdings" w:hint="default"/>
      </w:rPr>
    </w:lvl>
    <w:lvl w:ilvl="6" w:tplc="142EA44A">
      <w:start w:val="1"/>
      <w:numFmt w:val="bullet"/>
      <w:lvlText w:val=""/>
      <w:lvlJc w:val="left"/>
      <w:pPr>
        <w:ind w:left="5040" w:hanging="360"/>
      </w:pPr>
      <w:rPr>
        <w:rFonts w:ascii="Symbol" w:hAnsi="Symbol" w:hint="default"/>
      </w:rPr>
    </w:lvl>
    <w:lvl w:ilvl="7" w:tplc="1E04C5EE">
      <w:start w:val="1"/>
      <w:numFmt w:val="bullet"/>
      <w:lvlText w:val="o"/>
      <w:lvlJc w:val="left"/>
      <w:pPr>
        <w:ind w:left="5760" w:hanging="360"/>
      </w:pPr>
      <w:rPr>
        <w:rFonts w:ascii="Courier New" w:hAnsi="Courier New" w:hint="default"/>
      </w:rPr>
    </w:lvl>
    <w:lvl w:ilvl="8" w:tplc="EFAE6FE6">
      <w:start w:val="1"/>
      <w:numFmt w:val="bullet"/>
      <w:lvlText w:val=""/>
      <w:lvlJc w:val="left"/>
      <w:pPr>
        <w:ind w:left="6480" w:hanging="360"/>
      </w:pPr>
      <w:rPr>
        <w:rFonts w:ascii="Wingdings" w:hAnsi="Wingdings" w:hint="default"/>
      </w:rPr>
    </w:lvl>
  </w:abstractNum>
  <w:abstractNum w:abstractNumId="56" w15:restartNumberingAfterBreak="0">
    <w:nsid w:val="21D21C6B"/>
    <w:multiLevelType w:val="hybridMultilevel"/>
    <w:tmpl w:val="E77C2902"/>
    <w:lvl w:ilvl="0" w:tplc="87622602">
      <w:start w:val="1"/>
      <w:numFmt w:val="decimal"/>
      <w:lvlText w:val="%1."/>
      <w:lvlJc w:val="left"/>
      <w:pPr>
        <w:ind w:left="720" w:hanging="360"/>
      </w:pPr>
      <w:rPr>
        <w:rFonts w:asciiTheme="minorHAnsi" w:eastAsiaTheme="minorHAnsi" w:hAnsiTheme="minorHAnsi" w:cstheme="minorHAnsi"/>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221B11E3"/>
    <w:multiLevelType w:val="hybridMultilevel"/>
    <w:tmpl w:val="C79E6D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22624185"/>
    <w:multiLevelType w:val="hybridMultilevel"/>
    <w:tmpl w:val="9BF486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230B1BDA"/>
    <w:multiLevelType w:val="hybridMultilevel"/>
    <w:tmpl w:val="55CAB1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3B62A0E"/>
    <w:multiLevelType w:val="hybridMultilevel"/>
    <w:tmpl w:val="1B88A7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270E0410"/>
    <w:multiLevelType w:val="hybridMultilevel"/>
    <w:tmpl w:val="3576488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2" w15:restartNumberingAfterBreak="0">
    <w:nsid w:val="275D476D"/>
    <w:multiLevelType w:val="multilevel"/>
    <w:tmpl w:val="0C0A0025"/>
    <w:lvl w:ilvl="0">
      <w:start w:val="1"/>
      <w:numFmt w:val="decimal"/>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3" w15:restartNumberingAfterBreak="0">
    <w:nsid w:val="294F6783"/>
    <w:multiLevelType w:val="hybridMultilevel"/>
    <w:tmpl w:val="D4183CA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4" w15:restartNumberingAfterBreak="0">
    <w:nsid w:val="29C53740"/>
    <w:multiLevelType w:val="hybridMultilevel"/>
    <w:tmpl w:val="A4BC6196"/>
    <w:lvl w:ilvl="0" w:tplc="FFFFFFFF">
      <w:start w:val="1"/>
      <w:numFmt w:val="bullet"/>
      <w:lvlText w:val=""/>
      <w:lvlJc w:val="left"/>
      <w:pPr>
        <w:ind w:left="720" w:hanging="360"/>
      </w:pPr>
      <w:rPr>
        <w:rFonts w:ascii="Wingdings" w:hAnsi="Wingdings" w:hint="default"/>
      </w:rPr>
    </w:lvl>
    <w:lvl w:ilvl="1" w:tplc="040A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2B0B78C2"/>
    <w:multiLevelType w:val="hybridMultilevel"/>
    <w:tmpl w:val="EA02114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6" w15:restartNumberingAfterBreak="0">
    <w:nsid w:val="2C7D690B"/>
    <w:multiLevelType w:val="hybridMultilevel"/>
    <w:tmpl w:val="42E26B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2D5F5965"/>
    <w:multiLevelType w:val="hybridMultilevel"/>
    <w:tmpl w:val="61B02D8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8" w15:restartNumberingAfterBreak="0">
    <w:nsid w:val="2DF128D2"/>
    <w:multiLevelType w:val="hybridMultilevel"/>
    <w:tmpl w:val="7ECA6BA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15:restartNumberingAfterBreak="0">
    <w:nsid w:val="2E58335A"/>
    <w:multiLevelType w:val="hybridMultilevel"/>
    <w:tmpl w:val="F94A45C4"/>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32EE09C0"/>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71" w15:restartNumberingAfterBreak="0">
    <w:nsid w:val="33550AF8"/>
    <w:multiLevelType w:val="hybridMultilevel"/>
    <w:tmpl w:val="1ADE3A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35D73508"/>
    <w:multiLevelType w:val="hybridMultilevel"/>
    <w:tmpl w:val="572ED082"/>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3" w15:restartNumberingAfterBreak="0">
    <w:nsid w:val="36120268"/>
    <w:multiLevelType w:val="hybridMultilevel"/>
    <w:tmpl w:val="0A9E8F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383632A4"/>
    <w:multiLevelType w:val="hybridMultilevel"/>
    <w:tmpl w:val="DFF2C61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5" w15:restartNumberingAfterBreak="0">
    <w:nsid w:val="387A5469"/>
    <w:multiLevelType w:val="hybridMultilevel"/>
    <w:tmpl w:val="4F46A8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8DA3E85"/>
    <w:multiLevelType w:val="hybridMultilevel"/>
    <w:tmpl w:val="6C044AEC"/>
    <w:lvl w:ilvl="0" w:tplc="63066A5A">
      <w:start w:val="4"/>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7" w15:restartNumberingAfterBreak="0">
    <w:nsid w:val="38EFD085"/>
    <w:multiLevelType w:val="hybridMultilevel"/>
    <w:tmpl w:val="6E66C74C"/>
    <w:lvl w:ilvl="0" w:tplc="45BC9EC6">
      <w:start w:val="1"/>
      <w:numFmt w:val="bullet"/>
      <w:lvlText w:val="-"/>
      <w:lvlJc w:val="left"/>
      <w:pPr>
        <w:ind w:left="720" w:hanging="360"/>
      </w:pPr>
      <w:rPr>
        <w:rFonts w:ascii="Calibri" w:hAnsi="Calibri" w:hint="default"/>
      </w:rPr>
    </w:lvl>
    <w:lvl w:ilvl="1" w:tplc="B19A0B0A">
      <w:start w:val="1"/>
      <w:numFmt w:val="bullet"/>
      <w:lvlText w:val="o"/>
      <w:lvlJc w:val="left"/>
      <w:pPr>
        <w:ind w:left="1440" w:hanging="360"/>
      </w:pPr>
      <w:rPr>
        <w:rFonts w:ascii="Courier New" w:hAnsi="Courier New" w:hint="default"/>
      </w:rPr>
    </w:lvl>
    <w:lvl w:ilvl="2" w:tplc="C834FB40">
      <w:start w:val="1"/>
      <w:numFmt w:val="bullet"/>
      <w:lvlText w:val=""/>
      <w:lvlJc w:val="left"/>
      <w:pPr>
        <w:ind w:left="2160" w:hanging="360"/>
      </w:pPr>
      <w:rPr>
        <w:rFonts w:ascii="Wingdings" w:hAnsi="Wingdings" w:hint="default"/>
      </w:rPr>
    </w:lvl>
    <w:lvl w:ilvl="3" w:tplc="927C0D36">
      <w:start w:val="1"/>
      <w:numFmt w:val="bullet"/>
      <w:lvlText w:val=""/>
      <w:lvlJc w:val="left"/>
      <w:pPr>
        <w:ind w:left="2880" w:hanging="360"/>
      </w:pPr>
      <w:rPr>
        <w:rFonts w:ascii="Symbol" w:hAnsi="Symbol" w:hint="default"/>
      </w:rPr>
    </w:lvl>
    <w:lvl w:ilvl="4" w:tplc="555E81BA">
      <w:start w:val="1"/>
      <w:numFmt w:val="bullet"/>
      <w:lvlText w:val="o"/>
      <w:lvlJc w:val="left"/>
      <w:pPr>
        <w:ind w:left="3600" w:hanging="360"/>
      </w:pPr>
      <w:rPr>
        <w:rFonts w:ascii="Courier New" w:hAnsi="Courier New" w:hint="default"/>
      </w:rPr>
    </w:lvl>
    <w:lvl w:ilvl="5" w:tplc="2BA4AD40">
      <w:start w:val="1"/>
      <w:numFmt w:val="bullet"/>
      <w:lvlText w:val=""/>
      <w:lvlJc w:val="left"/>
      <w:pPr>
        <w:ind w:left="4320" w:hanging="360"/>
      </w:pPr>
      <w:rPr>
        <w:rFonts w:ascii="Wingdings" w:hAnsi="Wingdings" w:hint="default"/>
      </w:rPr>
    </w:lvl>
    <w:lvl w:ilvl="6" w:tplc="1876C22C">
      <w:start w:val="1"/>
      <w:numFmt w:val="bullet"/>
      <w:lvlText w:val=""/>
      <w:lvlJc w:val="left"/>
      <w:pPr>
        <w:ind w:left="5040" w:hanging="360"/>
      </w:pPr>
      <w:rPr>
        <w:rFonts w:ascii="Symbol" w:hAnsi="Symbol" w:hint="default"/>
      </w:rPr>
    </w:lvl>
    <w:lvl w:ilvl="7" w:tplc="95D21650">
      <w:start w:val="1"/>
      <w:numFmt w:val="bullet"/>
      <w:lvlText w:val="o"/>
      <w:lvlJc w:val="left"/>
      <w:pPr>
        <w:ind w:left="5760" w:hanging="360"/>
      </w:pPr>
      <w:rPr>
        <w:rFonts w:ascii="Courier New" w:hAnsi="Courier New" w:hint="default"/>
      </w:rPr>
    </w:lvl>
    <w:lvl w:ilvl="8" w:tplc="4380EAC4">
      <w:start w:val="1"/>
      <w:numFmt w:val="bullet"/>
      <w:lvlText w:val=""/>
      <w:lvlJc w:val="left"/>
      <w:pPr>
        <w:ind w:left="6480" w:hanging="360"/>
      </w:pPr>
      <w:rPr>
        <w:rFonts w:ascii="Wingdings" w:hAnsi="Wingdings" w:hint="default"/>
      </w:rPr>
    </w:lvl>
  </w:abstractNum>
  <w:abstractNum w:abstractNumId="78" w15:restartNumberingAfterBreak="0">
    <w:nsid w:val="3A260268"/>
    <w:multiLevelType w:val="hybridMultilevel"/>
    <w:tmpl w:val="AC0610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A9947EF"/>
    <w:multiLevelType w:val="hybridMultilevel"/>
    <w:tmpl w:val="DF161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BBE272A"/>
    <w:multiLevelType w:val="hybridMultilevel"/>
    <w:tmpl w:val="6310DB3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1" w15:restartNumberingAfterBreak="0">
    <w:nsid w:val="3C2B6EB3"/>
    <w:multiLevelType w:val="hybridMultilevel"/>
    <w:tmpl w:val="77E4ECEA"/>
    <w:lvl w:ilvl="0" w:tplc="0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3CBB23B2"/>
    <w:multiLevelType w:val="hybridMultilevel"/>
    <w:tmpl w:val="472828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3DBD492D"/>
    <w:multiLevelType w:val="hybridMultilevel"/>
    <w:tmpl w:val="00342E1A"/>
    <w:lvl w:ilvl="0" w:tplc="BC6AE05C">
      <w:start w:val="1"/>
      <w:numFmt w:val="bullet"/>
      <w:lvlText w:val="-"/>
      <w:lvlJc w:val="left"/>
      <w:pPr>
        <w:ind w:left="720" w:hanging="360"/>
      </w:pPr>
      <w:rPr>
        <w:rFonts w:ascii="Calibri"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3EF57E00"/>
    <w:multiLevelType w:val="hybridMultilevel"/>
    <w:tmpl w:val="2A68436C"/>
    <w:lvl w:ilvl="0" w:tplc="040A0015">
      <w:start w:val="1"/>
      <w:numFmt w:val="upp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5" w15:restartNumberingAfterBreak="0">
    <w:nsid w:val="3F0432B4"/>
    <w:multiLevelType w:val="hybridMultilevel"/>
    <w:tmpl w:val="81F0436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6" w15:restartNumberingAfterBreak="0">
    <w:nsid w:val="3F3D4E18"/>
    <w:multiLevelType w:val="hybridMultilevel"/>
    <w:tmpl w:val="AC0610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402C2380"/>
    <w:multiLevelType w:val="hybridMultilevel"/>
    <w:tmpl w:val="DF02067E"/>
    <w:lvl w:ilvl="0" w:tplc="0809000F">
      <w:start w:val="1"/>
      <w:numFmt w:val="decimal"/>
      <w:lvlText w:val="%1."/>
      <w:lvlJc w:val="left"/>
      <w:pPr>
        <w:ind w:left="720" w:hanging="360"/>
      </w:pPr>
    </w:lvl>
    <w:lvl w:ilvl="1" w:tplc="5F862D42">
      <w:start w:val="1"/>
      <w:numFmt w:val="lowerLetter"/>
      <w:lvlText w:val="%2)"/>
      <w:lvlJc w:val="left"/>
      <w:pPr>
        <w:ind w:left="1440" w:hanging="360"/>
      </w:pPr>
      <w:rPr>
        <w:rFonts w:eastAsiaTheme="minorHAnsi" w:hint="default"/>
        <w:i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10D521D"/>
    <w:multiLevelType w:val="hybridMultilevel"/>
    <w:tmpl w:val="3BB0303C"/>
    <w:lvl w:ilvl="0" w:tplc="B68A3EDE">
      <w:start w:val="1"/>
      <w:numFmt w:val="bullet"/>
      <w:pStyle w:val="TDC9"/>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9" w15:restartNumberingAfterBreak="0">
    <w:nsid w:val="41B45B3A"/>
    <w:multiLevelType w:val="hybridMultilevel"/>
    <w:tmpl w:val="37620C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1FE68C4"/>
    <w:multiLevelType w:val="multilevel"/>
    <w:tmpl w:val="A3405386"/>
    <w:lvl w:ilvl="0">
      <w:start w:val="1"/>
      <w:numFmt w:val="decimal"/>
      <w:lvlText w:val="%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1" w15:restartNumberingAfterBreak="0">
    <w:nsid w:val="431F3D8F"/>
    <w:multiLevelType w:val="multilevel"/>
    <w:tmpl w:val="051C6A46"/>
    <w:lvl w:ilvl="0">
      <w:start w:val="1"/>
      <w:numFmt w:val="decimal"/>
      <w:lvlText w:val="%1."/>
      <w:lvlJc w:val="left"/>
      <w:pPr>
        <w:ind w:left="760" w:hanging="360"/>
      </w:pPr>
      <w:rPr>
        <w:b/>
      </w:r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92" w15:restartNumberingAfterBreak="0">
    <w:nsid w:val="433F7D94"/>
    <w:multiLevelType w:val="hybridMultilevel"/>
    <w:tmpl w:val="D1180C3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3" w15:restartNumberingAfterBreak="0">
    <w:nsid w:val="44286480"/>
    <w:multiLevelType w:val="hybridMultilevel"/>
    <w:tmpl w:val="B69E480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4" w15:restartNumberingAfterBreak="0">
    <w:nsid w:val="45D65F8B"/>
    <w:multiLevelType w:val="hybridMultilevel"/>
    <w:tmpl w:val="4F46A8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46840528"/>
    <w:multiLevelType w:val="multilevel"/>
    <w:tmpl w:val="EDB00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47722E7A"/>
    <w:multiLevelType w:val="hybridMultilevel"/>
    <w:tmpl w:val="174641BC"/>
    <w:lvl w:ilvl="0" w:tplc="040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48150807"/>
    <w:multiLevelType w:val="hybridMultilevel"/>
    <w:tmpl w:val="6BA40AEA"/>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8" w15:restartNumberingAfterBreak="0">
    <w:nsid w:val="4A2E05A6"/>
    <w:multiLevelType w:val="hybridMultilevel"/>
    <w:tmpl w:val="DFC2CB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C494519"/>
    <w:multiLevelType w:val="hybridMultilevel"/>
    <w:tmpl w:val="3522C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4C826229"/>
    <w:multiLevelType w:val="multilevel"/>
    <w:tmpl w:val="186A1ED4"/>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pStyle w:val="titulo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1" w15:restartNumberingAfterBreak="0">
    <w:nsid w:val="4C870C3E"/>
    <w:multiLevelType w:val="hybridMultilevel"/>
    <w:tmpl w:val="BACE27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4D451F44"/>
    <w:multiLevelType w:val="hybridMultilevel"/>
    <w:tmpl w:val="4F7247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4D4D3E46"/>
    <w:multiLevelType w:val="hybridMultilevel"/>
    <w:tmpl w:val="A2C62F80"/>
    <w:lvl w:ilvl="0" w:tplc="63066A5A">
      <w:start w:val="4"/>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4" w15:restartNumberingAfterBreak="0">
    <w:nsid w:val="4F496B06"/>
    <w:multiLevelType w:val="hybridMultilevel"/>
    <w:tmpl w:val="383CC2E2"/>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5" w15:restartNumberingAfterBreak="0">
    <w:nsid w:val="4FC62CF3"/>
    <w:multiLevelType w:val="hybridMultilevel"/>
    <w:tmpl w:val="C2A81FE6"/>
    <w:lvl w:ilvl="0" w:tplc="126E6232">
      <w:start w:val="1"/>
      <w:numFmt w:val="decimal"/>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500C1AAB"/>
    <w:multiLevelType w:val="hybridMultilevel"/>
    <w:tmpl w:val="7DA257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15:restartNumberingAfterBreak="0">
    <w:nsid w:val="50D13229"/>
    <w:multiLevelType w:val="hybridMultilevel"/>
    <w:tmpl w:val="F7A661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15:restartNumberingAfterBreak="0">
    <w:nsid w:val="52096C2B"/>
    <w:multiLevelType w:val="hybridMultilevel"/>
    <w:tmpl w:val="1A9A0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35934EA"/>
    <w:multiLevelType w:val="hybridMultilevel"/>
    <w:tmpl w:val="5D58773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0" w15:restartNumberingAfterBreak="0">
    <w:nsid w:val="53F229F1"/>
    <w:multiLevelType w:val="hybridMultilevel"/>
    <w:tmpl w:val="C038C56C"/>
    <w:lvl w:ilvl="0" w:tplc="04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52F2173"/>
    <w:multiLevelType w:val="hybridMultilevel"/>
    <w:tmpl w:val="056EB49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2" w15:restartNumberingAfterBreak="0">
    <w:nsid w:val="5642639B"/>
    <w:multiLevelType w:val="multilevel"/>
    <w:tmpl w:val="E6DAC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57ED784C"/>
    <w:multiLevelType w:val="hybridMultilevel"/>
    <w:tmpl w:val="8FA894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5A24618A"/>
    <w:multiLevelType w:val="hybridMultilevel"/>
    <w:tmpl w:val="7D8CF3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5A443F2B"/>
    <w:multiLevelType w:val="hybridMultilevel"/>
    <w:tmpl w:val="98C08A4E"/>
    <w:lvl w:ilvl="0" w:tplc="FFFFFFFF">
      <w:start w:val="1"/>
      <w:numFmt w:val="bullet"/>
      <w:lvlText w:val=""/>
      <w:lvlJc w:val="left"/>
      <w:pPr>
        <w:ind w:left="720" w:hanging="360"/>
      </w:pPr>
      <w:rPr>
        <w:rFonts w:ascii="Wingdings" w:hAnsi="Wingdings" w:hint="default"/>
      </w:rPr>
    </w:lvl>
    <w:lvl w:ilvl="1" w:tplc="63066A5A">
      <w:start w:val="4"/>
      <w:numFmt w:val="bullet"/>
      <w:lvlText w:val="-"/>
      <w:lvlJc w:val="left"/>
      <w:pPr>
        <w:ind w:left="1440" w:hanging="360"/>
      </w:pPr>
      <w:rPr>
        <w:rFonts w:ascii="Times New Roman" w:eastAsiaTheme="minorHAnsi"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5A827EA0"/>
    <w:multiLevelType w:val="hybridMultilevel"/>
    <w:tmpl w:val="22A21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ABE7D28"/>
    <w:multiLevelType w:val="hybridMultilevel"/>
    <w:tmpl w:val="54B2BC82"/>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5CD81855"/>
    <w:multiLevelType w:val="hybridMultilevel"/>
    <w:tmpl w:val="179073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15:restartNumberingAfterBreak="0">
    <w:nsid w:val="5F405AEE"/>
    <w:multiLevelType w:val="hybridMultilevel"/>
    <w:tmpl w:val="C1C648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15:restartNumberingAfterBreak="0">
    <w:nsid w:val="60F00FD3"/>
    <w:multiLevelType w:val="hybridMultilevel"/>
    <w:tmpl w:val="0C48807A"/>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62214C5C"/>
    <w:multiLevelType w:val="hybridMultilevel"/>
    <w:tmpl w:val="7388C80E"/>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2" w15:restartNumberingAfterBreak="0">
    <w:nsid w:val="628378C5"/>
    <w:multiLevelType w:val="hybridMultilevel"/>
    <w:tmpl w:val="CB60C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2E6195A"/>
    <w:multiLevelType w:val="hybridMultilevel"/>
    <w:tmpl w:val="203C01F0"/>
    <w:lvl w:ilvl="0" w:tplc="9A2C3A12">
      <w:start w:val="1"/>
      <w:numFmt w:val="bullet"/>
      <w:lvlText w:val="-"/>
      <w:lvlJc w:val="left"/>
      <w:pPr>
        <w:ind w:left="720" w:hanging="360"/>
      </w:pPr>
      <w:rPr>
        <w:rFonts w:ascii="Calibri" w:hAnsi="Calibri" w:hint="default"/>
      </w:rPr>
    </w:lvl>
    <w:lvl w:ilvl="1" w:tplc="2E10601A">
      <w:start w:val="1"/>
      <w:numFmt w:val="bullet"/>
      <w:lvlText w:val="o"/>
      <w:lvlJc w:val="left"/>
      <w:pPr>
        <w:ind w:left="1440" w:hanging="360"/>
      </w:pPr>
      <w:rPr>
        <w:rFonts w:ascii="Courier New" w:hAnsi="Courier New" w:hint="default"/>
      </w:rPr>
    </w:lvl>
    <w:lvl w:ilvl="2" w:tplc="551C7E40">
      <w:start w:val="1"/>
      <w:numFmt w:val="bullet"/>
      <w:lvlText w:val=""/>
      <w:lvlJc w:val="left"/>
      <w:pPr>
        <w:ind w:left="2160" w:hanging="360"/>
      </w:pPr>
      <w:rPr>
        <w:rFonts w:ascii="Wingdings" w:hAnsi="Wingdings" w:hint="default"/>
      </w:rPr>
    </w:lvl>
    <w:lvl w:ilvl="3" w:tplc="CBCAB6AE">
      <w:start w:val="1"/>
      <w:numFmt w:val="bullet"/>
      <w:lvlText w:val=""/>
      <w:lvlJc w:val="left"/>
      <w:pPr>
        <w:ind w:left="2880" w:hanging="360"/>
      </w:pPr>
      <w:rPr>
        <w:rFonts w:ascii="Symbol" w:hAnsi="Symbol" w:hint="default"/>
      </w:rPr>
    </w:lvl>
    <w:lvl w:ilvl="4" w:tplc="BBFC605C">
      <w:start w:val="1"/>
      <w:numFmt w:val="bullet"/>
      <w:lvlText w:val="o"/>
      <w:lvlJc w:val="left"/>
      <w:pPr>
        <w:ind w:left="3600" w:hanging="360"/>
      </w:pPr>
      <w:rPr>
        <w:rFonts w:ascii="Courier New" w:hAnsi="Courier New" w:hint="default"/>
      </w:rPr>
    </w:lvl>
    <w:lvl w:ilvl="5" w:tplc="3C2A8EC4">
      <w:start w:val="1"/>
      <w:numFmt w:val="bullet"/>
      <w:lvlText w:val=""/>
      <w:lvlJc w:val="left"/>
      <w:pPr>
        <w:ind w:left="4320" w:hanging="360"/>
      </w:pPr>
      <w:rPr>
        <w:rFonts w:ascii="Wingdings" w:hAnsi="Wingdings" w:hint="default"/>
      </w:rPr>
    </w:lvl>
    <w:lvl w:ilvl="6" w:tplc="5E3EEE48">
      <w:start w:val="1"/>
      <w:numFmt w:val="bullet"/>
      <w:lvlText w:val=""/>
      <w:lvlJc w:val="left"/>
      <w:pPr>
        <w:ind w:left="5040" w:hanging="360"/>
      </w:pPr>
      <w:rPr>
        <w:rFonts w:ascii="Symbol" w:hAnsi="Symbol" w:hint="default"/>
      </w:rPr>
    </w:lvl>
    <w:lvl w:ilvl="7" w:tplc="F3CA1F4C">
      <w:start w:val="1"/>
      <w:numFmt w:val="bullet"/>
      <w:lvlText w:val="o"/>
      <w:lvlJc w:val="left"/>
      <w:pPr>
        <w:ind w:left="5760" w:hanging="360"/>
      </w:pPr>
      <w:rPr>
        <w:rFonts w:ascii="Courier New" w:hAnsi="Courier New" w:hint="default"/>
      </w:rPr>
    </w:lvl>
    <w:lvl w:ilvl="8" w:tplc="31A626C4">
      <w:start w:val="1"/>
      <w:numFmt w:val="bullet"/>
      <w:lvlText w:val=""/>
      <w:lvlJc w:val="left"/>
      <w:pPr>
        <w:ind w:left="6480" w:hanging="360"/>
      </w:pPr>
      <w:rPr>
        <w:rFonts w:ascii="Wingdings" w:hAnsi="Wingdings" w:hint="default"/>
      </w:rPr>
    </w:lvl>
  </w:abstractNum>
  <w:abstractNum w:abstractNumId="124" w15:restartNumberingAfterBreak="0">
    <w:nsid w:val="640432FE"/>
    <w:multiLevelType w:val="hybridMultilevel"/>
    <w:tmpl w:val="6814363E"/>
    <w:lvl w:ilvl="0" w:tplc="63066A5A">
      <w:start w:val="4"/>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5" w15:restartNumberingAfterBreak="0">
    <w:nsid w:val="64BC46B8"/>
    <w:multiLevelType w:val="hybridMultilevel"/>
    <w:tmpl w:val="A5FAF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5357205"/>
    <w:multiLevelType w:val="hybridMultilevel"/>
    <w:tmpl w:val="0E344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65AC32F9"/>
    <w:multiLevelType w:val="hybridMultilevel"/>
    <w:tmpl w:val="64E4E6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8" w15:restartNumberingAfterBreak="0">
    <w:nsid w:val="66BD278C"/>
    <w:multiLevelType w:val="hybridMultilevel"/>
    <w:tmpl w:val="9FA04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6D25CEB"/>
    <w:multiLevelType w:val="multilevel"/>
    <w:tmpl w:val="CDE67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672B1AD2"/>
    <w:multiLevelType w:val="hybridMultilevel"/>
    <w:tmpl w:val="1D4AE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8E721E0"/>
    <w:multiLevelType w:val="hybridMultilevel"/>
    <w:tmpl w:val="87BCD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A7F610B"/>
    <w:multiLevelType w:val="multilevel"/>
    <w:tmpl w:val="4C8ACD18"/>
    <w:lvl w:ilvl="0">
      <w:start w:val="1"/>
      <w:numFmt w:val="decimal"/>
      <w:lvlText w:val="%1."/>
      <w:lvlJc w:val="left"/>
      <w:pPr>
        <w:ind w:left="400" w:hanging="360"/>
      </w:pPr>
    </w:lvl>
    <w:lvl w:ilvl="1">
      <w:start w:val="1"/>
      <w:numFmt w:val="lowerLetter"/>
      <w:lvlText w:val="%2."/>
      <w:lvlJc w:val="left"/>
      <w:pPr>
        <w:ind w:left="1120" w:hanging="360"/>
      </w:pPr>
    </w:lvl>
    <w:lvl w:ilvl="2">
      <w:start w:val="1"/>
      <w:numFmt w:val="lowerRoman"/>
      <w:lvlText w:val="%3."/>
      <w:lvlJc w:val="right"/>
      <w:pPr>
        <w:ind w:left="1840" w:hanging="180"/>
      </w:pPr>
    </w:lvl>
    <w:lvl w:ilvl="3">
      <w:start w:val="1"/>
      <w:numFmt w:val="decimal"/>
      <w:lvlText w:val="%4."/>
      <w:lvlJc w:val="left"/>
      <w:pPr>
        <w:ind w:left="2560" w:hanging="360"/>
      </w:pPr>
    </w:lvl>
    <w:lvl w:ilvl="4">
      <w:start w:val="1"/>
      <w:numFmt w:val="lowerLetter"/>
      <w:lvlText w:val="%5."/>
      <w:lvlJc w:val="left"/>
      <w:pPr>
        <w:ind w:left="3280" w:hanging="360"/>
      </w:pPr>
    </w:lvl>
    <w:lvl w:ilvl="5">
      <w:start w:val="1"/>
      <w:numFmt w:val="lowerRoman"/>
      <w:lvlText w:val="%6."/>
      <w:lvlJc w:val="right"/>
      <w:pPr>
        <w:ind w:left="4000" w:hanging="180"/>
      </w:pPr>
    </w:lvl>
    <w:lvl w:ilvl="6">
      <w:start w:val="1"/>
      <w:numFmt w:val="decimal"/>
      <w:lvlText w:val="%7."/>
      <w:lvlJc w:val="left"/>
      <w:pPr>
        <w:ind w:left="4720" w:hanging="360"/>
      </w:pPr>
    </w:lvl>
    <w:lvl w:ilvl="7">
      <w:start w:val="1"/>
      <w:numFmt w:val="lowerLetter"/>
      <w:lvlText w:val="%8."/>
      <w:lvlJc w:val="left"/>
      <w:pPr>
        <w:ind w:left="5440" w:hanging="360"/>
      </w:pPr>
    </w:lvl>
    <w:lvl w:ilvl="8">
      <w:start w:val="1"/>
      <w:numFmt w:val="lowerRoman"/>
      <w:lvlText w:val="%9."/>
      <w:lvlJc w:val="right"/>
      <w:pPr>
        <w:ind w:left="6160" w:hanging="180"/>
      </w:pPr>
    </w:lvl>
  </w:abstractNum>
  <w:abstractNum w:abstractNumId="133" w15:restartNumberingAfterBreak="0">
    <w:nsid w:val="6D581284"/>
    <w:multiLevelType w:val="hybridMultilevel"/>
    <w:tmpl w:val="05803E3C"/>
    <w:lvl w:ilvl="0" w:tplc="040A0011">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4" w15:restartNumberingAfterBreak="0">
    <w:nsid w:val="6E312CCF"/>
    <w:multiLevelType w:val="hybridMultilevel"/>
    <w:tmpl w:val="6ACEE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C26BD"/>
    <w:multiLevelType w:val="hybridMultilevel"/>
    <w:tmpl w:val="C2B87F22"/>
    <w:lvl w:ilvl="0" w:tplc="040A0011">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6" w15:restartNumberingAfterBreak="0">
    <w:nsid w:val="6E882FDC"/>
    <w:multiLevelType w:val="hybridMultilevel"/>
    <w:tmpl w:val="77F8010C"/>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7" w15:restartNumberingAfterBreak="0">
    <w:nsid w:val="6EB44290"/>
    <w:multiLevelType w:val="hybridMultilevel"/>
    <w:tmpl w:val="860CD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F513DA8"/>
    <w:multiLevelType w:val="hybridMultilevel"/>
    <w:tmpl w:val="394A1DA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9" w15:restartNumberingAfterBreak="0">
    <w:nsid w:val="71965437"/>
    <w:multiLevelType w:val="multilevel"/>
    <w:tmpl w:val="2F6832A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0" w15:restartNumberingAfterBreak="0">
    <w:nsid w:val="73107AFD"/>
    <w:multiLevelType w:val="hybridMultilevel"/>
    <w:tmpl w:val="1820D834"/>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1" w15:restartNumberingAfterBreak="0">
    <w:nsid w:val="740D5C5D"/>
    <w:multiLevelType w:val="hybridMultilevel"/>
    <w:tmpl w:val="458091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74A52572"/>
    <w:multiLevelType w:val="hybridMultilevel"/>
    <w:tmpl w:val="9D2C111C"/>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3" w15:restartNumberingAfterBreak="0">
    <w:nsid w:val="766B314B"/>
    <w:multiLevelType w:val="hybridMultilevel"/>
    <w:tmpl w:val="97E473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7A7E0BDD"/>
    <w:multiLevelType w:val="hybridMultilevel"/>
    <w:tmpl w:val="9B2084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D061FD4"/>
    <w:multiLevelType w:val="hybridMultilevel"/>
    <w:tmpl w:val="593849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D451DEF"/>
    <w:multiLevelType w:val="hybridMultilevel"/>
    <w:tmpl w:val="3E84A5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D9C1585"/>
    <w:multiLevelType w:val="hybridMultilevel"/>
    <w:tmpl w:val="526A0CE6"/>
    <w:lvl w:ilvl="0" w:tplc="040A0005">
      <w:start w:val="1"/>
      <w:numFmt w:val="bullet"/>
      <w:lvlText w:val=""/>
      <w:lvlJc w:val="left"/>
      <w:pPr>
        <w:ind w:left="720" w:hanging="360"/>
      </w:pPr>
      <w:rPr>
        <w:rFonts w:ascii="Wingdings" w:hAnsi="Wingdings" w:hint="default"/>
      </w:rPr>
    </w:lvl>
    <w:lvl w:ilvl="1" w:tplc="104CA538">
      <w:numFmt w:val="bullet"/>
      <w:lvlText w:val=""/>
      <w:lvlJc w:val="left"/>
      <w:pPr>
        <w:ind w:left="1440" w:hanging="360"/>
      </w:pPr>
      <w:rPr>
        <w:rFonts w:ascii="Symbol" w:eastAsiaTheme="minorHAnsi" w:hAnsi="Symbol"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8" w15:restartNumberingAfterBreak="0">
    <w:nsid w:val="7EA2892C"/>
    <w:multiLevelType w:val="hybridMultilevel"/>
    <w:tmpl w:val="542A449C"/>
    <w:lvl w:ilvl="0" w:tplc="7F240CF2">
      <w:start w:val="1"/>
      <w:numFmt w:val="bullet"/>
      <w:lvlText w:val="-"/>
      <w:lvlJc w:val="left"/>
      <w:pPr>
        <w:ind w:left="720" w:hanging="360"/>
      </w:pPr>
      <w:rPr>
        <w:rFonts w:ascii="Calibri" w:hAnsi="Calibri" w:hint="default"/>
      </w:rPr>
    </w:lvl>
    <w:lvl w:ilvl="1" w:tplc="F258C26E">
      <w:start w:val="1"/>
      <w:numFmt w:val="bullet"/>
      <w:lvlText w:val="o"/>
      <w:lvlJc w:val="left"/>
      <w:pPr>
        <w:ind w:left="1440" w:hanging="360"/>
      </w:pPr>
      <w:rPr>
        <w:rFonts w:ascii="Courier New" w:hAnsi="Courier New" w:hint="default"/>
      </w:rPr>
    </w:lvl>
    <w:lvl w:ilvl="2" w:tplc="8898BE78">
      <w:start w:val="1"/>
      <w:numFmt w:val="bullet"/>
      <w:lvlText w:val=""/>
      <w:lvlJc w:val="left"/>
      <w:pPr>
        <w:ind w:left="2160" w:hanging="360"/>
      </w:pPr>
      <w:rPr>
        <w:rFonts w:ascii="Wingdings" w:hAnsi="Wingdings" w:hint="default"/>
      </w:rPr>
    </w:lvl>
    <w:lvl w:ilvl="3" w:tplc="915C03D8">
      <w:start w:val="1"/>
      <w:numFmt w:val="bullet"/>
      <w:lvlText w:val=""/>
      <w:lvlJc w:val="left"/>
      <w:pPr>
        <w:ind w:left="2880" w:hanging="360"/>
      </w:pPr>
      <w:rPr>
        <w:rFonts w:ascii="Symbol" w:hAnsi="Symbol" w:hint="default"/>
      </w:rPr>
    </w:lvl>
    <w:lvl w:ilvl="4" w:tplc="CA4669B8">
      <w:start w:val="1"/>
      <w:numFmt w:val="bullet"/>
      <w:lvlText w:val="o"/>
      <w:lvlJc w:val="left"/>
      <w:pPr>
        <w:ind w:left="3600" w:hanging="360"/>
      </w:pPr>
      <w:rPr>
        <w:rFonts w:ascii="Courier New" w:hAnsi="Courier New" w:hint="default"/>
      </w:rPr>
    </w:lvl>
    <w:lvl w:ilvl="5" w:tplc="523E70AC">
      <w:start w:val="1"/>
      <w:numFmt w:val="bullet"/>
      <w:lvlText w:val=""/>
      <w:lvlJc w:val="left"/>
      <w:pPr>
        <w:ind w:left="4320" w:hanging="360"/>
      </w:pPr>
      <w:rPr>
        <w:rFonts w:ascii="Wingdings" w:hAnsi="Wingdings" w:hint="default"/>
      </w:rPr>
    </w:lvl>
    <w:lvl w:ilvl="6" w:tplc="D716018E">
      <w:start w:val="1"/>
      <w:numFmt w:val="bullet"/>
      <w:lvlText w:val=""/>
      <w:lvlJc w:val="left"/>
      <w:pPr>
        <w:ind w:left="5040" w:hanging="360"/>
      </w:pPr>
      <w:rPr>
        <w:rFonts w:ascii="Symbol" w:hAnsi="Symbol" w:hint="default"/>
      </w:rPr>
    </w:lvl>
    <w:lvl w:ilvl="7" w:tplc="1916C7DA">
      <w:start w:val="1"/>
      <w:numFmt w:val="bullet"/>
      <w:lvlText w:val="o"/>
      <w:lvlJc w:val="left"/>
      <w:pPr>
        <w:ind w:left="5760" w:hanging="360"/>
      </w:pPr>
      <w:rPr>
        <w:rFonts w:ascii="Courier New" w:hAnsi="Courier New" w:hint="default"/>
      </w:rPr>
    </w:lvl>
    <w:lvl w:ilvl="8" w:tplc="9EB4F718">
      <w:start w:val="1"/>
      <w:numFmt w:val="bullet"/>
      <w:lvlText w:val=""/>
      <w:lvlJc w:val="left"/>
      <w:pPr>
        <w:ind w:left="6480" w:hanging="360"/>
      </w:pPr>
      <w:rPr>
        <w:rFonts w:ascii="Wingdings" w:hAnsi="Wingdings" w:hint="default"/>
      </w:rPr>
    </w:lvl>
  </w:abstractNum>
  <w:abstractNum w:abstractNumId="149" w15:restartNumberingAfterBreak="0">
    <w:nsid w:val="7F203569"/>
    <w:multiLevelType w:val="hybridMultilevel"/>
    <w:tmpl w:val="81AE8330"/>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0" w15:restartNumberingAfterBreak="0">
    <w:nsid w:val="7F52444B"/>
    <w:multiLevelType w:val="hybridMultilevel"/>
    <w:tmpl w:val="CB12F646"/>
    <w:lvl w:ilvl="0" w:tplc="040A000F">
      <w:start w:val="1"/>
      <w:numFmt w:val="decimal"/>
      <w:lvlText w:val="%1."/>
      <w:lvlJc w:val="left"/>
      <w:pPr>
        <w:ind w:left="720" w:hanging="360"/>
      </w:pPr>
    </w:lvl>
    <w:lvl w:ilvl="1" w:tplc="75F4A4A2">
      <w:start w:val="6"/>
      <w:numFmt w:val="bullet"/>
      <w:lvlText w:val="·"/>
      <w:lvlJc w:val="left"/>
      <w:pPr>
        <w:ind w:left="1440" w:hanging="360"/>
      </w:pPr>
      <w:rPr>
        <w:rFonts w:ascii="Calibri" w:eastAsiaTheme="minorHAnsi" w:hAnsi="Calibri" w:cs="Calibri"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1" w15:restartNumberingAfterBreak="0">
    <w:nsid w:val="7FA53757"/>
    <w:multiLevelType w:val="hybridMultilevel"/>
    <w:tmpl w:val="9B4E9B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7FFB1D24"/>
    <w:multiLevelType w:val="hybridMultilevel"/>
    <w:tmpl w:val="E21A95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597295847">
    <w:abstractNumId w:val="97"/>
  </w:num>
  <w:num w:numId="2" w16cid:durableId="1720350287">
    <w:abstractNumId w:val="62"/>
  </w:num>
  <w:num w:numId="3" w16cid:durableId="1895778667">
    <w:abstractNumId w:val="72"/>
  </w:num>
  <w:num w:numId="4" w16cid:durableId="586770504">
    <w:abstractNumId w:val="146"/>
  </w:num>
  <w:num w:numId="5" w16cid:durableId="1414621348">
    <w:abstractNumId w:val="58"/>
  </w:num>
  <w:num w:numId="6" w16cid:durableId="1043141164">
    <w:abstractNumId w:val="98"/>
  </w:num>
  <w:num w:numId="7" w16cid:durableId="311565603">
    <w:abstractNumId w:val="19"/>
  </w:num>
  <w:num w:numId="8" w16cid:durableId="1824271698">
    <w:abstractNumId w:val="40"/>
  </w:num>
  <w:num w:numId="9" w16cid:durableId="1414544020">
    <w:abstractNumId w:val="49"/>
  </w:num>
  <w:num w:numId="10" w16cid:durableId="161939896">
    <w:abstractNumId w:val="113"/>
  </w:num>
  <w:num w:numId="11" w16cid:durableId="818309750">
    <w:abstractNumId w:val="114"/>
  </w:num>
  <w:num w:numId="12" w16cid:durableId="1819416316">
    <w:abstractNumId w:val="33"/>
  </w:num>
  <w:num w:numId="13" w16cid:durableId="1961842795">
    <w:abstractNumId w:val="10"/>
  </w:num>
  <w:num w:numId="14" w16cid:durableId="520703662">
    <w:abstractNumId w:val="30"/>
  </w:num>
  <w:num w:numId="15" w16cid:durableId="1124495893">
    <w:abstractNumId w:val="28"/>
  </w:num>
  <w:num w:numId="16" w16cid:durableId="1574050208">
    <w:abstractNumId w:val="43"/>
  </w:num>
  <w:num w:numId="17" w16cid:durableId="533664347">
    <w:abstractNumId w:val="151"/>
  </w:num>
  <w:num w:numId="18" w16cid:durableId="1591040316">
    <w:abstractNumId w:val="94"/>
  </w:num>
  <w:num w:numId="19" w16cid:durableId="620963211">
    <w:abstractNumId w:val="75"/>
  </w:num>
  <w:num w:numId="20" w16cid:durableId="1889219360">
    <w:abstractNumId w:val="46"/>
  </w:num>
  <w:num w:numId="21" w16cid:durableId="995110647">
    <w:abstractNumId w:val="89"/>
  </w:num>
  <w:num w:numId="22" w16cid:durableId="1236236123">
    <w:abstractNumId w:val="31"/>
  </w:num>
  <w:num w:numId="23" w16cid:durableId="700397156">
    <w:abstractNumId w:val="87"/>
  </w:num>
  <w:num w:numId="24" w16cid:durableId="429859582">
    <w:abstractNumId w:val="60"/>
  </w:num>
  <w:num w:numId="25" w16cid:durableId="50465331">
    <w:abstractNumId w:val="13"/>
  </w:num>
  <w:num w:numId="26" w16cid:durableId="1127309746">
    <w:abstractNumId w:val="145"/>
  </w:num>
  <w:num w:numId="27" w16cid:durableId="1091927872">
    <w:abstractNumId w:val="82"/>
  </w:num>
  <w:num w:numId="28" w16cid:durableId="2058815212">
    <w:abstractNumId w:val="23"/>
  </w:num>
  <w:num w:numId="29" w16cid:durableId="1791392232">
    <w:abstractNumId w:val="144"/>
  </w:num>
  <w:num w:numId="30" w16cid:durableId="2088989106">
    <w:abstractNumId w:val="138"/>
  </w:num>
  <w:num w:numId="31" w16cid:durableId="406153561">
    <w:abstractNumId w:val="124"/>
  </w:num>
  <w:num w:numId="32" w16cid:durableId="734399303">
    <w:abstractNumId w:val="56"/>
  </w:num>
  <w:num w:numId="33" w16cid:durableId="412164585">
    <w:abstractNumId w:val="105"/>
  </w:num>
  <w:num w:numId="34" w16cid:durableId="859702512">
    <w:abstractNumId w:val="29"/>
  </w:num>
  <w:num w:numId="35" w16cid:durableId="13727420">
    <w:abstractNumId w:val="148"/>
  </w:num>
  <w:num w:numId="36" w16cid:durableId="1444112958">
    <w:abstractNumId w:val="12"/>
  </w:num>
  <w:num w:numId="37" w16cid:durableId="357895244">
    <w:abstractNumId w:val="66"/>
  </w:num>
  <w:num w:numId="38" w16cid:durableId="1676029832">
    <w:abstractNumId w:val="107"/>
  </w:num>
  <w:num w:numId="39" w16cid:durableId="905919991">
    <w:abstractNumId w:val="112"/>
  </w:num>
  <w:num w:numId="40" w16cid:durableId="1485271095">
    <w:abstractNumId w:val="14"/>
  </w:num>
  <w:num w:numId="41" w16cid:durableId="1097604401">
    <w:abstractNumId w:val="35"/>
  </w:num>
  <w:num w:numId="42" w16cid:durableId="1868247747">
    <w:abstractNumId w:val="27"/>
  </w:num>
  <w:num w:numId="43" w16cid:durableId="760567056">
    <w:abstractNumId w:val="106"/>
  </w:num>
  <w:num w:numId="44" w16cid:durableId="273176727">
    <w:abstractNumId w:val="143"/>
  </w:num>
  <w:num w:numId="45" w16cid:durableId="1318532032">
    <w:abstractNumId w:val="141"/>
  </w:num>
  <w:num w:numId="46" w16cid:durableId="986397774">
    <w:abstractNumId w:val="15"/>
  </w:num>
  <w:num w:numId="47" w16cid:durableId="1707482523">
    <w:abstractNumId w:val="117"/>
  </w:num>
  <w:num w:numId="48" w16cid:durableId="2043045982">
    <w:abstractNumId w:val="57"/>
  </w:num>
  <w:num w:numId="49" w16cid:durableId="1368260751">
    <w:abstractNumId w:val="129"/>
  </w:num>
  <w:num w:numId="50" w16cid:durableId="1418595539">
    <w:abstractNumId w:val="81"/>
  </w:num>
  <w:num w:numId="51" w16cid:durableId="1240794030">
    <w:abstractNumId w:val="73"/>
  </w:num>
  <w:num w:numId="52" w16cid:durableId="349531954">
    <w:abstractNumId w:val="119"/>
  </w:num>
  <w:num w:numId="53" w16cid:durableId="405305331">
    <w:abstractNumId w:val="34"/>
  </w:num>
  <w:num w:numId="54" w16cid:durableId="645858358">
    <w:abstractNumId w:val="147"/>
  </w:num>
  <w:num w:numId="55" w16cid:durableId="1096169311">
    <w:abstractNumId w:val="52"/>
  </w:num>
  <w:num w:numId="56" w16cid:durableId="522521578">
    <w:abstractNumId w:val="64"/>
  </w:num>
  <w:num w:numId="57" w16cid:durableId="332027639">
    <w:abstractNumId w:val="50"/>
  </w:num>
  <w:num w:numId="58" w16cid:durableId="714163819">
    <w:abstractNumId w:val="121"/>
  </w:num>
  <w:num w:numId="59" w16cid:durableId="1034844688">
    <w:abstractNumId w:val="8"/>
  </w:num>
  <w:num w:numId="60" w16cid:durableId="1256479597">
    <w:abstractNumId w:val="3"/>
  </w:num>
  <w:num w:numId="61" w16cid:durableId="1655141809">
    <w:abstractNumId w:val="2"/>
  </w:num>
  <w:num w:numId="62" w16cid:durableId="1736196028">
    <w:abstractNumId w:val="1"/>
  </w:num>
  <w:num w:numId="63" w16cid:durableId="285626089">
    <w:abstractNumId w:val="0"/>
  </w:num>
  <w:num w:numId="64" w16cid:durableId="1405369425">
    <w:abstractNumId w:val="9"/>
  </w:num>
  <w:num w:numId="65" w16cid:durableId="1847018321">
    <w:abstractNumId w:val="7"/>
  </w:num>
  <w:num w:numId="66" w16cid:durableId="2066180791">
    <w:abstractNumId w:val="6"/>
  </w:num>
  <w:num w:numId="67" w16cid:durableId="1486891919">
    <w:abstractNumId w:val="5"/>
  </w:num>
  <w:num w:numId="68" w16cid:durableId="1077748869">
    <w:abstractNumId w:val="4"/>
  </w:num>
  <w:num w:numId="69" w16cid:durableId="1727332439">
    <w:abstractNumId w:val="100"/>
  </w:num>
  <w:num w:numId="70" w16cid:durableId="272175282">
    <w:abstractNumId w:val="88"/>
  </w:num>
  <w:num w:numId="71" w16cid:durableId="918179620">
    <w:abstractNumId w:val="38"/>
  </w:num>
  <w:num w:numId="72" w16cid:durableId="425687500">
    <w:abstractNumId w:val="132"/>
  </w:num>
  <w:num w:numId="73" w16cid:durableId="1920023260">
    <w:abstractNumId w:val="139"/>
  </w:num>
  <w:num w:numId="74" w16cid:durableId="441924897">
    <w:abstractNumId w:val="45"/>
  </w:num>
  <w:num w:numId="75" w16cid:durableId="904150280">
    <w:abstractNumId w:val="95"/>
  </w:num>
  <w:num w:numId="76" w16cid:durableId="46685383">
    <w:abstractNumId w:val="96"/>
  </w:num>
  <w:num w:numId="77" w16cid:durableId="560554159">
    <w:abstractNumId w:val="150"/>
  </w:num>
  <w:num w:numId="78" w16cid:durableId="1236360032">
    <w:abstractNumId w:val="104"/>
  </w:num>
  <w:num w:numId="79" w16cid:durableId="985283615">
    <w:abstractNumId w:val="135"/>
  </w:num>
  <w:num w:numId="80" w16cid:durableId="1389648026">
    <w:abstractNumId w:val="51"/>
  </w:num>
  <w:num w:numId="81" w16cid:durableId="327683584">
    <w:abstractNumId w:val="65"/>
  </w:num>
  <w:num w:numId="82" w16cid:durableId="1432893797">
    <w:abstractNumId w:val="92"/>
  </w:num>
  <w:num w:numId="83" w16cid:durableId="1104806721">
    <w:abstractNumId w:val="63"/>
  </w:num>
  <w:num w:numId="84" w16cid:durableId="1966885627">
    <w:abstractNumId w:val="61"/>
  </w:num>
  <w:num w:numId="85" w16cid:durableId="2085255647">
    <w:abstractNumId w:val="67"/>
  </w:num>
  <w:num w:numId="86" w16cid:durableId="1335651347">
    <w:abstractNumId w:val="16"/>
  </w:num>
  <w:num w:numId="87" w16cid:durableId="1653674880">
    <w:abstractNumId w:val="111"/>
  </w:num>
  <w:num w:numId="88" w16cid:durableId="1826508284">
    <w:abstractNumId w:val="90"/>
  </w:num>
  <w:num w:numId="89" w16cid:durableId="36709024">
    <w:abstractNumId w:val="47"/>
  </w:num>
  <w:num w:numId="90" w16cid:durableId="1392969870">
    <w:abstractNumId w:val="55"/>
  </w:num>
  <w:num w:numId="91" w16cid:durableId="732196921">
    <w:abstractNumId w:val="77"/>
  </w:num>
  <w:num w:numId="92" w16cid:durableId="118499080">
    <w:abstractNumId w:val="133"/>
  </w:num>
  <w:num w:numId="93" w16cid:durableId="331563557">
    <w:abstractNumId w:val="20"/>
  </w:num>
  <w:num w:numId="94" w16cid:durableId="479542183">
    <w:abstractNumId w:val="42"/>
  </w:num>
  <w:num w:numId="95" w16cid:durableId="1675571582">
    <w:abstractNumId w:val="142"/>
  </w:num>
  <w:num w:numId="96" w16cid:durableId="1512640734">
    <w:abstractNumId w:val="140"/>
  </w:num>
  <w:num w:numId="97" w16cid:durableId="1582762860">
    <w:abstractNumId w:val="74"/>
  </w:num>
  <w:num w:numId="98" w16cid:durableId="1423843286">
    <w:abstractNumId w:val="68"/>
  </w:num>
  <w:num w:numId="99" w16cid:durableId="1991866297">
    <w:abstractNumId w:val="18"/>
  </w:num>
  <w:num w:numId="100" w16cid:durableId="154690813">
    <w:abstractNumId w:val="149"/>
  </w:num>
  <w:num w:numId="101" w16cid:durableId="1262182221">
    <w:abstractNumId w:val="25"/>
  </w:num>
  <w:num w:numId="102" w16cid:durableId="852843080">
    <w:abstractNumId w:val="110"/>
  </w:num>
  <w:num w:numId="103" w16cid:durableId="492262266">
    <w:abstractNumId w:val="93"/>
  </w:num>
  <w:num w:numId="104" w16cid:durableId="410544654">
    <w:abstractNumId w:val="80"/>
  </w:num>
  <w:num w:numId="105" w16cid:durableId="1137334011">
    <w:abstractNumId w:val="78"/>
  </w:num>
  <w:num w:numId="106" w16cid:durableId="1140002839">
    <w:abstractNumId w:val="86"/>
  </w:num>
  <w:num w:numId="107" w16cid:durableId="1607231024">
    <w:abstractNumId w:val="123"/>
  </w:num>
  <w:num w:numId="108" w16cid:durableId="1933078669">
    <w:abstractNumId w:val="36"/>
  </w:num>
  <w:num w:numId="109" w16cid:durableId="144515628">
    <w:abstractNumId w:val="32"/>
  </w:num>
  <w:num w:numId="110" w16cid:durableId="1347059604">
    <w:abstractNumId w:val="91"/>
  </w:num>
  <w:num w:numId="111" w16cid:durableId="2095319499">
    <w:abstractNumId w:val="22"/>
  </w:num>
  <w:num w:numId="112" w16cid:durableId="1656570940">
    <w:abstractNumId w:val="71"/>
  </w:num>
  <w:num w:numId="113" w16cid:durableId="1834368644">
    <w:abstractNumId w:val="118"/>
  </w:num>
  <w:num w:numId="114" w16cid:durableId="452284358">
    <w:abstractNumId w:val="152"/>
  </w:num>
  <w:num w:numId="115" w16cid:durableId="1394700510">
    <w:abstractNumId w:val="102"/>
  </w:num>
  <w:num w:numId="116" w16cid:durableId="645427575">
    <w:abstractNumId w:val="53"/>
  </w:num>
  <w:num w:numId="117" w16cid:durableId="1845434558">
    <w:abstractNumId w:val="125"/>
  </w:num>
  <w:num w:numId="118" w16cid:durableId="1988825397">
    <w:abstractNumId w:val="44"/>
  </w:num>
  <w:num w:numId="119" w16cid:durableId="1441530207">
    <w:abstractNumId w:val="126"/>
  </w:num>
  <w:num w:numId="120" w16cid:durableId="1325475184">
    <w:abstractNumId w:val="21"/>
  </w:num>
  <w:num w:numId="121" w16cid:durableId="1465851634">
    <w:abstractNumId w:val="59"/>
  </w:num>
  <w:num w:numId="122" w16cid:durableId="98062314">
    <w:abstractNumId w:val="122"/>
  </w:num>
  <w:num w:numId="123" w16cid:durableId="340741097">
    <w:abstractNumId w:val="116"/>
  </w:num>
  <w:num w:numId="124" w16cid:durableId="2042632497">
    <w:abstractNumId w:val="130"/>
  </w:num>
  <w:num w:numId="125" w16cid:durableId="1105998930">
    <w:abstractNumId w:val="48"/>
  </w:num>
  <w:num w:numId="126" w16cid:durableId="886263039">
    <w:abstractNumId w:val="17"/>
  </w:num>
  <w:num w:numId="127" w16cid:durableId="1878076749">
    <w:abstractNumId w:val="131"/>
  </w:num>
  <w:num w:numId="128" w16cid:durableId="1082483468">
    <w:abstractNumId w:val="79"/>
  </w:num>
  <w:num w:numId="129" w16cid:durableId="1120416373">
    <w:abstractNumId w:val="108"/>
  </w:num>
  <w:num w:numId="130" w16cid:durableId="313028038">
    <w:abstractNumId w:val="134"/>
  </w:num>
  <w:num w:numId="131" w16cid:durableId="729964554">
    <w:abstractNumId w:val="137"/>
  </w:num>
  <w:num w:numId="132" w16cid:durableId="1783066633">
    <w:abstractNumId w:val="39"/>
  </w:num>
  <w:num w:numId="133" w16cid:durableId="1876767258">
    <w:abstractNumId w:val="70"/>
  </w:num>
  <w:num w:numId="134" w16cid:durableId="1390376929">
    <w:abstractNumId w:val="54"/>
  </w:num>
  <w:num w:numId="135" w16cid:durableId="752355363">
    <w:abstractNumId w:val="99"/>
  </w:num>
  <w:num w:numId="136" w16cid:durableId="406726269">
    <w:abstractNumId w:val="37"/>
  </w:num>
  <w:num w:numId="137" w16cid:durableId="1075129138">
    <w:abstractNumId w:val="101"/>
  </w:num>
  <w:num w:numId="138" w16cid:durableId="650256227">
    <w:abstractNumId w:val="128"/>
  </w:num>
  <w:num w:numId="139" w16cid:durableId="353310273">
    <w:abstractNumId w:val="127"/>
  </w:num>
  <w:num w:numId="140" w16cid:durableId="2090347200">
    <w:abstractNumId w:val="83"/>
  </w:num>
  <w:num w:numId="141" w16cid:durableId="1738165556">
    <w:abstractNumId w:val="11"/>
  </w:num>
  <w:num w:numId="142" w16cid:durableId="974141175">
    <w:abstractNumId w:val="136"/>
  </w:num>
  <w:num w:numId="143" w16cid:durableId="990333936">
    <w:abstractNumId w:val="69"/>
  </w:num>
  <w:num w:numId="144" w16cid:durableId="1672609940">
    <w:abstractNumId w:val="62"/>
  </w:num>
  <w:num w:numId="145" w16cid:durableId="1004893379">
    <w:abstractNumId w:val="62"/>
  </w:num>
  <w:num w:numId="146" w16cid:durableId="1211921343">
    <w:abstractNumId w:val="62"/>
  </w:num>
  <w:num w:numId="147" w16cid:durableId="2131169517">
    <w:abstractNumId w:val="62"/>
  </w:num>
  <w:num w:numId="148" w16cid:durableId="747314641">
    <w:abstractNumId w:val="62"/>
  </w:num>
  <w:num w:numId="149" w16cid:durableId="1004554457">
    <w:abstractNumId w:val="62"/>
  </w:num>
  <w:num w:numId="150" w16cid:durableId="1729105531">
    <w:abstractNumId w:val="62"/>
  </w:num>
  <w:num w:numId="151" w16cid:durableId="621158502">
    <w:abstractNumId w:val="62"/>
  </w:num>
  <w:num w:numId="152" w16cid:durableId="750082181">
    <w:abstractNumId w:val="62"/>
  </w:num>
  <w:num w:numId="153" w16cid:durableId="611589512">
    <w:abstractNumId w:val="62"/>
  </w:num>
  <w:num w:numId="154" w16cid:durableId="316811887">
    <w:abstractNumId w:val="62"/>
  </w:num>
  <w:num w:numId="155" w16cid:durableId="1946116498">
    <w:abstractNumId w:val="62"/>
  </w:num>
  <w:num w:numId="156" w16cid:durableId="1284069142">
    <w:abstractNumId w:val="84"/>
  </w:num>
  <w:num w:numId="157" w16cid:durableId="993218812">
    <w:abstractNumId w:val="41"/>
  </w:num>
  <w:num w:numId="158" w16cid:durableId="717240648">
    <w:abstractNumId w:val="24"/>
  </w:num>
  <w:num w:numId="159" w16cid:durableId="377169126">
    <w:abstractNumId w:val="103"/>
  </w:num>
  <w:num w:numId="160" w16cid:durableId="1086993621">
    <w:abstractNumId w:val="26"/>
  </w:num>
  <w:num w:numId="161" w16cid:durableId="6759650">
    <w:abstractNumId w:val="76"/>
  </w:num>
  <w:num w:numId="162" w16cid:durableId="1537347266">
    <w:abstractNumId w:val="109"/>
  </w:num>
  <w:num w:numId="163" w16cid:durableId="487791588">
    <w:abstractNumId w:val="85"/>
  </w:num>
  <w:num w:numId="164" w16cid:durableId="192696623">
    <w:abstractNumId w:val="115"/>
  </w:num>
  <w:num w:numId="165" w16cid:durableId="1195002657">
    <w:abstractNumId w:val="120"/>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5290"/>
    <w:rsid w:val="00012640"/>
    <w:rsid w:val="00012E4E"/>
    <w:rsid w:val="00014F20"/>
    <w:rsid w:val="00027C02"/>
    <w:rsid w:val="00034D59"/>
    <w:rsid w:val="000378D3"/>
    <w:rsid w:val="0004171B"/>
    <w:rsid w:val="000449FE"/>
    <w:rsid w:val="00055DBE"/>
    <w:rsid w:val="00057F63"/>
    <w:rsid w:val="00066C7F"/>
    <w:rsid w:val="000703E5"/>
    <w:rsid w:val="00073529"/>
    <w:rsid w:val="00074BD3"/>
    <w:rsid w:val="00076B4F"/>
    <w:rsid w:val="00077917"/>
    <w:rsid w:val="00081FFB"/>
    <w:rsid w:val="00082F39"/>
    <w:rsid w:val="000858B9"/>
    <w:rsid w:val="00086A4D"/>
    <w:rsid w:val="00093D85"/>
    <w:rsid w:val="000A58A8"/>
    <w:rsid w:val="000A5C61"/>
    <w:rsid w:val="000A666D"/>
    <w:rsid w:val="000A69F6"/>
    <w:rsid w:val="000A7FE9"/>
    <w:rsid w:val="000B139D"/>
    <w:rsid w:val="000B4B5F"/>
    <w:rsid w:val="000B4E72"/>
    <w:rsid w:val="000B50F9"/>
    <w:rsid w:val="000B6D22"/>
    <w:rsid w:val="000C0037"/>
    <w:rsid w:val="000C3C78"/>
    <w:rsid w:val="000C66BC"/>
    <w:rsid w:val="000C6DB1"/>
    <w:rsid w:val="000D0DBF"/>
    <w:rsid w:val="000D0F49"/>
    <w:rsid w:val="000D58AF"/>
    <w:rsid w:val="000D6AA8"/>
    <w:rsid w:val="000D763C"/>
    <w:rsid w:val="000E243D"/>
    <w:rsid w:val="000E6708"/>
    <w:rsid w:val="000E6914"/>
    <w:rsid w:val="000E714A"/>
    <w:rsid w:val="000F691B"/>
    <w:rsid w:val="00110842"/>
    <w:rsid w:val="00110F5C"/>
    <w:rsid w:val="00116986"/>
    <w:rsid w:val="00120CD5"/>
    <w:rsid w:val="001276B4"/>
    <w:rsid w:val="00134D64"/>
    <w:rsid w:val="00140135"/>
    <w:rsid w:val="00140A7B"/>
    <w:rsid w:val="00143228"/>
    <w:rsid w:val="00145599"/>
    <w:rsid w:val="001523EC"/>
    <w:rsid w:val="0016541C"/>
    <w:rsid w:val="00165945"/>
    <w:rsid w:val="00165F8D"/>
    <w:rsid w:val="001675C8"/>
    <w:rsid w:val="00170E75"/>
    <w:rsid w:val="00173B84"/>
    <w:rsid w:val="0017460E"/>
    <w:rsid w:val="00180165"/>
    <w:rsid w:val="00183629"/>
    <w:rsid w:val="00191CD8"/>
    <w:rsid w:val="001972A7"/>
    <w:rsid w:val="001A3231"/>
    <w:rsid w:val="001A73AF"/>
    <w:rsid w:val="001B1885"/>
    <w:rsid w:val="001B522B"/>
    <w:rsid w:val="001B7B67"/>
    <w:rsid w:val="001C0B03"/>
    <w:rsid w:val="001C0F6D"/>
    <w:rsid w:val="001C43B9"/>
    <w:rsid w:val="001C634F"/>
    <w:rsid w:val="001C785A"/>
    <w:rsid w:val="001C7FED"/>
    <w:rsid w:val="001D1443"/>
    <w:rsid w:val="001D1628"/>
    <w:rsid w:val="001D6F19"/>
    <w:rsid w:val="001E6175"/>
    <w:rsid w:val="001F1802"/>
    <w:rsid w:val="001F5041"/>
    <w:rsid w:val="00201436"/>
    <w:rsid w:val="0021277C"/>
    <w:rsid w:val="0022064C"/>
    <w:rsid w:val="002325E0"/>
    <w:rsid w:val="00233E58"/>
    <w:rsid w:val="00236A71"/>
    <w:rsid w:val="002428EC"/>
    <w:rsid w:val="002456BC"/>
    <w:rsid w:val="00247FB3"/>
    <w:rsid w:val="00251140"/>
    <w:rsid w:val="00253B19"/>
    <w:rsid w:val="00253CBE"/>
    <w:rsid w:val="002540F8"/>
    <w:rsid w:val="00256F83"/>
    <w:rsid w:val="00263331"/>
    <w:rsid w:val="002648F9"/>
    <w:rsid w:val="0026611E"/>
    <w:rsid w:val="00267536"/>
    <w:rsid w:val="00270E70"/>
    <w:rsid w:val="002748F4"/>
    <w:rsid w:val="002757BC"/>
    <w:rsid w:val="002773E8"/>
    <w:rsid w:val="0029197A"/>
    <w:rsid w:val="00296ACF"/>
    <w:rsid w:val="002976B7"/>
    <w:rsid w:val="002A2752"/>
    <w:rsid w:val="002A4A73"/>
    <w:rsid w:val="002B0CE4"/>
    <w:rsid w:val="002B37BA"/>
    <w:rsid w:val="002B686C"/>
    <w:rsid w:val="002C7A7B"/>
    <w:rsid w:val="002D470D"/>
    <w:rsid w:val="002D4FFC"/>
    <w:rsid w:val="002D523B"/>
    <w:rsid w:val="002D53DD"/>
    <w:rsid w:val="002D7496"/>
    <w:rsid w:val="002D7616"/>
    <w:rsid w:val="002E083E"/>
    <w:rsid w:val="002E1BBB"/>
    <w:rsid w:val="002E37CF"/>
    <w:rsid w:val="002E66D9"/>
    <w:rsid w:val="002F1541"/>
    <w:rsid w:val="002F174D"/>
    <w:rsid w:val="002F2A2B"/>
    <w:rsid w:val="002F7A8D"/>
    <w:rsid w:val="003017E5"/>
    <w:rsid w:val="003022CA"/>
    <w:rsid w:val="00306089"/>
    <w:rsid w:val="00306A95"/>
    <w:rsid w:val="0031244A"/>
    <w:rsid w:val="00317EDA"/>
    <w:rsid w:val="00320330"/>
    <w:rsid w:val="0032285C"/>
    <w:rsid w:val="00324B51"/>
    <w:rsid w:val="00330A24"/>
    <w:rsid w:val="00332D7D"/>
    <w:rsid w:val="00332D86"/>
    <w:rsid w:val="00334522"/>
    <w:rsid w:val="003454F5"/>
    <w:rsid w:val="0035091A"/>
    <w:rsid w:val="00353403"/>
    <w:rsid w:val="00361414"/>
    <w:rsid w:val="0036289C"/>
    <w:rsid w:val="0036336C"/>
    <w:rsid w:val="00363444"/>
    <w:rsid w:val="00365180"/>
    <w:rsid w:val="003663E5"/>
    <w:rsid w:val="00366472"/>
    <w:rsid w:val="00372F2A"/>
    <w:rsid w:val="00373A60"/>
    <w:rsid w:val="00374DB3"/>
    <w:rsid w:val="0037670D"/>
    <w:rsid w:val="00377863"/>
    <w:rsid w:val="003779CA"/>
    <w:rsid w:val="00380612"/>
    <w:rsid w:val="00380C49"/>
    <w:rsid w:val="00383608"/>
    <w:rsid w:val="00384026"/>
    <w:rsid w:val="003906F1"/>
    <w:rsid w:val="003911B9"/>
    <w:rsid w:val="003922F8"/>
    <w:rsid w:val="0039359B"/>
    <w:rsid w:val="003A2EA5"/>
    <w:rsid w:val="003A2F81"/>
    <w:rsid w:val="003A2FC5"/>
    <w:rsid w:val="003A64F4"/>
    <w:rsid w:val="003B3D5A"/>
    <w:rsid w:val="003B5E5E"/>
    <w:rsid w:val="003B675E"/>
    <w:rsid w:val="003B7A81"/>
    <w:rsid w:val="003C03D6"/>
    <w:rsid w:val="003C0D56"/>
    <w:rsid w:val="003C1A88"/>
    <w:rsid w:val="003C20E2"/>
    <w:rsid w:val="003C226E"/>
    <w:rsid w:val="003C43AA"/>
    <w:rsid w:val="003C7D94"/>
    <w:rsid w:val="003D1896"/>
    <w:rsid w:val="003E067B"/>
    <w:rsid w:val="003E1DF9"/>
    <w:rsid w:val="003F5420"/>
    <w:rsid w:val="0040157F"/>
    <w:rsid w:val="00403C72"/>
    <w:rsid w:val="00421071"/>
    <w:rsid w:val="00422529"/>
    <w:rsid w:val="004257F4"/>
    <w:rsid w:val="00426D7B"/>
    <w:rsid w:val="00431A2F"/>
    <w:rsid w:val="00433BD9"/>
    <w:rsid w:val="00436347"/>
    <w:rsid w:val="00455A74"/>
    <w:rsid w:val="0046459D"/>
    <w:rsid w:val="00476DFE"/>
    <w:rsid w:val="00482DA9"/>
    <w:rsid w:val="00492E3F"/>
    <w:rsid w:val="004A25DB"/>
    <w:rsid w:val="004B5891"/>
    <w:rsid w:val="004C1023"/>
    <w:rsid w:val="004C1AA9"/>
    <w:rsid w:val="004C3BD7"/>
    <w:rsid w:val="004D1EBA"/>
    <w:rsid w:val="004D3F18"/>
    <w:rsid w:val="004D689C"/>
    <w:rsid w:val="004E2F8F"/>
    <w:rsid w:val="004E733C"/>
    <w:rsid w:val="004F0C0E"/>
    <w:rsid w:val="004F4CBA"/>
    <w:rsid w:val="00500CDC"/>
    <w:rsid w:val="0050480B"/>
    <w:rsid w:val="00510E5E"/>
    <w:rsid w:val="00512539"/>
    <w:rsid w:val="00514254"/>
    <w:rsid w:val="005145E0"/>
    <w:rsid w:val="0051709F"/>
    <w:rsid w:val="00521E66"/>
    <w:rsid w:val="00525BD7"/>
    <w:rsid w:val="0053027D"/>
    <w:rsid w:val="00536202"/>
    <w:rsid w:val="005407DB"/>
    <w:rsid w:val="00540DC0"/>
    <w:rsid w:val="00541DF6"/>
    <w:rsid w:val="00542550"/>
    <w:rsid w:val="005556DC"/>
    <w:rsid w:val="00555AEB"/>
    <w:rsid w:val="00557C4A"/>
    <w:rsid w:val="00560971"/>
    <w:rsid w:val="0057580A"/>
    <w:rsid w:val="005779E5"/>
    <w:rsid w:val="005817FC"/>
    <w:rsid w:val="00581992"/>
    <w:rsid w:val="00582480"/>
    <w:rsid w:val="0058749D"/>
    <w:rsid w:val="0059705C"/>
    <w:rsid w:val="005A054C"/>
    <w:rsid w:val="005A7570"/>
    <w:rsid w:val="005A7A40"/>
    <w:rsid w:val="005B6008"/>
    <w:rsid w:val="005B6BE4"/>
    <w:rsid w:val="005C2AF8"/>
    <w:rsid w:val="005C38D1"/>
    <w:rsid w:val="005C41CD"/>
    <w:rsid w:val="005C6620"/>
    <w:rsid w:val="005E0C5F"/>
    <w:rsid w:val="005E3ACD"/>
    <w:rsid w:val="005E75CE"/>
    <w:rsid w:val="005F0E6D"/>
    <w:rsid w:val="005F46AB"/>
    <w:rsid w:val="005F507F"/>
    <w:rsid w:val="0060739C"/>
    <w:rsid w:val="00607418"/>
    <w:rsid w:val="00611F0D"/>
    <w:rsid w:val="00612BBC"/>
    <w:rsid w:val="006137FB"/>
    <w:rsid w:val="00621565"/>
    <w:rsid w:val="00625F35"/>
    <w:rsid w:val="00631C6B"/>
    <w:rsid w:val="00636CF6"/>
    <w:rsid w:val="0063738C"/>
    <w:rsid w:val="00642AD0"/>
    <w:rsid w:val="00650961"/>
    <w:rsid w:val="00652A21"/>
    <w:rsid w:val="00652A56"/>
    <w:rsid w:val="00653862"/>
    <w:rsid w:val="00653E2F"/>
    <w:rsid w:val="006545FB"/>
    <w:rsid w:val="00662B6B"/>
    <w:rsid w:val="006652A2"/>
    <w:rsid w:val="006658F3"/>
    <w:rsid w:val="00680566"/>
    <w:rsid w:val="0068392B"/>
    <w:rsid w:val="006847FC"/>
    <w:rsid w:val="00685D5F"/>
    <w:rsid w:val="00685D72"/>
    <w:rsid w:val="006906F3"/>
    <w:rsid w:val="0069086B"/>
    <w:rsid w:val="00697656"/>
    <w:rsid w:val="006A099D"/>
    <w:rsid w:val="006A1769"/>
    <w:rsid w:val="006A1A87"/>
    <w:rsid w:val="006A4C90"/>
    <w:rsid w:val="006A52F5"/>
    <w:rsid w:val="006A6D22"/>
    <w:rsid w:val="006A76F7"/>
    <w:rsid w:val="006A7B3D"/>
    <w:rsid w:val="006B243B"/>
    <w:rsid w:val="006B6011"/>
    <w:rsid w:val="006C117B"/>
    <w:rsid w:val="006C1736"/>
    <w:rsid w:val="006C747B"/>
    <w:rsid w:val="006D28F2"/>
    <w:rsid w:val="006D4843"/>
    <w:rsid w:val="006D634E"/>
    <w:rsid w:val="006E75DA"/>
    <w:rsid w:val="006F1CBB"/>
    <w:rsid w:val="006F1E6B"/>
    <w:rsid w:val="006F3AE8"/>
    <w:rsid w:val="006F4045"/>
    <w:rsid w:val="007033B9"/>
    <w:rsid w:val="0071032A"/>
    <w:rsid w:val="00711B86"/>
    <w:rsid w:val="00712236"/>
    <w:rsid w:val="007139AC"/>
    <w:rsid w:val="00713F88"/>
    <w:rsid w:val="007160FC"/>
    <w:rsid w:val="0072261F"/>
    <w:rsid w:val="007242D7"/>
    <w:rsid w:val="00732169"/>
    <w:rsid w:val="00734B90"/>
    <w:rsid w:val="007411FE"/>
    <w:rsid w:val="00755B43"/>
    <w:rsid w:val="007564B6"/>
    <w:rsid w:val="00756ADC"/>
    <w:rsid w:val="0076310A"/>
    <w:rsid w:val="007643C6"/>
    <w:rsid w:val="0076678A"/>
    <w:rsid w:val="007673B3"/>
    <w:rsid w:val="007726B1"/>
    <w:rsid w:val="00784B00"/>
    <w:rsid w:val="00794AEA"/>
    <w:rsid w:val="007A26D0"/>
    <w:rsid w:val="007A55EF"/>
    <w:rsid w:val="007A6B32"/>
    <w:rsid w:val="007B102F"/>
    <w:rsid w:val="007B3735"/>
    <w:rsid w:val="007B667D"/>
    <w:rsid w:val="007B78CE"/>
    <w:rsid w:val="007D03A4"/>
    <w:rsid w:val="007D24D2"/>
    <w:rsid w:val="007D4084"/>
    <w:rsid w:val="007D525C"/>
    <w:rsid w:val="007D71DB"/>
    <w:rsid w:val="007E293C"/>
    <w:rsid w:val="007E6537"/>
    <w:rsid w:val="007F2447"/>
    <w:rsid w:val="007F4593"/>
    <w:rsid w:val="007F4EFD"/>
    <w:rsid w:val="008023E2"/>
    <w:rsid w:val="008107FD"/>
    <w:rsid w:val="008116D3"/>
    <w:rsid w:val="00812A10"/>
    <w:rsid w:val="00831C48"/>
    <w:rsid w:val="00837A50"/>
    <w:rsid w:val="008422EE"/>
    <w:rsid w:val="00846783"/>
    <w:rsid w:val="00847482"/>
    <w:rsid w:val="0085322A"/>
    <w:rsid w:val="008533B8"/>
    <w:rsid w:val="00860207"/>
    <w:rsid w:val="00862608"/>
    <w:rsid w:val="00865634"/>
    <w:rsid w:val="008723D8"/>
    <w:rsid w:val="00874B51"/>
    <w:rsid w:val="0088331D"/>
    <w:rsid w:val="008851CC"/>
    <w:rsid w:val="00886AB1"/>
    <w:rsid w:val="00887D03"/>
    <w:rsid w:val="00891152"/>
    <w:rsid w:val="008A069C"/>
    <w:rsid w:val="008A071C"/>
    <w:rsid w:val="008A5FEE"/>
    <w:rsid w:val="008A6CD5"/>
    <w:rsid w:val="008B7AC5"/>
    <w:rsid w:val="008E1E73"/>
    <w:rsid w:val="008F12B4"/>
    <w:rsid w:val="008F2F58"/>
    <w:rsid w:val="008F39C0"/>
    <w:rsid w:val="008F4778"/>
    <w:rsid w:val="008F7956"/>
    <w:rsid w:val="00902C9B"/>
    <w:rsid w:val="00904220"/>
    <w:rsid w:val="00904BC0"/>
    <w:rsid w:val="00905DCC"/>
    <w:rsid w:val="00914456"/>
    <w:rsid w:val="00921AA9"/>
    <w:rsid w:val="00923C49"/>
    <w:rsid w:val="00927592"/>
    <w:rsid w:val="009427E3"/>
    <w:rsid w:val="009430A6"/>
    <w:rsid w:val="00943E30"/>
    <w:rsid w:val="00952844"/>
    <w:rsid w:val="00956F65"/>
    <w:rsid w:val="0096003C"/>
    <w:rsid w:val="00960F55"/>
    <w:rsid w:val="00961601"/>
    <w:rsid w:val="00963270"/>
    <w:rsid w:val="00963319"/>
    <w:rsid w:val="00964173"/>
    <w:rsid w:val="0096641B"/>
    <w:rsid w:val="00972429"/>
    <w:rsid w:val="009732B9"/>
    <w:rsid w:val="00975434"/>
    <w:rsid w:val="00980DBF"/>
    <w:rsid w:val="00984EB7"/>
    <w:rsid w:val="009863B3"/>
    <w:rsid w:val="0099028D"/>
    <w:rsid w:val="009909B1"/>
    <w:rsid w:val="00990DDE"/>
    <w:rsid w:val="00993CD3"/>
    <w:rsid w:val="009B1F89"/>
    <w:rsid w:val="009B4E28"/>
    <w:rsid w:val="009C206B"/>
    <w:rsid w:val="009C7738"/>
    <w:rsid w:val="009D0464"/>
    <w:rsid w:val="009D0B15"/>
    <w:rsid w:val="009D2B08"/>
    <w:rsid w:val="009D41CB"/>
    <w:rsid w:val="009D45CA"/>
    <w:rsid w:val="009D6296"/>
    <w:rsid w:val="009E16DD"/>
    <w:rsid w:val="009E2CA0"/>
    <w:rsid w:val="009E5881"/>
    <w:rsid w:val="009F6F3C"/>
    <w:rsid w:val="009F7624"/>
    <w:rsid w:val="00A01BF9"/>
    <w:rsid w:val="00A01F04"/>
    <w:rsid w:val="00A05338"/>
    <w:rsid w:val="00A07EC6"/>
    <w:rsid w:val="00A12DA8"/>
    <w:rsid w:val="00A14CBA"/>
    <w:rsid w:val="00A26888"/>
    <w:rsid w:val="00A27737"/>
    <w:rsid w:val="00A2776D"/>
    <w:rsid w:val="00A30E04"/>
    <w:rsid w:val="00A346E2"/>
    <w:rsid w:val="00A4516F"/>
    <w:rsid w:val="00A45282"/>
    <w:rsid w:val="00A4731F"/>
    <w:rsid w:val="00A4777B"/>
    <w:rsid w:val="00A57821"/>
    <w:rsid w:val="00A60F4D"/>
    <w:rsid w:val="00A61C4B"/>
    <w:rsid w:val="00A62860"/>
    <w:rsid w:val="00A65EF6"/>
    <w:rsid w:val="00A66190"/>
    <w:rsid w:val="00A73A17"/>
    <w:rsid w:val="00A7434C"/>
    <w:rsid w:val="00A80437"/>
    <w:rsid w:val="00A81A42"/>
    <w:rsid w:val="00A858EF"/>
    <w:rsid w:val="00A92A8F"/>
    <w:rsid w:val="00A9789C"/>
    <w:rsid w:val="00AA4814"/>
    <w:rsid w:val="00AA5E9D"/>
    <w:rsid w:val="00AA7551"/>
    <w:rsid w:val="00AA7C4C"/>
    <w:rsid w:val="00AA7DEE"/>
    <w:rsid w:val="00AB058F"/>
    <w:rsid w:val="00AB6CFD"/>
    <w:rsid w:val="00AC7F57"/>
    <w:rsid w:val="00AC7FAB"/>
    <w:rsid w:val="00AD5ACE"/>
    <w:rsid w:val="00AD7C23"/>
    <w:rsid w:val="00AD7CFE"/>
    <w:rsid w:val="00AE1A75"/>
    <w:rsid w:val="00AE1E36"/>
    <w:rsid w:val="00B013E9"/>
    <w:rsid w:val="00B01D5B"/>
    <w:rsid w:val="00B02BFB"/>
    <w:rsid w:val="00B04581"/>
    <w:rsid w:val="00B062AF"/>
    <w:rsid w:val="00B07FD5"/>
    <w:rsid w:val="00B1078A"/>
    <w:rsid w:val="00B14CF7"/>
    <w:rsid w:val="00B20563"/>
    <w:rsid w:val="00B255C3"/>
    <w:rsid w:val="00B26FC6"/>
    <w:rsid w:val="00B37A2F"/>
    <w:rsid w:val="00B43AA8"/>
    <w:rsid w:val="00B5489C"/>
    <w:rsid w:val="00B5522C"/>
    <w:rsid w:val="00B557C9"/>
    <w:rsid w:val="00B56E1F"/>
    <w:rsid w:val="00B619A0"/>
    <w:rsid w:val="00B654CE"/>
    <w:rsid w:val="00B70A1C"/>
    <w:rsid w:val="00B713C1"/>
    <w:rsid w:val="00B76386"/>
    <w:rsid w:val="00B8052F"/>
    <w:rsid w:val="00B81306"/>
    <w:rsid w:val="00B82A5D"/>
    <w:rsid w:val="00B83657"/>
    <w:rsid w:val="00B839C3"/>
    <w:rsid w:val="00B84309"/>
    <w:rsid w:val="00B86010"/>
    <w:rsid w:val="00B868FA"/>
    <w:rsid w:val="00B90BC1"/>
    <w:rsid w:val="00B94D1D"/>
    <w:rsid w:val="00BA190E"/>
    <w:rsid w:val="00BA55E0"/>
    <w:rsid w:val="00BA7772"/>
    <w:rsid w:val="00BA7C4F"/>
    <w:rsid w:val="00BB0148"/>
    <w:rsid w:val="00BB3E66"/>
    <w:rsid w:val="00BB7A2A"/>
    <w:rsid w:val="00BC2742"/>
    <w:rsid w:val="00BC40E3"/>
    <w:rsid w:val="00BD0893"/>
    <w:rsid w:val="00BD4E24"/>
    <w:rsid w:val="00BE321B"/>
    <w:rsid w:val="00BF01E7"/>
    <w:rsid w:val="00BF241A"/>
    <w:rsid w:val="00BF32FF"/>
    <w:rsid w:val="00BF7D2E"/>
    <w:rsid w:val="00C02F52"/>
    <w:rsid w:val="00C065DD"/>
    <w:rsid w:val="00C1013F"/>
    <w:rsid w:val="00C117AD"/>
    <w:rsid w:val="00C13402"/>
    <w:rsid w:val="00C20DD8"/>
    <w:rsid w:val="00C3227B"/>
    <w:rsid w:val="00C32E99"/>
    <w:rsid w:val="00C35B5C"/>
    <w:rsid w:val="00C4290D"/>
    <w:rsid w:val="00C458C1"/>
    <w:rsid w:val="00C45F69"/>
    <w:rsid w:val="00C5453F"/>
    <w:rsid w:val="00C64D01"/>
    <w:rsid w:val="00C71CC1"/>
    <w:rsid w:val="00C728A2"/>
    <w:rsid w:val="00C728E8"/>
    <w:rsid w:val="00C773F1"/>
    <w:rsid w:val="00C77B0B"/>
    <w:rsid w:val="00C80B72"/>
    <w:rsid w:val="00C810AC"/>
    <w:rsid w:val="00C82306"/>
    <w:rsid w:val="00C83BA5"/>
    <w:rsid w:val="00C840A0"/>
    <w:rsid w:val="00C90FF1"/>
    <w:rsid w:val="00CA2C6C"/>
    <w:rsid w:val="00CA2C82"/>
    <w:rsid w:val="00CA4D13"/>
    <w:rsid w:val="00CA7F4C"/>
    <w:rsid w:val="00CB5D60"/>
    <w:rsid w:val="00CB63B2"/>
    <w:rsid w:val="00CB64AD"/>
    <w:rsid w:val="00CC16EA"/>
    <w:rsid w:val="00CD50C9"/>
    <w:rsid w:val="00CD77D1"/>
    <w:rsid w:val="00CE2885"/>
    <w:rsid w:val="00CE3B19"/>
    <w:rsid w:val="00CE492D"/>
    <w:rsid w:val="00CE5BB3"/>
    <w:rsid w:val="00CF11BD"/>
    <w:rsid w:val="00CF27DA"/>
    <w:rsid w:val="00CF340C"/>
    <w:rsid w:val="00D12DE8"/>
    <w:rsid w:val="00D13003"/>
    <w:rsid w:val="00D1485B"/>
    <w:rsid w:val="00D14ACA"/>
    <w:rsid w:val="00D20A88"/>
    <w:rsid w:val="00D21B80"/>
    <w:rsid w:val="00D226E2"/>
    <w:rsid w:val="00D252A3"/>
    <w:rsid w:val="00D267A0"/>
    <w:rsid w:val="00D27F78"/>
    <w:rsid w:val="00D312F1"/>
    <w:rsid w:val="00D3447C"/>
    <w:rsid w:val="00D40155"/>
    <w:rsid w:val="00D403AA"/>
    <w:rsid w:val="00D406EE"/>
    <w:rsid w:val="00D40FEF"/>
    <w:rsid w:val="00D461F1"/>
    <w:rsid w:val="00D513DF"/>
    <w:rsid w:val="00D549E3"/>
    <w:rsid w:val="00D623A5"/>
    <w:rsid w:val="00D67610"/>
    <w:rsid w:val="00D7687A"/>
    <w:rsid w:val="00D77032"/>
    <w:rsid w:val="00D8138E"/>
    <w:rsid w:val="00D872B3"/>
    <w:rsid w:val="00D976D8"/>
    <w:rsid w:val="00DA2DEA"/>
    <w:rsid w:val="00DA303F"/>
    <w:rsid w:val="00DA5196"/>
    <w:rsid w:val="00DA5768"/>
    <w:rsid w:val="00DA6852"/>
    <w:rsid w:val="00DA7EE5"/>
    <w:rsid w:val="00DB03D9"/>
    <w:rsid w:val="00DB1DF2"/>
    <w:rsid w:val="00DB35C5"/>
    <w:rsid w:val="00DB38F6"/>
    <w:rsid w:val="00DC1793"/>
    <w:rsid w:val="00DC2106"/>
    <w:rsid w:val="00DC3CB1"/>
    <w:rsid w:val="00DD07DB"/>
    <w:rsid w:val="00DD62A6"/>
    <w:rsid w:val="00DD73FC"/>
    <w:rsid w:val="00DE2181"/>
    <w:rsid w:val="00DE7F84"/>
    <w:rsid w:val="00DF18C3"/>
    <w:rsid w:val="00DF3DF5"/>
    <w:rsid w:val="00E04010"/>
    <w:rsid w:val="00E055DA"/>
    <w:rsid w:val="00E15FD6"/>
    <w:rsid w:val="00E21050"/>
    <w:rsid w:val="00E24DA2"/>
    <w:rsid w:val="00E25E37"/>
    <w:rsid w:val="00E25F37"/>
    <w:rsid w:val="00E26FA3"/>
    <w:rsid w:val="00E27B8B"/>
    <w:rsid w:val="00E27F89"/>
    <w:rsid w:val="00E61AD0"/>
    <w:rsid w:val="00E634F8"/>
    <w:rsid w:val="00E6399B"/>
    <w:rsid w:val="00E717D7"/>
    <w:rsid w:val="00E775FE"/>
    <w:rsid w:val="00E77DDC"/>
    <w:rsid w:val="00E806AC"/>
    <w:rsid w:val="00E810D4"/>
    <w:rsid w:val="00E8110F"/>
    <w:rsid w:val="00E84D14"/>
    <w:rsid w:val="00E85A78"/>
    <w:rsid w:val="00E85F5C"/>
    <w:rsid w:val="00E92D0E"/>
    <w:rsid w:val="00E968FE"/>
    <w:rsid w:val="00E97353"/>
    <w:rsid w:val="00EB0E23"/>
    <w:rsid w:val="00EB1F42"/>
    <w:rsid w:val="00EB26A4"/>
    <w:rsid w:val="00EC0E3B"/>
    <w:rsid w:val="00ED001B"/>
    <w:rsid w:val="00ED18AB"/>
    <w:rsid w:val="00ED56D8"/>
    <w:rsid w:val="00ED7A6F"/>
    <w:rsid w:val="00ED7FDF"/>
    <w:rsid w:val="00EE45F9"/>
    <w:rsid w:val="00EE5290"/>
    <w:rsid w:val="00EE7834"/>
    <w:rsid w:val="00EF0ABB"/>
    <w:rsid w:val="00EF3136"/>
    <w:rsid w:val="00EF3BE6"/>
    <w:rsid w:val="00EF44E4"/>
    <w:rsid w:val="00F02618"/>
    <w:rsid w:val="00F035E2"/>
    <w:rsid w:val="00F15C40"/>
    <w:rsid w:val="00F16F30"/>
    <w:rsid w:val="00F26EE6"/>
    <w:rsid w:val="00F43666"/>
    <w:rsid w:val="00F443A2"/>
    <w:rsid w:val="00F45DB3"/>
    <w:rsid w:val="00F4657E"/>
    <w:rsid w:val="00F508AB"/>
    <w:rsid w:val="00F536A2"/>
    <w:rsid w:val="00F53E19"/>
    <w:rsid w:val="00F561CE"/>
    <w:rsid w:val="00F61B24"/>
    <w:rsid w:val="00F6291C"/>
    <w:rsid w:val="00F63AB7"/>
    <w:rsid w:val="00F82B9C"/>
    <w:rsid w:val="00F93518"/>
    <w:rsid w:val="00FC1BE9"/>
    <w:rsid w:val="00FC3DC7"/>
    <w:rsid w:val="00FC410E"/>
    <w:rsid w:val="00FC4EDB"/>
    <w:rsid w:val="00FD1659"/>
    <w:rsid w:val="00FD285E"/>
    <w:rsid w:val="00FD60AD"/>
    <w:rsid w:val="00FD723F"/>
    <w:rsid w:val="00FE229D"/>
    <w:rsid w:val="00FE3772"/>
    <w:rsid w:val="00FE590E"/>
    <w:rsid w:val="00FE6028"/>
    <w:rsid w:val="00FF478C"/>
    <w:rsid w:val="00FF610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838FA8"/>
  <w15:chartTrackingRefBased/>
  <w15:docId w15:val="{19A3C389-6871-9C4A-BCB3-E25580725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654CE"/>
    <w:pPr>
      <w:keepNext/>
      <w:keepLines/>
      <w:spacing w:before="240"/>
      <w:outlineLvl w:val="0"/>
    </w:pPr>
    <w:rPr>
      <w:rFonts w:asciiTheme="majorHAnsi" w:eastAsiaTheme="majorEastAsia" w:hAnsiTheme="majorHAnsi" w:cstheme="majorBidi"/>
      <w:b/>
      <w:color w:val="2F5496" w:themeColor="accent1" w:themeShade="BF"/>
      <w:sz w:val="32"/>
      <w:szCs w:val="32"/>
    </w:rPr>
  </w:style>
  <w:style w:type="paragraph" w:styleId="Ttulo2">
    <w:name w:val="heading 2"/>
    <w:basedOn w:val="Normal"/>
    <w:next w:val="Normal"/>
    <w:link w:val="Ttulo2Car"/>
    <w:uiPriority w:val="9"/>
    <w:unhideWhenUsed/>
    <w:qFormat/>
    <w:rsid w:val="00CB63B2"/>
    <w:pPr>
      <w:keepNext/>
      <w:keepLines/>
      <w:numPr>
        <w:ilvl w:val="1"/>
        <w:numId w:val="2"/>
      </w:numPr>
      <w:spacing w:before="40"/>
      <w:outlineLvl w:val="1"/>
    </w:pPr>
    <w:rPr>
      <w:rFonts w:ascii="Calibri" w:eastAsiaTheme="majorEastAsia" w:hAnsi="Calibri" w:cstheme="majorBidi"/>
      <w:color w:val="2F5496" w:themeColor="accent1" w:themeShade="BF"/>
      <w:sz w:val="26"/>
      <w:szCs w:val="26"/>
      <w:lang w:val="en-US"/>
    </w:rPr>
  </w:style>
  <w:style w:type="paragraph" w:styleId="Ttulo3">
    <w:name w:val="heading 3"/>
    <w:basedOn w:val="Normal"/>
    <w:next w:val="Normal"/>
    <w:link w:val="Ttulo3Car"/>
    <w:uiPriority w:val="9"/>
    <w:unhideWhenUsed/>
    <w:qFormat/>
    <w:rsid w:val="00CB63B2"/>
    <w:pPr>
      <w:keepNext/>
      <w:keepLines/>
      <w:numPr>
        <w:ilvl w:val="2"/>
        <w:numId w:val="2"/>
      </w:numPr>
      <w:spacing w:before="40"/>
      <w:outlineLvl w:val="2"/>
    </w:pPr>
    <w:rPr>
      <w:rFonts w:ascii="Calibri" w:eastAsiaTheme="majorEastAsia" w:hAnsi="Calibri" w:cstheme="majorBidi"/>
      <w:color w:val="5B9BD5" w:themeColor="accent5"/>
      <w:lang w:val="en-US"/>
    </w:rPr>
  </w:style>
  <w:style w:type="paragraph" w:styleId="Ttulo4">
    <w:name w:val="heading 4"/>
    <w:basedOn w:val="Normal"/>
    <w:next w:val="Normal"/>
    <w:link w:val="Ttulo4Car"/>
    <w:uiPriority w:val="9"/>
    <w:unhideWhenUsed/>
    <w:qFormat/>
    <w:rsid w:val="00CB63B2"/>
    <w:pPr>
      <w:keepNext/>
      <w:keepLines/>
      <w:numPr>
        <w:ilvl w:val="3"/>
        <w:numId w:val="2"/>
      </w:numPr>
      <w:spacing w:before="40"/>
      <w:outlineLvl w:val="3"/>
    </w:pPr>
    <w:rPr>
      <w:rFonts w:asciiTheme="majorHAnsi" w:eastAsiaTheme="majorEastAsia" w:hAnsiTheme="majorHAnsi" w:cstheme="majorBidi"/>
      <w:i/>
      <w:iCs/>
      <w:color w:val="2F5496" w:themeColor="accent1" w:themeShade="BF"/>
      <w:sz w:val="22"/>
      <w:szCs w:val="22"/>
      <w:lang w:val="en-US"/>
    </w:rPr>
  </w:style>
  <w:style w:type="paragraph" w:styleId="Ttulo5">
    <w:name w:val="heading 5"/>
    <w:basedOn w:val="Normal"/>
    <w:next w:val="Normal"/>
    <w:link w:val="Ttulo5Car"/>
    <w:uiPriority w:val="9"/>
    <w:unhideWhenUsed/>
    <w:qFormat/>
    <w:rsid w:val="00CB63B2"/>
    <w:pPr>
      <w:keepNext/>
      <w:keepLines/>
      <w:numPr>
        <w:ilvl w:val="4"/>
        <w:numId w:val="2"/>
      </w:numPr>
      <w:spacing w:before="40"/>
      <w:outlineLvl w:val="4"/>
    </w:pPr>
    <w:rPr>
      <w:rFonts w:asciiTheme="majorHAnsi" w:eastAsiaTheme="majorEastAsia" w:hAnsiTheme="majorHAnsi" w:cstheme="majorBidi"/>
      <w:color w:val="2F5496" w:themeColor="accent1" w:themeShade="BF"/>
      <w:sz w:val="22"/>
      <w:szCs w:val="22"/>
      <w:lang w:val="en-US"/>
    </w:rPr>
  </w:style>
  <w:style w:type="paragraph" w:styleId="Ttulo6">
    <w:name w:val="heading 6"/>
    <w:basedOn w:val="Normal"/>
    <w:next w:val="Normal"/>
    <w:link w:val="Ttulo6Car"/>
    <w:uiPriority w:val="9"/>
    <w:unhideWhenUsed/>
    <w:qFormat/>
    <w:rsid w:val="00CB63B2"/>
    <w:pPr>
      <w:keepNext/>
      <w:keepLines/>
      <w:numPr>
        <w:ilvl w:val="5"/>
        <w:numId w:val="2"/>
      </w:numPr>
      <w:spacing w:before="40"/>
      <w:outlineLvl w:val="5"/>
    </w:pPr>
    <w:rPr>
      <w:rFonts w:asciiTheme="majorHAnsi" w:eastAsiaTheme="majorEastAsia" w:hAnsiTheme="majorHAnsi" w:cstheme="majorBidi"/>
      <w:color w:val="1F3763" w:themeColor="accent1" w:themeShade="7F"/>
      <w:sz w:val="22"/>
      <w:szCs w:val="22"/>
      <w:lang w:val="en-US"/>
    </w:rPr>
  </w:style>
  <w:style w:type="paragraph" w:styleId="Ttulo7">
    <w:name w:val="heading 7"/>
    <w:basedOn w:val="Normal"/>
    <w:next w:val="Normal"/>
    <w:link w:val="Ttulo7Car"/>
    <w:uiPriority w:val="9"/>
    <w:unhideWhenUsed/>
    <w:qFormat/>
    <w:rsid w:val="00CB63B2"/>
    <w:pPr>
      <w:keepNext/>
      <w:keepLines/>
      <w:numPr>
        <w:ilvl w:val="6"/>
        <w:numId w:val="2"/>
      </w:numPr>
      <w:spacing w:before="40"/>
      <w:outlineLvl w:val="6"/>
    </w:pPr>
    <w:rPr>
      <w:rFonts w:asciiTheme="majorHAnsi" w:eastAsiaTheme="majorEastAsia" w:hAnsiTheme="majorHAnsi" w:cstheme="majorBidi"/>
      <w:i/>
      <w:iCs/>
      <w:color w:val="1F3763" w:themeColor="accent1" w:themeShade="7F"/>
      <w:sz w:val="22"/>
      <w:szCs w:val="22"/>
      <w:lang w:val="en-US"/>
    </w:rPr>
  </w:style>
  <w:style w:type="paragraph" w:styleId="Ttulo8">
    <w:name w:val="heading 8"/>
    <w:basedOn w:val="Normal"/>
    <w:next w:val="Normal"/>
    <w:link w:val="Ttulo8Car"/>
    <w:uiPriority w:val="9"/>
    <w:semiHidden/>
    <w:unhideWhenUsed/>
    <w:qFormat/>
    <w:rsid w:val="00CB63B2"/>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lang w:val="en-US"/>
    </w:rPr>
  </w:style>
  <w:style w:type="paragraph" w:styleId="Ttulo9">
    <w:name w:val="heading 9"/>
    <w:basedOn w:val="Normal"/>
    <w:next w:val="Normal"/>
    <w:link w:val="Ttulo9Car"/>
    <w:uiPriority w:val="9"/>
    <w:semiHidden/>
    <w:unhideWhenUsed/>
    <w:qFormat/>
    <w:rsid w:val="00CB63B2"/>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Párrafo dentro,Normal N3,Arial 8,Bullet,Párrafo de lista11,List Paragraph1,Lista1,Párrafo de lista - cat,Resume Title,Dot pt,No Spacing1,List Paragraph Char Char Char,Indicator Text,Numbered Para 1,Bullet Points,MAIN CONTENT,b1,K1"/>
    <w:basedOn w:val="Normal"/>
    <w:link w:val="PrrafodelistaCar"/>
    <w:uiPriority w:val="34"/>
    <w:qFormat/>
    <w:rsid w:val="0068392B"/>
    <w:pPr>
      <w:ind w:left="720"/>
      <w:contextualSpacing/>
    </w:pPr>
    <w:rPr>
      <w:rFonts w:ascii="Times New Roman" w:eastAsia="PMingLiU" w:hAnsi="Times New Roman" w:cs="Times New Roman"/>
      <w:sz w:val="22"/>
      <w:szCs w:val="22"/>
      <w:lang w:val="en-US"/>
    </w:rPr>
  </w:style>
  <w:style w:type="character" w:customStyle="1" w:styleId="PrrafodelistaCar">
    <w:name w:val="Párrafo de lista Car"/>
    <w:aliases w:val="List Car,Párrafo dentro Car,Normal N3 Car,Arial 8 Car,Bullet Car,Párrafo de lista11 Car,List Paragraph1 Car,Lista1 Car,Párrafo de lista - cat Car,Resume Title Car,Dot pt Car,No Spacing1 Car,List Paragraph Char Char Char Car,b1 Car"/>
    <w:link w:val="Prrafodelista"/>
    <w:uiPriority w:val="34"/>
    <w:qFormat/>
    <w:rsid w:val="0068392B"/>
    <w:rPr>
      <w:rFonts w:ascii="Times New Roman" w:eastAsia="PMingLiU" w:hAnsi="Times New Roman" w:cs="Times New Roman"/>
      <w:sz w:val="22"/>
      <w:szCs w:val="22"/>
      <w:lang w:val="en-US"/>
    </w:rPr>
  </w:style>
  <w:style w:type="paragraph" w:customStyle="1" w:styleId="Default">
    <w:name w:val="Default"/>
    <w:rsid w:val="0068392B"/>
    <w:pPr>
      <w:autoSpaceDE w:val="0"/>
      <w:autoSpaceDN w:val="0"/>
      <w:adjustRightInd w:val="0"/>
    </w:pPr>
    <w:rPr>
      <w:rFonts w:ascii="Times New Roman" w:hAnsi="Times New Roman" w:cs="Times New Roman"/>
      <w:color w:val="000000"/>
    </w:rPr>
  </w:style>
  <w:style w:type="table" w:styleId="Tablaconcuadrcula">
    <w:name w:val="Table Grid"/>
    <w:basedOn w:val="Tablanormal"/>
    <w:uiPriority w:val="39"/>
    <w:rsid w:val="0068392B"/>
    <w:rPr>
      <w:sz w:val="22"/>
      <w:szCs w:val="22"/>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uiPriority w:val="22"/>
    <w:qFormat/>
    <w:rsid w:val="0068392B"/>
    <w:rPr>
      <w:b/>
      <w:bCs/>
      <w:color w:val="FFFFFF" w:themeColor="background1"/>
    </w:rPr>
  </w:style>
  <w:style w:type="character" w:customStyle="1" w:styleId="Ttulo2Car">
    <w:name w:val="Título 2 Car"/>
    <w:basedOn w:val="Fuentedeprrafopredeter"/>
    <w:link w:val="Ttulo2"/>
    <w:uiPriority w:val="9"/>
    <w:rsid w:val="00CB63B2"/>
    <w:rPr>
      <w:rFonts w:ascii="Calibri" w:eastAsiaTheme="majorEastAsia" w:hAnsi="Calibr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CB63B2"/>
    <w:rPr>
      <w:rFonts w:ascii="Calibri" w:eastAsiaTheme="majorEastAsia" w:hAnsi="Calibri" w:cstheme="majorBidi"/>
      <w:color w:val="5B9BD5" w:themeColor="accent5"/>
      <w:lang w:val="en-US"/>
    </w:rPr>
  </w:style>
  <w:style w:type="character" w:customStyle="1" w:styleId="Ttulo4Car">
    <w:name w:val="Título 4 Car"/>
    <w:basedOn w:val="Fuentedeprrafopredeter"/>
    <w:link w:val="Ttulo4"/>
    <w:uiPriority w:val="9"/>
    <w:rsid w:val="00CB63B2"/>
    <w:rPr>
      <w:rFonts w:asciiTheme="majorHAnsi" w:eastAsiaTheme="majorEastAsia" w:hAnsiTheme="majorHAnsi" w:cstheme="majorBidi"/>
      <w:i/>
      <w:iCs/>
      <w:color w:val="2F5496" w:themeColor="accent1" w:themeShade="BF"/>
      <w:sz w:val="22"/>
      <w:szCs w:val="22"/>
      <w:lang w:val="en-US"/>
    </w:rPr>
  </w:style>
  <w:style w:type="character" w:customStyle="1" w:styleId="Ttulo5Car">
    <w:name w:val="Título 5 Car"/>
    <w:basedOn w:val="Fuentedeprrafopredeter"/>
    <w:link w:val="Ttulo5"/>
    <w:uiPriority w:val="9"/>
    <w:rsid w:val="00CB63B2"/>
    <w:rPr>
      <w:rFonts w:asciiTheme="majorHAnsi" w:eastAsiaTheme="majorEastAsia" w:hAnsiTheme="majorHAnsi" w:cstheme="majorBidi"/>
      <w:color w:val="2F5496" w:themeColor="accent1" w:themeShade="BF"/>
      <w:sz w:val="22"/>
      <w:szCs w:val="22"/>
      <w:lang w:val="en-US"/>
    </w:rPr>
  </w:style>
  <w:style w:type="character" w:customStyle="1" w:styleId="Ttulo6Car">
    <w:name w:val="Título 6 Car"/>
    <w:basedOn w:val="Fuentedeprrafopredeter"/>
    <w:link w:val="Ttulo6"/>
    <w:uiPriority w:val="9"/>
    <w:rsid w:val="00CB63B2"/>
    <w:rPr>
      <w:rFonts w:asciiTheme="majorHAnsi" w:eastAsiaTheme="majorEastAsia" w:hAnsiTheme="majorHAnsi" w:cstheme="majorBidi"/>
      <w:color w:val="1F3763" w:themeColor="accent1" w:themeShade="7F"/>
      <w:sz w:val="22"/>
      <w:szCs w:val="22"/>
      <w:lang w:val="en-US"/>
    </w:rPr>
  </w:style>
  <w:style w:type="character" w:customStyle="1" w:styleId="Ttulo7Car">
    <w:name w:val="Título 7 Car"/>
    <w:basedOn w:val="Fuentedeprrafopredeter"/>
    <w:link w:val="Ttulo7"/>
    <w:uiPriority w:val="9"/>
    <w:rsid w:val="00CB63B2"/>
    <w:rPr>
      <w:rFonts w:asciiTheme="majorHAnsi" w:eastAsiaTheme="majorEastAsia" w:hAnsiTheme="majorHAnsi" w:cstheme="majorBidi"/>
      <w:i/>
      <w:iCs/>
      <w:color w:val="1F3763" w:themeColor="accent1" w:themeShade="7F"/>
      <w:sz w:val="22"/>
      <w:szCs w:val="22"/>
      <w:lang w:val="en-US"/>
    </w:rPr>
  </w:style>
  <w:style w:type="character" w:customStyle="1" w:styleId="Ttulo8Car">
    <w:name w:val="Título 8 Car"/>
    <w:basedOn w:val="Fuentedeprrafopredeter"/>
    <w:link w:val="Ttulo8"/>
    <w:uiPriority w:val="9"/>
    <w:semiHidden/>
    <w:rsid w:val="00CB63B2"/>
    <w:rPr>
      <w:rFonts w:asciiTheme="majorHAnsi" w:eastAsiaTheme="majorEastAsia" w:hAnsiTheme="majorHAnsi" w:cstheme="majorBidi"/>
      <w:color w:val="272727" w:themeColor="text1" w:themeTint="D8"/>
      <w:sz w:val="21"/>
      <w:szCs w:val="21"/>
      <w:lang w:val="en-US"/>
    </w:rPr>
  </w:style>
  <w:style w:type="character" w:customStyle="1" w:styleId="Ttulo9Car">
    <w:name w:val="Título 9 Car"/>
    <w:basedOn w:val="Fuentedeprrafopredeter"/>
    <w:link w:val="Ttulo9"/>
    <w:uiPriority w:val="9"/>
    <w:semiHidden/>
    <w:rsid w:val="00CB63B2"/>
    <w:rPr>
      <w:rFonts w:asciiTheme="majorHAnsi" w:eastAsiaTheme="majorEastAsia" w:hAnsiTheme="majorHAnsi" w:cstheme="majorBidi"/>
      <w:i/>
      <w:iCs/>
      <w:color w:val="272727" w:themeColor="text1" w:themeTint="D8"/>
      <w:sz w:val="21"/>
      <w:szCs w:val="21"/>
      <w:lang w:val="en-US"/>
    </w:rPr>
  </w:style>
  <w:style w:type="character" w:styleId="Refdecomentario">
    <w:name w:val="annotation reference"/>
    <w:basedOn w:val="Fuentedeprrafopredeter"/>
    <w:uiPriority w:val="99"/>
    <w:semiHidden/>
    <w:unhideWhenUsed/>
    <w:rsid w:val="00F63AB7"/>
    <w:rPr>
      <w:sz w:val="16"/>
      <w:szCs w:val="16"/>
    </w:rPr>
  </w:style>
  <w:style w:type="paragraph" w:styleId="Textocomentario">
    <w:name w:val="annotation text"/>
    <w:basedOn w:val="Normal"/>
    <w:link w:val="TextocomentarioCar"/>
    <w:uiPriority w:val="99"/>
    <w:unhideWhenUsed/>
    <w:rsid w:val="00F63AB7"/>
    <w:pPr>
      <w:spacing w:after="160"/>
    </w:pPr>
    <w:rPr>
      <w:sz w:val="20"/>
      <w:szCs w:val="20"/>
      <w:lang w:val="en-GB"/>
    </w:rPr>
  </w:style>
  <w:style w:type="character" w:customStyle="1" w:styleId="TextocomentarioCar">
    <w:name w:val="Texto comentario Car"/>
    <w:basedOn w:val="Fuentedeprrafopredeter"/>
    <w:link w:val="Textocomentario"/>
    <w:uiPriority w:val="99"/>
    <w:rsid w:val="00F63AB7"/>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F63AB7"/>
    <w:rPr>
      <w:b/>
      <w:bCs/>
    </w:rPr>
  </w:style>
  <w:style w:type="character" w:customStyle="1" w:styleId="AsuntodelcomentarioCar">
    <w:name w:val="Asunto del comentario Car"/>
    <w:basedOn w:val="TextocomentarioCar"/>
    <w:link w:val="Asuntodelcomentario"/>
    <w:uiPriority w:val="99"/>
    <w:semiHidden/>
    <w:rsid w:val="00F63AB7"/>
    <w:rPr>
      <w:b/>
      <w:bCs/>
      <w:sz w:val="20"/>
      <w:szCs w:val="20"/>
      <w:lang w:val="en-GB"/>
    </w:rPr>
  </w:style>
  <w:style w:type="paragraph" w:styleId="Textodeglobo">
    <w:name w:val="Balloon Text"/>
    <w:basedOn w:val="Normal"/>
    <w:link w:val="TextodegloboCar"/>
    <w:uiPriority w:val="99"/>
    <w:semiHidden/>
    <w:unhideWhenUsed/>
    <w:rsid w:val="00F63AB7"/>
    <w:rPr>
      <w:rFonts w:ascii="Segoe UI" w:hAnsi="Segoe UI" w:cs="Segoe UI"/>
      <w:sz w:val="18"/>
      <w:szCs w:val="18"/>
      <w:lang w:val="en-GB"/>
    </w:rPr>
  </w:style>
  <w:style w:type="character" w:customStyle="1" w:styleId="TextodegloboCar">
    <w:name w:val="Texto de globo Car"/>
    <w:basedOn w:val="Fuentedeprrafopredeter"/>
    <w:link w:val="Textodeglobo"/>
    <w:uiPriority w:val="99"/>
    <w:semiHidden/>
    <w:rsid w:val="00F63AB7"/>
    <w:rPr>
      <w:rFonts w:ascii="Segoe UI" w:hAnsi="Segoe UI" w:cs="Segoe UI"/>
      <w:sz w:val="18"/>
      <w:szCs w:val="18"/>
      <w:lang w:val="en-GB"/>
    </w:rPr>
  </w:style>
  <w:style w:type="character" w:styleId="nfasis">
    <w:name w:val="Emphasis"/>
    <w:basedOn w:val="Fuentedeprrafopredeter"/>
    <w:uiPriority w:val="20"/>
    <w:qFormat/>
    <w:rsid w:val="00F63AB7"/>
    <w:rPr>
      <w:i/>
      <w:iCs/>
    </w:rPr>
  </w:style>
  <w:style w:type="character" w:styleId="Hipervnculo">
    <w:name w:val="Hyperlink"/>
    <w:basedOn w:val="Fuentedeprrafopredeter"/>
    <w:uiPriority w:val="99"/>
    <w:unhideWhenUsed/>
    <w:rsid w:val="00F63AB7"/>
    <w:rPr>
      <w:color w:val="0000FF"/>
      <w:u w:val="single"/>
    </w:rPr>
  </w:style>
  <w:style w:type="table" w:styleId="Tablaconcuadrculaclara">
    <w:name w:val="Grid Table Light"/>
    <w:basedOn w:val="Tablanormal"/>
    <w:uiPriority w:val="40"/>
    <w:rsid w:val="00F63AB7"/>
    <w:rPr>
      <w:sz w:val="22"/>
      <w:szCs w:val="22"/>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2">
    <w:name w:val="Plain Table 2"/>
    <w:basedOn w:val="Tablanormal"/>
    <w:uiPriority w:val="42"/>
    <w:rsid w:val="00F63AB7"/>
    <w:rPr>
      <w:sz w:val="22"/>
      <w:szCs w:val="22"/>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5">
    <w:name w:val="Plain Table 5"/>
    <w:basedOn w:val="Tablanormal"/>
    <w:uiPriority w:val="45"/>
    <w:rsid w:val="00F63AB7"/>
    <w:rPr>
      <w:sz w:val="22"/>
      <w:szCs w:val="22"/>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iedepgina">
    <w:name w:val="footer"/>
    <w:basedOn w:val="Normal"/>
    <w:link w:val="PiedepginaCar"/>
    <w:uiPriority w:val="99"/>
    <w:unhideWhenUsed/>
    <w:rsid w:val="00F63AB7"/>
    <w:pPr>
      <w:tabs>
        <w:tab w:val="center" w:pos="4419"/>
        <w:tab w:val="right" w:pos="8838"/>
      </w:tabs>
    </w:pPr>
    <w:rPr>
      <w:sz w:val="22"/>
      <w:szCs w:val="22"/>
      <w:lang w:val="en-GB"/>
    </w:rPr>
  </w:style>
  <w:style w:type="character" w:customStyle="1" w:styleId="PiedepginaCar">
    <w:name w:val="Pie de página Car"/>
    <w:basedOn w:val="Fuentedeprrafopredeter"/>
    <w:link w:val="Piedepgina"/>
    <w:uiPriority w:val="99"/>
    <w:rsid w:val="00F63AB7"/>
    <w:rPr>
      <w:sz w:val="22"/>
      <w:szCs w:val="22"/>
      <w:lang w:val="en-GB"/>
    </w:rPr>
  </w:style>
  <w:style w:type="character" w:styleId="Nmerodepgina">
    <w:name w:val="page number"/>
    <w:basedOn w:val="Fuentedeprrafopredeter"/>
    <w:uiPriority w:val="99"/>
    <w:semiHidden/>
    <w:unhideWhenUsed/>
    <w:rsid w:val="00F63AB7"/>
  </w:style>
  <w:style w:type="paragraph" w:styleId="Encabezado">
    <w:name w:val="header"/>
    <w:basedOn w:val="Normal"/>
    <w:link w:val="EncabezadoCar"/>
    <w:uiPriority w:val="99"/>
    <w:unhideWhenUsed/>
    <w:rsid w:val="009909B1"/>
    <w:pPr>
      <w:tabs>
        <w:tab w:val="center" w:pos="4419"/>
        <w:tab w:val="right" w:pos="8838"/>
      </w:tabs>
    </w:pPr>
  </w:style>
  <w:style w:type="character" w:customStyle="1" w:styleId="EncabezadoCar">
    <w:name w:val="Encabezado Car"/>
    <w:basedOn w:val="Fuentedeprrafopredeter"/>
    <w:link w:val="Encabezado"/>
    <w:uiPriority w:val="99"/>
    <w:rsid w:val="009909B1"/>
  </w:style>
  <w:style w:type="paragraph" w:styleId="Textonotapie">
    <w:name w:val="footnote text"/>
    <w:aliases w:val="Schriftart: 9 pt,Schriftart: 10 pt,Schriftart: 8 pt,WB-Fußnotentext,fn,Footnotes,Footnote ak,FoodNote,ft,Footnote text,Footnote,Footnote Text Char1 Char Char,Testo nota a piè di pagina_Rientro,stile 1,Footnote1,Footnote2,Footnote3"/>
    <w:basedOn w:val="Normal"/>
    <w:link w:val="TextonotapieCar"/>
    <w:uiPriority w:val="99"/>
    <w:qFormat/>
    <w:rsid w:val="00BF7D2E"/>
    <w:rPr>
      <w:rFonts w:ascii="Times New Roman" w:eastAsia="Times New Roman" w:hAnsi="Times New Roman" w:cs="Times New Roman"/>
      <w:sz w:val="20"/>
      <w:szCs w:val="20"/>
      <w:lang w:eastAsia="es-ES"/>
    </w:rPr>
  </w:style>
  <w:style w:type="character" w:customStyle="1" w:styleId="TextonotapieCar">
    <w:name w:val="Texto nota pie Car"/>
    <w:aliases w:val="Schriftart: 9 pt Car,Schriftart: 10 pt Car,Schriftart: 8 pt Car,WB-Fußnotentext Car,fn Car,Footnotes Car,Footnote ak Car,FoodNote Car,ft Car,Footnote text Car,Footnote Car,Footnote Text Char1 Char Char Car,stile 1 Car,Footnote1 Car"/>
    <w:basedOn w:val="Fuentedeprrafopredeter"/>
    <w:link w:val="Textonotapie"/>
    <w:uiPriority w:val="99"/>
    <w:rsid w:val="00BF7D2E"/>
    <w:rPr>
      <w:rFonts w:ascii="Times New Roman" w:eastAsia="Times New Roman" w:hAnsi="Times New Roman" w:cs="Times New Roman"/>
      <w:sz w:val="20"/>
      <w:szCs w:val="20"/>
      <w:lang w:eastAsia="es-ES"/>
    </w:rPr>
  </w:style>
  <w:style w:type="character" w:styleId="Refdenotaalpie">
    <w:name w:val="footnote reference"/>
    <w:aliases w:val="Footnote symbol,Times 10 Point,Exposant 3 Point,Footnote reference number,Odwołanie przypisu,number,16 Point,Superscript 6 Point,SUPERS,Voetnootverwijzing,Footnote number,fr,Footnotemark,FR,FR1,FR2,note TES"/>
    <w:uiPriority w:val="99"/>
    <w:qFormat/>
    <w:rsid w:val="00BF7D2E"/>
    <w:rPr>
      <w:vertAlign w:val="superscript"/>
    </w:rPr>
  </w:style>
  <w:style w:type="paragraph" w:styleId="NormalWeb">
    <w:name w:val="Normal (Web)"/>
    <w:basedOn w:val="Normal"/>
    <w:uiPriority w:val="99"/>
    <w:unhideWhenUsed/>
    <w:rsid w:val="00DA303F"/>
    <w:pPr>
      <w:spacing w:before="100" w:beforeAutospacing="1" w:after="100" w:afterAutospacing="1"/>
    </w:pPr>
    <w:rPr>
      <w:rFonts w:ascii="Times New Roman" w:eastAsiaTheme="minorEastAsia" w:hAnsi="Times New Roman" w:cs="Times New Roman"/>
      <w:lang w:eastAsia="es-ES"/>
    </w:rPr>
  </w:style>
  <w:style w:type="character" w:customStyle="1" w:styleId="Ttulo1Car">
    <w:name w:val="Título 1 Car"/>
    <w:basedOn w:val="Fuentedeprrafopredeter"/>
    <w:link w:val="Ttulo1"/>
    <w:uiPriority w:val="9"/>
    <w:rsid w:val="00B654CE"/>
    <w:rPr>
      <w:rFonts w:asciiTheme="majorHAnsi" w:eastAsiaTheme="majorEastAsia" w:hAnsiTheme="majorHAnsi" w:cstheme="majorBidi"/>
      <w:b/>
      <w:color w:val="2F5496" w:themeColor="accent1" w:themeShade="BF"/>
      <w:sz w:val="32"/>
      <w:szCs w:val="32"/>
    </w:rPr>
  </w:style>
  <w:style w:type="character" w:styleId="nfasisintenso">
    <w:name w:val="Intense Emphasis"/>
    <w:basedOn w:val="Fuentedeprrafopredeter"/>
    <w:uiPriority w:val="21"/>
    <w:qFormat/>
    <w:rsid w:val="00DD62A6"/>
    <w:rPr>
      <w:i/>
      <w:iCs/>
      <w:color w:val="4472C4" w:themeColor="accent1"/>
    </w:rPr>
  </w:style>
  <w:style w:type="character" w:styleId="Textodelmarcadordeposicin">
    <w:name w:val="Placeholder Text"/>
    <w:basedOn w:val="Fuentedeprrafopredeter"/>
    <w:uiPriority w:val="99"/>
    <w:semiHidden/>
    <w:rsid w:val="00403C72"/>
    <w:rPr>
      <w:color w:val="808080"/>
    </w:rPr>
  </w:style>
  <w:style w:type="paragraph" w:customStyle="1" w:styleId="Pa8">
    <w:name w:val="Pa8"/>
    <w:basedOn w:val="Normal"/>
    <w:next w:val="Normal"/>
    <w:uiPriority w:val="99"/>
    <w:rsid w:val="004257F4"/>
    <w:pPr>
      <w:autoSpaceDE w:val="0"/>
      <w:autoSpaceDN w:val="0"/>
      <w:adjustRightInd w:val="0"/>
      <w:spacing w:line="221" w:lineRule="atLeast"/>
    </w:pPr>
    <w:rPr>
      <w:rFonts w:ascii="Zilla Slab SemiBold" w:hAnsi="Zilla Slab SemiBold"/>
      <w14:ligatures w14:val="standardContextual"/>
    </w:rPr>
  </w:style>
  <w:style w:type="paragraph" w:customStyle="1" w:styleId="Pa10">
    <w:name w:val="Pa10"/>
    <w:basedOn w:val="Normal"/>
    <w:next w:val="Normal"/>
    <w:uiPriority w:val="99"/>
    <w:rsid w:val="004257F4"/>
    <w:pPr>
      <w:autoSpaceDE w:val="0"/>
      <w:autoSpaceDN w:val="0"/>
      <w:adjustRightInd w:val="0"/>
      <w:spacing w:line="221" w:lineRule="atLeast"/>
    </w:pPr>
    <w:rPr>
      <w:rFonts w:ascii="Zilla Slab SemiBold" w:hAnsi="Zilla Slab SemiBold"/>
      <w14:ligatures w14:val="standardContextual"/>
    </w:rPr>
  </w:style>
  <w:style w:type="character" w:customStyle="1" w:styleId="apple-tab-span">
    <w:name w:val="apple-tab-span"/>
    <w:basedOn w:val="Fuentedeprrafopredeter"/>
    <w:rsid w:val="00E26FA3"/>
  </w:style>
  <w:style w:type="character" w:customStyle="1" w:styleId="Prrafoingls">
    <w:name w:val="Párrafo inglés"/>
    <w:basedOn w:val="Fuentedeprrafopredeter"/>
    <w:uiPriority w:val="99"/>
    <w:rsid w:val="009732B9"/>
    <w:rPr>
      <w:rFonts w:ascii="Arial" w:hAnsi="Arial" w:cs="Arial"/>
      <w:i/>
      <w:iCs/>
      <w:sz w:val="20"/>
      <w:szCs w:val="20"/>
    </w:rPr>
  </w:style>
  <w:style w:type="character" w:customStyle="1" w:styleId="Prrafo">
    <w:name w:val="Párrafo"/>
    <w:uiPriority w:val="99"/>
    <w:rsid w:val="009732B9"/>
    <w:rPr>
      <w:rFonts w:ascii="Arial" w:hAnsi="Arial" w:cs="Arial"/>
      <w:sz w:val="20"/>
      <w:szCs w:val="20"/>
    </w:rPr>
  </w:style>
  <w:style w:type="character" w:customStyle="1" w:styleId="Mencinsinresolver1">
    <w:name w:val="Mención sin resolver1"/>
    <w:basedOn w:val="Fuentedeprrafopredeter"/>
    <w:uiPriority w:val="99"/>
    <w:semiHidden/>
    <w:unhideWhenUsed/>
    <w:rsid w:val="00CF27DA"/>
    <w:rPr>
      <w:color w:val="605E5C"/>
      <w:shd w:val="clear" w:color="auto" w:fill="E1DFDD"/>
    </w:rPr>
  </w:style>
  <w:style w:type="paragraph" w:styleId="Revisin">
    <w:name w:val="Revision"/>
    <w:hidden/>
    <w:uiPriority w:val="99"/>
    <w:semiHidden/>
    <w:rsid w:val="00426D7B"/>
  </w:style>
  <w:style w:type="character" w:styleId="Referenciasutil">
    <w:name w:val="Subtle Reference"/>
    <w:uiPriority w:val="31"/>
    <w:qFormat/>
    <w:rsid w:val="00555AEB"/>
    <w:rPr>
      <w:rFonts w:asciiTheme="minorHAnsi" w:hAnsiTheme="minorHAnsi"/>
      <w:sz w:val="20"/>
    </w:rPr>
  </w:style>
  <w:style w:type="character" w:customStyle="1" w:styleId="apple-converted-space">
    <w:name w:val="apple-converted-space"/>
    <w:basedOn w:val="Fuentedeprrafopredeter"/>
    <w:rsid w:val="00555AEB"/>
  </w:style>
  <w:style w:type="paragraph" w:styleId="Lista">
    <w:name w:val="List"/>
    <w:aliases w:val="ANECA Lista"/>
    <w:basedOn w:val="Normal"/>
    <w:uiPriority w:val="99"/>
    <w:semiHidden/>
    <w:unhideWhenUsed/>
    <w:rsid w:val="00555AEB"/>
    <w:pPr>
      <w:ind w:left="720"/>
      <w:contextualSpacing/>
    </w:pPr>
    <w:rPr>
      <w:sz w:val="22"/>
      <w:szCs w:val="22"/>
    </w:rPr>
  </w:style>
  <w:style w:type="character" w:styleId="Refdenotaalfinal">
    <w:name w:val="endnote reference"/>
    <w:basedOn w:val="Fuentedeprrafopredeter"/>
    <w:uiPriority w:val="99"/>
    <w:semiHidden/>
    <w:unhideWhenUsed/>
    <w:rsid w:val="00555AEB"/>
    <w:rPr>
      <w:vertAlign w:val="superscript"/>
    </w:rPr>
  </w:style>
  <w:style w:type="paragraph" w:styleId="Bibliografa">
    <w:name w:val="Bibliography"/>
    <w:basedOn w:val="Normal"/>
    <w:next w:val="Normal"/>
    <w:uiPriority w:val="37"/>
    <w:unhideWhenUsed/>
    <w:rsid w:val="00555AEB"/>
    <w:pPr>
      <w:spacing w:after="100" w:line="240" w:lineRule="atLeast"/>
    </w:pPr>
    <w:rPr>
      <w:rFonts w:ascii="Times New Roman" w:hAnsi="Times New Roman" w:cs="Times New Roman"/>
      <w:sz w:val="20"/>
      <w:szCs w:val="20"/>
    </w:rPr>
  </w:style>
  <w:style w:type="paragraph" w:styleId="TDC1">
    <w:name w:val="toc 1"/>
    <w:basedOn w:val="Normal"/>
    <w:next w:val="Normal"/>
    <w:autoRedefine/>
    <w:uiPriority w:val="39"/>
    <w:unhideWhenUsed/>
    <w:rsid w:val="00555AEB"/>
    <w:pPr>
      <w:tabs>
        <w:tab w:val="left" w:pos="425"/>
        <w:tab w:val="right" w:leader="dot" w:pos="8505"/>
      </w:tabs>
      <w:spacing w:before="100" w:line="240" w:lineRule="atLeast"/>
    </w:pPr>
    <w:rPr>
      <w:rFonts w:ascii="Arial" w:hAnsi="Arial"/>
      <w:b/>
      <w:sz w:val="22"/>
      <w:szCs w:val="22"/>
    </w:rPr>
  </w:style>
  <w:style w:type="paragraph" w:styleId="TDC3">
    <w:name w:val="toc 3"/>
    <w:basedOn w:val="Normal"/>
    <w:next w:val="Normal"/>
    <w:autoRedefine/>
    <w:uiPriority w:val="39"/>
    <w:unhideWhenUsed/>
    <w:rsid w:val="00555AEB"/>
    <w:pPr>
      <w:tabs>
        <w:tab w:val="left" w:pos="1134"/>
        <w:tab w:val="left" w:pos="1701"/>
        <w:tab w:val="right" w:leader="dot" w:pos="8505"/>
      </w:tabs>
      <w:spacing w:line="240" w:lineRule="atLeast"/>
      <w:ind w:left="992"/>
    </w:pPr>
    <w:rPr>
      <w:rFonts w:ascii="Arial" w:hAnsi="Arial"/>
      <w:sz w:val="16"/>
      <w:szCs w:val="22"/>
    </w:rPr>
  </w:style>
  <w:style w:type="paragraph" w:styleId="TDC2">
    <w:name w:val="toc 2"/>
    <w:basedOn w:val="Normal"/>
    <w:next w:val="Normal"/>
    <w:autoRedefine/>
    <w:uiPriority w:val="39"/>
    <w:unhideWhenUsed/>
    <w:rsid w:val="00555AEB"/>
    <w:pPr>
      <w:tabs>
        <w:tab w:val="left" w:pos="992"/>
        <w:tab w:val="right" w:leader="dot" w:pos="8505"/>
      </w:tabs>
      <w:spacing w:line="240" w:lineRule="atLeast"/>
      <w:ind w:left="425"/>
    </w:pPr>
    <w:rPr>
      <w:rFonts w:ascii="Arial" w:hAnsi="Arial"/>
      <w:b/>
      <w:sz w:val="18"/>
      <w:szCs w:val="22"/>
    </w:rPr>
  </w:style>
  <w:style w:type="paragraph" w:styleId="TDC4">
    <w:name w:val="toc 4"/>
    <w:basedOn w:val="Normal"/>
    <w:next w:val="Normal"/>
    <w:autoRedefine/>
    <w:uiPriority w:val="39"/>
    <w:unhideWhenUsed/>
    <w:rsid w:val="00555AEB"/>
    <w:pPr>
      <w:tabs>
        <w:tab w:val="left" w:pos="1134"/>
        <w:tab w:val="right" w:leader="dot" w:pos="8494"/>
      </w:tabs>
      <w:spacing w:before="100" w:line="240" w:lineRule="atLeast"/>
    </w:pPr>
    <w:rPr>
      <w:rFonts w:ascii="Arial" w:eastAsiaTheme="minorEastAsia" w:hAnsi="Arial"/>
      <w:i/>
      <w:sz w:val="20"/>
      <w:szCs w:val="22"/>
      <w:u w:val="single"/>
      <w:lang w:eastAsia="es-ES"/>
    </w:rPr>
  </w:style>
  <w:style w:type="paragraph" w:styleId="TDC5">
    <w:name w:val="toc 5"/>
    <w:basedOn w:val="Normal"/>
    <w:next w:val="Normal"/>
    <w:autoRedefine/>
    <w:uiPriority w:val="39"/>
    <w:unhideWhenUsed/>
    <w:rsid w:val="00555AEB"/>
    <w:pPr>
      <w:tabs>
        <w:tab w:val="right" w:leader="dot" w:pos="8494"/>
      </w:tabs>
      <w:spacing w:line="240" w:lineRule="atLeast"/>
      <w:ind w:left="1418"/>
    </w:pPr>
    <w:rPr>
      <w:rFonts w:ascii="Arial" w:eastAsiaTheme="minorEastAsia" w:hAnsi="Arial"/>
      <w:i/>
      <w:sz w:val="16"/>
      <w:szCs w:val="22"/>
      <w:lang w:eastAsia="es-ES"/>
    </w:rPr>
  </w:style>
  <w:style w:type="paragraph" w:styleId="TDC6">
    <w:name w:val="toc 6"/>
    <w:basedOn w:val="Normal"/>
    <w:next w:val="Normal"/>
    <w:autoRedefine/>
    <w:uiPriority w:val="39"/>
    <w:unhideWhenUsed/>
    <w:rsid w:val="00555AEB"/>
    <w:pPr>
      <w:spacing w:after="100" w:line="259" w:lineRule="auto"/>
      <w:ind w:left="1100"/>
    </w:pPr>
    <w:rPr>
      <w:rFonts w:ascii="Arial" w:eastAsiaTheme="minorEastAsia" w:hAnsi="Arial"/>
      <w:sz w:val="20"/>
      <w:szCs w:val="22"/>
      <w:lang w:eastAsia="es-ES"/>
    </w:rPr>
  </w:style>
  <w:style w:type="paragraph" w:styleId="TDC7">
    <w:name w:val="toc 7"/>
    <w:basedOn w:val="Normal"/>
    <w:next w:val="Normal"/>
    <w:autoRedefine/>
    <w:uiPriority w:val="39"/>
    <w:unhideWhenUsed/>
    <w:rsid w:val="00555AEB"/>
    <w:pPr>
      <w:spacing w:after="100" w:line="259" w:lineRule="auto"/>
      <w:ind w:left="1320"/>
    </w:pPr>
    <w:rPr>
      <w:rFonts w:ascii="Arial" w:eastAsiaTheme="minorEastAsia" w:hAnsi="Arial"/>
      <w:sz w:val="20"/>
      <w:szCs w:val="22"/>
      <w:lang w:eastAsia="es-ES"/>
    </w:rPr>
  </w:style>
  <w:style w:type="paragraph" w:styleId="TDC8">
    <w:name w:val="toc 8"/>
    <w:basedOn w:val="Normal"/>
    <w:next w:val="Normal"/>
    <w:autoRedefine/>
    <w:uiPriority w:val="39"/>
    <w:unhideWhenUsed/>
    <w:rsid w:val="00555AEB"/>
    <w:pPr>
      <w:spacing w:after="100" w:line="259" w:lineRule="auto"/>
      <w:ind w:left="1540"/>
    </w:pPr>
    <w:rPr>
      <w:rFonts w:ascii="Arial" w:eastAsiaTheme="minorEastAsia" w:hAnsi="Arial"/>
      <w:sz w:val="20"/>
      <w:szCs w:val="22"/>
      <w:lang w:eastAsia="es-ES"/>
    </w:rPr>
  </w:style>
  <w:style w:type="paragraph" w:styleId="TDC9">
    <w:name w:val="toc 9"/>
    <w:basedOn w:val="Normal"/>
    <w:next w:val="Normal"/>
    <w:autoRedefine/>
    <w:uiPriority w:val="39"/>
    <w:unhideWhenUsed/>
    <w:rsid w:val="00555AEB"/>
    <w:pPr>
      <w:numPr>
        <w:numId w:val="70"/>
      </w:numPr>
      <w:tabs>
        <w:tab w:val="left" w:pos="2268"/>
      </w:tabs>
      <w:spacing w:line="259" w:lineRule="auto"/>
    </w:pPr>
    <w:rPr>
      <w:rFonts w:ascii="Times New Roman" w:eastAsiaTheme="minorEastAsia" w:hAnsi="Times New Roman" w:cs="Times New Roman"/>
      <w:b/>
      <w:bCs/>
      <w:sz w:val="20"/>
      <w:szCs w:val="22"/>
      <w:lang w:eastAsia="es-ES"/>
    </w:rPr>
  </w:style>
  <w:style w:type="character" w:customStyle="1" w:styleId="Mencinsinresolver10">
    <w:name w:val="Mención sin resolver1"/>
    <w:basedOn w:val="Fuentedeprrafopredeter"/>
    <w:uiPriority w:val="99"/>
    <w:semiHidden/>
    <w:unhideWhenUsed/>
    <w:rsid w:val="00555AEB"/>
    <w:rPr>
      <w:color w:val="605E5C"/>
      <w:shd w:val="clear" w:color="auto" w:fill="E1DFDD"/>
    </w:rPr>
  </w:style>
  <w:style w:type="paragraph" w:customStyle="1" w:styleId="Textobaseespaol">
    <w:name w:val="Texto base español"/>
    <w:basedOn w:val="Normal"/>
    <w:uiPriority w:val="99"/>
    <w:rsid w:val="00555AEB"/>
    <w:pPr>
      <w:autoSpaceDE w:val="0"/>
      <w:autoSpaceDN w:val="0"/>
      <w:adjustRightInd w:val="0"/>
      <w:spacing w:after="113" w:line="288" w:lineRule="auto"/>
      <w:textAlignment w:val="center"/>
    </w:pPr>
    <w:rPr>
      <w:rFonts w:ascii="Arial" w:hAnsi="Arial" w:cs="Arial"/>
      <w:color w:val="000000"/>
      <w:sz w:val="20"/>
      <w:szCs w:val="20"/>
      <w:lang w:val="es-ES_tradnl"/>
    </w:rPr>
  </w:style>
  <w:style w:type="character" w:styleId="Referenciaintensa">
    <w:name w:val="Intense Reference"/>
    <w:uiPriority w:val="32"/>
    <w:qFormat/>
    <w:rsid w:val="00555AEB"/>
    <w:rPr>
      <w:rFonts w:ascii="Calibri" w:hAnsi="Calibri"/>
      <w:i/>
      <w:color w:val="008000"/>
      <w:sz w:val="20"/>
    </w:rPr>
  </w:style>
  <w:style w:type="paragraph" w:styleId="Sinespaciado">
    <w:name w:val="No Spacing"/>
    <w:uiPriority w:val="1"/>
    <w:qFormat/>
    <w:rsid w:val="00555AEB"/>
    <w:rPr>
      <w:sz w:val="20"/>
      <w:szCs w:val="22"/>
    </w:rPr>
  </w:style>
  <w:style w:type="paragraph" w:styleId="Cierre">
    <w:name w:val="Closing"/>
    <w:basedOn w:val="Normal"/>
    <w:link w:val="CierreCar"/>
    <w:uiPriority w:val="99"/>
    <w:semiHidden/>
    <w:unhideWhenUsed/>
    <w:rsid w:val="00555AEB"/>
    <w:pPr>
      <w:ind w:left="4252"/>
    </w:pPr>
    <w:rPr>
      <w:rFonts w:ascii="Arial" w:hAnsi="Arial"/>
      <w:sz w:val="20"/>
      <w:szCs w:val="22"/>
    </w:rPr>
  </w:style>
  <w:style w:type="character" w:customStyle="1" w:styleId="CierreCar">
    <w:name w:val="Cierre Car"/>
    <w:basedOn w:val="Fuentedeprrafopredeter"/>
    <w:link w:val="Cierre"/>
    <w:uiPriority w:val="99"/>
    <w:semiHidden/>
    <w:rsid w:val="00555AEB"/>
    <w:rPr>
      <w:rFonts w:ascii="Arial" w:hAnsi="Arial"/>
      <w:sz w:val="20"/>
      <w:szCs w:val="22"/>
    </w:rPr>
  </w:style>
  <w:style w:type="paragraph" w:styleId="Cita">
    <w:name w:val="Quote"/>
    <w:basedOn w:val="Normal"/>
    <w:next w:val="Normal"/>
    <w:link w:val="CitaCar"/>
    <w:uiPriority w:val="29"/>
    <w:qFormat/>
    <w:rsid w:val="00555AEB"/>
    <w:pPr>
      <w:spacing w:before="200" w:after="160" w:line="240" w:lineRule="atLeast"/>
      <w:ind w:left="864" w:right="864"/>
      <w:jc w:val="center"/>
    </w:pPr>
    <w:rPr>
      <w:rFonts w:ascii="Arial" w:hAnsi="Arial"/>
      <w:i/>
      <w:iCs/>
      <w:color w:val="404040" w:themeColor="text1" w:themeTint="BF"/>
      <w:sz w:val="20"/>
      <w:szCs w:val="22"/>
    </w:rPr>
  </w:style>
  <w:style w:type="character" w:customStyle="1" w:styleId="CitaCar">
    <w:name w:val="Cita Car"/>
    <w:basedOn w:val="Fuentedeprrafopredeter"/>
    <w:link w:val="Cita"/>
    <w:uiPriority w:val="29"/>
    <w:rsid w:val="00555AEB"/>
    <w:rPr>
      <w:rFonts w:ascii="Arial" w:hAnsi="Arial"/>
      <w:i/>
      <w:iCs/>
      <w:color w:val="404040" w:themeColor="text1" w:themeTint="BF"/>
      <w:sz w:val="20"/>
      <w:szCs w:val="22"/>
    </w:rPr>
  </w:style>
  <w:style w:type="paragraph" w:styleId="Citadestacada">
    <w:name w:val="Intense Quote"/>
    <w:basedOn w:val="Normal"/>
    <w:next w:val="Normal"/>
    <w:link w:val="CitadestacadaCar"/>
    <w:uiPriority w:val="30"/>
    <w:qFormat/>
    <w:rsid w:val="00555AEB"/>
    <w:pPr>
      <w:pBdr>
        <w:top w:val="single" w:sz="4" w:space="10" w:color="4472C4" w:themeColor="accent1"/>
        <w:bottom w:val="single" w:sz="4" w:space="10" w:color="4472C4" w:themeColor="accent1"/>
      </w:pBdr>
      <w:spacing w:before="360" w:after="360" w:line="240" w:lineRule="atLeast"/>
      <w:ind w:left="864" w:right="864"/>
      <w:jc w:val="center"/>
    </w:pPr>
    <w:rPr>
      <w:rFonts w:ascii="Arial" w:hAnsi="Arial"/>
      <w:i/>
      <w:iCs/>
      <w:color w:val="4472C4" w:themeColor="accent1"/>
      <w:sz w:val="20"/>
      <w:szCs w:val="22"/>
    </w:rPr>
  </w:style>
  <w:style w:type="character" w:customStyle="1" w:styleId="CitadestacadaCar">
    <w:name w:val="Cita destacada Car"/>
    <w:basedOn w:val="Fuentedeprrafopredeter"/>
    <w:link w:val="Citadestacada"/>
    <w:uiPriority w:val="30"/>
    <w:rsid w:val="00555AEB"/>
    <w:rPr>
      <w:rFonts w:ascii="Arial" w:hAnsi="Arial"/>
      <w:i/>
      <w:iCs/>
      <w:color w:val="4472C4" w:themeColor="accent1"/>
      <w:sz w:val="20"/>
      <w:szCs w:val="22"/>
    </w:rPr>
  </w:style>
  <w:style w:type="paragraph" w:styleId="Continuarlista">
    <w:name w:val="List Continue"/>
    <w:basedOn w:val="Normal"/>
    <w:uiPriority w:val="99"/>
    <w:semiHidden/>
    <w:unhideWhenUsed/>
    <w:rsid w:val="00555AEB"/>
    <w:pPr>
      <w:spacing w:after="120" w:line="240" w:lineRule="atLeast"/>
      <w:ind w:left="283"/>
      <w:contextualSpacing/>
    </w:pPr>
    <w:rPr>
      <w:rFonts w:ascii="Arial" w:hAnsi="Arial"/>
      <w:sz w:val="20"/>
      <w:szCs w:val="22"/>
    </w:rPr>
  </w:style>
  <w:style w:type="paragraph" w:styleId="Continuarlista2">
    <w:name w:val="List Continue 2"/>
    <w:basedOn w:val="Normal"/>
    <w:uiPriority w:val="99"/>
    <w:semiHidden/>
    <w:unhideWhenUsed/>
    <w:rsid w:val="00555AEB"/>
    <w:pPr>
      <w:spacing w:after="120" w:line="240" w:lineRule="atLeast"/>
      <w:ind w:left="566"/>
      <w:contextualSpacing/>
    </w:pPr>
    <w:rPr>
      <w:rFonts w:ascii="Arial" w:hAnsi="Arial"/>
      <w:sz w:val="20"/>
      <w:szCs w:val="22"/>
    </w:rPr>
  </w:style>
  <w:style w:type="paragraph" w:styleId="Continuarlista3">
    <w:name w:val="List Continue 3"/>
    <w:basedOn w:val="Normal"/>
    <w:uiPriority w:val="99"/>
    <w:semiHidden/>
    <w:unhideWhenUsed/>
    <w:rsid w:val="00555AEB"/>
    <w:pPr>
      <w:spacing w:after="120" w:line="240" w:lineRule="atLeast"/>
      <w:ind w:left="849"/>
      <w:contextualSpacing/>
    </w:pPr>
    <w:rPr>
      <w:rFonts w:ascii="Arial" w:hAnsi="Arial"/>
      <w:sz w:val="20"/>
      <w:szCs w:val="22"/>
    </w:rPr>
  </w:style>
  <w:style w:type="paragraph" w:styleId="Continuarlista4">
    <w:name w:val="List Continue 4"/>
    <w:basedOn w:val="Normal"/>
    <w:uiPriority w:val="99"/>
    <w:semiHidden/>
    <w:unhideWhenUsed/>
    <w:rsid w:val="00555AEB"/>
    <w:pPr>
      <w:spacing w:after="120" w:line="240" w:lineRule="atLeast"/>
      <w:ind w:left="1132"/>
      <w:contextualSpacing/>
    </w:pPr>
    <w:rPr>
      <w:rFonts w:ascii="Arial" w:hAnsi="Arial"/>
      <w:sz w:val="20"/>
      <w:szCs w:val="22"/>
    </w:rPr>
  </w:style>
  <w:style w:type="paragraph" w:styleId="Continuarlista5">
    <w:name w:val="List Continue 5"/>
    <w:basedOn w:val="Normal"/>
    <w:uiPriority w:val="99"/>
    <w:semiHidden/>
    <w:unhideWhenUsed/>
    <w:rsid w:val="00555AEB"/>
    <w:pPr>
      <w:spacing w:after="120" w:line="240" w:lineRule="atLeast"/>
      <w:ind w:left="1415"/>
      <w:contextualSpacing/>
    </w:pPr>
    <w:rPr>
      <w:rFonts w:ascii="Arial" w:hAnsi="Arial"/>
      <w:sz w:val="20"/>
      <w:szCs w:val="22"/>
    </w:rPr>
  </w:style>
  <w:style w:type="paragraph" w:styleId="Descripcin">
    <w:name w:val="caption"/>
    <w:basedOn w:val="Normal"/>
    <w:next w:val="Normal"/>
    <w:uiPriority w:val="35"/>
    <w:semiHidden/>
    <w:unhideWhenUsed/>
    <w:qFormat/>
    <w:rsid w:val="00555AEB"/>
    <w:pPr>
      <w:spacing w:after="200"/>
    </w:pPr>
    <w:rPr>
      <w:rFonts w:ascii="Arial" w:hAnsi="Arial"/>
      <w:i/>
      <w:iCs/>
      <w:color w:val="44546A" w:themeColor="text2"/>
      <w:sz w:val="18"/>
      <w:szCs w:val="18"/>
    </w:rPr>
  </w:style>
  <w:style w:type="paragraph" w:styleId="DireccinHTML">
    <w:name w:val="HTML Address"/>
    <w:basedOn w:val="Normal"/>
    <w:link w:val="DireccinHTMLCar"/>
    <w:uiPriority w:val="99"/>
    <w:semiHidden/>
    <w:unhideWhenUsed/>
    <w:rsid w:val="00555AEB"/>
    <w:rPr>
      <w:rFonts w:ascii="Arial" w:hAnsi="Arial"/>
      <w:i/>
      <w:iCs/>
      <w:sz w:val="20"/>
      <w:szCs w:val="22"/>
    </w:rPr>
  </w:style>
  <w:style w:type="character" w:customStyle="1" w:styleId="DireccinHTMLCar">
    <w:name w:val="Dirección HTML Car"/>
    <w:basedOn w:val="Fuentedeprrafopredeter"/>
    <w:link w:val="DireccinHTML"/>
    <w:uiPriority w:val="99"/>
    <w:semiHidden/>
    <w:rsid w:val="00555AEB"/>
    <w:rPr>
      <w:rFonts w:ascii="Arial" w:hAnsi="Arial"/>
      <w:i/>
      <w:iCs/>
      <w:sz w:val="20"/>
      <w:szCs w:val="22"/>
    </w:rPr>
  </w:style>
  <w:style w:type="paragraph" w:styleId="Direccinsobre">
    <w:name w:val="envelope address"/>
    <w:basedOn w:val="Normal"/>
    <w:uiPriority w:val="99"/>
    <w:semiHidden/>
    <w:unhideWhenUsed/>
    <w:rsid w:val="00555AEB"/>
    <w:pPr>
      <w:framePr w:w="7920" w:h="1980" w:hRule="exact" w:hSpace="141" w:wrap="auto" w:hAnchor="page" w:xAlign="center" w:yAlign="bottom"/>
      <w:ind w:left="2880"/>
    </w:pPr>
    <w:rPr>
      <w:rFonts w:asciiTheme="majorHAnsi" w:eastAsiaTheme="majorEastAsia" w:hAnsiTheme="majorHAnsi" w:cstheme="majorBidi"/>
    </w:rPr>
  </w:style>
  <w:style w:type="paragraph" w:styleId="Encabezadodelista">
    <w:name w:val="toa heading"/>
    <w:basedOn w:val="Normal"/>
    <w:next w:val="Normal"/>
    <w:uiPriority w:val="99"/>
    <w:semiHidden/>
    <w:unhideWhenUsed/>
    <w:rsid w:val="00555AEB"/>
    <w:pPr>
      <w:spacing w:before="120" w:after="100" w:line="240" w:lineRule="atLeast"/>
    </w:pPr>
    <w:rPr>
      <w:rFonts w:asciiTheme="majorHAnsi" w:eastAsiaTheme="majorEastAsia" w:hAnsiTheme="majorHAnsi" w:cstheme="majorBidi"/>
      <w:b/>
      <w:bCs/>
    </w:rPr>
  </w:style>
  <w:style w:type="paragraph" w:styleId="Encabezadodemensaje">
    <w:name w:val="Message Header"/>
    <w:basedOn w:val="Normal"/>
    <w:link w:val="EncabezadodemensajeCar"/>
    <w:uiPriority w:val="99"/>
    <w:semiHidden/>
    <w:unhideWhenUsed/>
    <w:rsid w:val="00555AE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uiPriority w:val="99"/>
    <w:semiHidden/>
    <w:rsid w:val="00555AEB"/>
    <w:rPr>
      <w:rFonts w:asciiTheme="majorHAnsi" w:eastAsiaTheme="majorEastAsia" w:hAnsiTheme="majorHAnsi" w:cstheme="majorBidi"/>
      <w:shd w:val="pct20" w:color="auto" w:fill="auto"/>
    </w:rPr>
  </w:style>
  <w:style w:type="paragraph" w:styleId="Encabezadodenota">
    <w:name w:val="Note Heading"/>
    <w:basedOn w:val="Normal"/>
    <w:next w:val="Normal"/>
    <w:link w:val="EncabezadodenotaCar"/>
    <w:uiPriority w:val="99"/>
    <w:semiHidden/>
    <w:unhideWhenUsed/>
    <w:rsid w:val="00555AEB"/>
    <w:rPr>
      <w:rFonts w:ascii="Arial" w:hAnsi="Arial"/>
      <w:sz w:val="20"/>
      <w:szCs w:val="22"/>
    </w:rPr>
  </w:style>
  <w:style w:type="character" w:customStyle="1" w:styleId="EncabezadodenotaCar">
    <w:name w:val="Encabezado de nota Car"/>
    <w:basedOn w:val="Fuentedeprrafopredeter"/>
    <w:link w:val="Encabezadodenota"/>
    <w:uiPriority w:val="99"/>
    <w:semiHidden/>
    <w:rsid w:val="00555AEB"/>
    <w:rPr>
      <w:rFonts w:ascii="Arial" w:hAnsi="Arial"/>
      <w:sz w:val="20"/>
      <w:szCs w:val="22"/>
    </w:rPr>
  </w:style>
  <w:style w:type="paragraph" w:styleId="Fecha">
    <w:name w:val="Date"/>
    <w:basedOn w:val="Normal"/>
    <w:next w:val="Normal"/>
    <w:link w:val="FechaCar"/>
    <w:uiPriority w:val="99"/>
    <w:semiHidden/>
    <w:unhideWhenUsed/>
    <w:rsid w:val="00555AEB"/>
    <w:pPr>
      <w:spacing w:after="100" w:line="240" w:lineRule="atLeast"/>
    </w:pPr>
    <w:rPr>
      <w:rFonts w:ascii="Arial" w:hAnsi="Arial"/>
      <w:sz w:val="20"/>
      <w:szCs w:val="22"/>
    </w:rPr>
  </w:style>
  <w:style w:type="character" w:customStyle="1" w:styleId="FechaCar">
    <w:name w:val="Fecha Car"/>
    <w:basedOn w:val="Fuentedeprrafopredeter"/>
    <w:link w:val="Fecha"/>
    <w:uiPriority w:val="99"/>
    <w:semiHidden/>
    <w:rsid w:val="00555AEB"/>
    <w:rPr>
      <w:rFonts w:ascii="Arial" w:hAnsi="Arial"/>
      <w:sz w:val="20"/>
      <w:szCs w:val="22"/>
    </w:rPr>
  </w:style>
  <w:style w:type="paragraph" w:styleId="Firma">
    <w:name w:val="Signature"/>
    <w:basedOn w:val="Normal"/>
    <w:link w:val="FirmaCar"/>
    <w:uiPriority w:val="99"/>
    <w:semiHidden/>
    <w:unhideWhenUsed/>
    <w:rsid w:val="00555AEB"/>
    <w:pPr>
      <w:ind w:left="4252"/>
    </w:pPr>
    <w:rPr>
      <w:rFonts w:ascii="Arial" w:hAnsi="Arial"/>
      <w:sz w:val="20"/>
      <w:szCs w:val="22"/>
    </w:rPr>
  </w:style>
  <w:style w:type="character" w:customStyle="1" w:styleId="FirmaCar">
    <w:name w:val="Firma Car"/>
    <w:basedOn w:val="Fuentedeprrafopredeter"/>
    <w:link w:val="Firma"/>
    <w:uiPriority w:val="99"/>
    <w:semiHidden/>
    <w:rsid w:val="00555AEB"/>
    <w:rPr>
      <w:rFonts w:ascii="Arial" w:hAnsi="Arial"/>
      <w:sz w:val="20"/>
      <w:szCs w:val="22"/>
    </w:rPr>
  </w:style>
  <w:style w:type="paragraph" w:styleId="Firmadecorreoelectrnico">
    <w:name w:val="E-mail Signature"/>
    <w:basedOn w:val="Normal"/>
    <w:link w:val="FirmadecorreoelectrnicoCar"/>
    <w:uiPriority w:val="99"/>
    <w:semiHidden/>
    <w:unhideWhenUsed/>
    <w:rsid w:val="00555AEB"/>
    <w:rPr>
      <w:rFonts w:ascii="Arial" w:hAnsi="Arial"/>
      <w:sz w:val="20"/>
      <w:szCs w:val="22"/>
    </w:rPr>
  </w:style>
  <w:style w:type="character" w:customStyle="1" w:styleId="FirmadecorreoelectrnicoCar">
    <w:name w:val="Firma de correo electrónico Car"/>
    <w:basedOn w:val="Fuentedeprrafopredeter"/>
    <w:link w:val="Firmadecorreoelectrnico"/>
    <w:uiPriority w:val="99"/>
    <w:semiHidden/>
    <w:rsid w:val="00555AEB"/>
    <w:rPr>
      <w:rFonts w:ascii="Arial" w:hAnsi="Arial"/>
      <w:sz w:val="20"/>
      <w:szCs w:val="22"/>
    </w:rPr>
  </w:style>
  <w:style w:type="paragraph" w:styleId="HTMLconformatoprevio">
    <w:name w:val="HTML Preformatted"/>
    <w:basedOn w:val="Normal"/>
    <w:link w:val="HTMLconformatoprevioCar"/>
    <w:uiPriority w:val="99"/>
    <w:semiHidden/>
    <w:unhideWhenUsed/>
    <w:rsid w:val="00555AEB"/>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555AEB"/>
    <w:rPr>
      <w:rFonts w:ascii="Consolas" w:hAnsi="Consolas"/>
      <w:sz w:val="20"/>
      <w:szCs w:val="20"/>
    </w:rPr>
  </w:style>
  <w:style w:type="paragraph" w:styleId="ndice1">
    <w:name w:val="index 1"/>
    <w:basedOn w:val="Normal"/>
    <w:next w:val="Normal"/>
    <w:autoRedefine/>
    <w:uiPriority w:val="99"/>
    <w:semiHidden/>
    <w:unhideWhenUsed/>
    <w:rsid w:val="00555AEB"/>
    <w:pPr>
      <w:ind w:left="200" w:hanging="200"/>
    </w:pPr>
    <w:rPr>
      <w:rFonts w:ascii="Arial" w:hAnsi="Arial"/>
      <w:sz w:val="20"/>
      <w:szCs w:val="22"/>
    </w:rPr>
  </w:style>
  <w:style w:type="paragraph" w:styleId="ndice2">
    <w:name w:val="index 2"/>
    <w:basedOn w:val="Normal"/>
    <w:next w:val="Normal"/>
    <w:autoRedefine/>
    <w:uiPriority w:val="99"/>
    <w:semiHidden/>
    <w:unhideWhenUsed/>
    <w:rsid w:val="00555AEB"/>
    <w:pPr>
      <w:ind w:left="400" w:hanging="200"/>
    </w:pPr>
    <w:rPr>
      <w:rFonts w:ascii="Arial" w:hAnsi="Arial"/>
      <w:sz w:val="20"/>
      <w:szCs w:val="22"/>
    </w:rPr>
  </w:style>
  <w:style w:type="paragraph" w:styleId="ndice3">
    <w:name w:val="index 3"/>
    <w:basedOn w:val="Normal"/>
    <w:next w:val="Normal"/>
    <w:autoRedefine/>
    <w:uiPriority w:val="99"/>
    <w:semiHidden/>
    <w:unhideWhenUsed/>
    <w:rsid w:val="00555AEB"/>
    <w:pPr>
      <w:ind w:left="600" w:hanging="200"/>
    </w:pPr>
    <w:rPr>
      <w:rFonts w:ascii="Arial" w:hAnsi="Arial"/>
      <w:sz w:val="20"/>
      <w:szCs w:val="22"/>
    </w:rPr>
  </w:style>
  <w:style w:type="paragraph" w:styleId="ndice4">
    <w:name w:val="index 4"/>
    <w:basedOn w:val="Normal"/>
    <w:next w:val="Normal"/>
    <w:autoRedefine/>
    <w:uiPriority w:val="99"/>
    <w:semiHidden/>
    <w:unhideWhenUsed/>
    <w:rsid w:val="00555AEB"/>
    <w:pPr>
      <w:ind w:left="800" w:hanging="200"/>
    </w:pPr>
    <w:rPr>
      <w:rFonts w:ascii="Arial" w:hAnsi="Arial"/>
      <w:sz w:val="20"/>
      <w:szCs w:val="22"/>
    </w:rPr>
  </w:style>
  <w:style w:type="paragraph" w:styleId="ndice5">
    <w:name w:val="index 5"/>
    <w:basedOn w:val="Normal"/>
    <w:next w:val="Normal"/>
    <w:autoRedefine/>
    <w:uiPriority w:val="99"/>
    <w:semiHidden/>
    <w:unhideWhenUsed/>
    <w:rsid w:val="00555AEB"/>
    <w:pPr>
      <w:ind w:left="1000" w:hanging="200"/>
    </w:pPr>
    <w:rPr>
      <w:rFonts w:ascii="Arial" w:hAnsi="Arial"/>
      <w:sz w:val="20"/>
      <w:szCs w:val="22"/>
    </w:rPr>
  </w:style>
  <w:style w:type="paragraph" w:styleId="ndice6">
    <w:name w:val="index 6"/>
    <w:basedOn w:val="Normal"/>
    <w:next w:val="Normal"/>
    <w:autoRedefine/>
    <w:uiPriority w:val="99"/>
    <w:semiHidden/>
    <w:unhideWhenUsed/>
    <w:rsid w:val="00555AEB"/>
    <w:pPr>
      <w:ind w:left="1200" w:hanging="200"/>
    </w:pPr>
    <w:rPr>
      <w:rFonts w:ascii="Arial" w:hAnsi="Arial"/>
      <w:sz w:val="20"/>
      <w:szCs w:val="22"/>
    </w:rPr>
  </w:style>
  <w:style w:type="paragraph" w:styleId="ndice7">
    <w:name w:val="index 7"/>
    <w:basedOn w:val="Normal"/>
    <w:next w:val="Normal"/>
    <w:autoRedefine/>
    <w:uiPriority w:val="99"/>
    <w:semiHidden/>
    <w:unhideWhenUsed/>
    <w:rsid w:val="00555AEB"/>
    <w:pPr>
      <w:ind w:left="1400" w:hanging="200"/>
    </w:pPr>
    <w:rPr>
      <w:rFonts w:ascii="Arial" w:hAnsi="Arial"/>
      <w:sz w:val="20"/>
      <w:szCs w:val="22"/>
    </w:rPr>
  </w:style>
  <w:style w:type="paragraph" w:styleId="ndice8">
    <w:name w:val="index 8"/>
    <w:basedOn w:val="Normal"/>
    <w:next w:val="Normal"/>
    <w:autoRedefine/>
    <w:uiPriority w:val="99"/>
    <w:semiHidden/>
    <w:unhideWhenUsed/>
    <w:rsid w:val="00555AEB"/>
    <w:pPr>
      <w:ind w:left="1600" w:hanging="200"/>
    </w:pPr>
    <w:rPr>
      <w:rFonts w:ascii="Arial" w:hAnsi="Arial"/>
      <w:sz w:val="20"/>
      <w:szCs w:val="22"/>
    </w:rPr>
  </w:style>
  <w:style w:type="paragraph" w:styleId="ndice9">
    <w:name w:val="index 9"/>
    <w:basedOn w:val="Normal"/>
    <w:next w:val="Normal"/>
    <w:autoRedefine/>
    <w:uiPriority w:val="99"/>
    <w:semiHidden/>
    <w:unhideWhenUsed/>
    <w:rsid w:val="00555AEB"/>
    <w:pPr>
      <w:ind w:left="1800" w:hanging="200"/>
    </w:pPr>
    <w:rPr>
      <w:rFonts w:ascii="Arial" w:hAnsi="Arial"/>
      <w:sz w:val="20"/>
      <w:szCs w:val="22"/>
    </w:rPr>
  </w:style>
  <w:style w:type="paragraph" w:styleId="Lista2">
    <w:name w:val="List 2"/>
    <w:basedOn w:val="Normal"/>
    <w:uiPriority w:val="99"/>
    <w:semiHidden/>
    <w:unhideWhenUsed/>
    <w:rsid w:val="00555AEB"/>
    <w:pPr>
      <w:spacing w:after="100" w:line="240" w:lineRule="atLeast"/>
      <w:ind w:left="566" w:hanging="283"/>
      <w:contextualSpacing/>
    </w:pPr>
    <w:rPr>
      <w:rFonts w:ascii="Arial" w:hAnsi="Arial"/>
      <w:sz w:val="20"/>
      <w:szCs w:val="22"/>
    </w:rPr>
  </w:style>
  <w:style w:type="paragraph" w:styleId="Lista3">
    <w:name w:val="List 3"/>
    <w:basedOn w:val="Normal"/>
    <w:uiPriority w:val="99"/>
    <w:semiHidden/>
    <w:unhideWhenUsed/>
    <w:rsid w:val="00555AEB"/>
    <w:pPr>
      <w:spacing w:after="100" w:line="240" w:lineRule="atLeast"/>
      <w:ind w:left="849" w:hanging="283"/>
      <w:contextualSpacing/>
    </w:pPr>
    <w:rPr>
      <w:rFonts w:ascii="Arial" w:hAnsi="Arial"/>
      <w:sz w:val="20"/>
      <w:szCs w:val="22"/>
    </w:rPr>
  </w:style>
  <w:style w:type="paragraph" w:styleId="Lista4">
    <w:name w:val="List 4"/>
    <w:basedOn w:val="Normal"/>
    <w:uiPriority w:val="99"/>
    <w:semiHidden/>
    <w:unhideWhenUsed/>
    <w:rsid w:val="00555AEB"/>
    <w:pPr>
      <w:spacing w:after="100" w:line="240" w:lineRule="atLeast"/>
      <w:ind w:left="1132" w:hanging="283"/>
      <w:contextualSpacing/>
    </w:pPr>
    <w:rPr>
      <w:rFonts w:ascii="Arial" w:hAnsi="Arial"/>
      <w:sz w:val="20"/>
      <w:szCs w:val="22"/>
    </w:rPr>
  </w:style>
  <w:style w:type="paragraph" w:styleId="Lista5">
    <w:name w:val="List 5"/>
    <w:basedOn w:val="Normal"/>
    <w:uiPriority w:val="99"/>
    <w:semiHidden/>
    <w:unhideWhenUsed/>
    <w:rsid w:val="00555AEB"/>
    <w:pPr>
      <w:spacing w:after="100" w:line="240" w:lineRule="atLeast"/>
      <w:ind w:left="1415" w:hanging="283"/>
      <w:contextualSpacing/>
    </w:pPr>
    <w:rPr>
      <w:rFonts w:ascii="Arial" w:hAnsi="Arial"/>
      <w:sz w:val="20"/>
      <w:szCs w:val="22"/>
    </w:rPr>
  </w:style>
  <w:style w:type="paragraph" w:styleId="Listaconnmeros">
    <w:name w:val="List Number"/>
    <w:basedOn w:val="Normal"/>
    <w:uiPriority w:val="99"/>
    <w:semiHidden/>
    <w:unhideWhenUsed/>
    <w:rsid w:val="00555AEB"/>
    <w:pPr>
      <w:numPr>
        <w:numId w:val="59"/>
      </w:numPr>
      <w:spacing w:after="100" w:line="240" w:lineRule="atLeast"/>
      <w:contextualSpacing/>
    </w:pPr>
    <w:rPr>
      <w:rFonts w:ascii="Arial" w:hAnsi="Arial"/>
      <w:sz w:val="20"/>
      <w:szCs w:val="22"/>
    </w:rPr>
  </w:style>
  <w:style w:type="paragraph" w:styleId="Listaconnmeros2">
    <w:name w:val="List Number 2"/>
    <w:basedOn w:val="Normal"/>
    <w:uiPriority w:val="99"/>
    <w:semiHidden/>
    <w:unhideWhenUsed/>
    <w:rsid w:val="00555AEB"/>
    <w:pPr>
      <w:numPr>
        <w:numId w:val="60"/>
      </w:numPr>
      <w:spacing w:after="100" w:line="240" w:lineRule="atLeast"/>
      <w:contextualSpacing/>
    </w:pPr>
    <w:rPr>
      <w:rFonts w:ascii="Arial" w:hAnsi="Arial"/>
      <w:sz w:val="20"/>
      <w:szCs w:val="22"/>
    </w:rPr>
  </w:style>
  <w:style w:type="paragraph" w:styleId="Listaconnmeros3">
    <w:name w:val="List Number 3"/>
    <w:basedOn w:val="Normal"/>
    <w:uiPriority w:val="99"/>
    <w:semiHidden/>
    <w:unhideWhenUsed/>
    <w:rsid w:val="00555AEB"/>
    <w:pPr>
      <w:numPr>
        <w:numId w:val="61"/>
      </w:numPr>
      <w:spacing w:after="100" w:line="240" w:lineRule="atLeast"/>
      <w:contextualSpacing/>
    </w:pPr>
    <w:rPr>
      <w:rFonts w:ascii="Arial" w:hAnsi="Arial"/>
      <w:sz w:val="20"/>
      <w:szCs w:val="22"/>
    </w:rPr>
  </w:style>
  <w:style w:type="paragraph" w:styleId="Listaconnmeros4">
    <w:name w:val="List Number 4"/>
    <w:basedOn w:val="Normal"/>
    <w:uiPriority w:val="99"/>
    <w:semiHidden/>
    <w:unhideWhenUsed/>
    <w:rsid w:val="00555AEB"/>
    <w:pPr>
      <w:numPr>
        <w:numId w:val="62"/>
      </w:numPr>
      <w:spacing w:after="100" w:line="240" w:lineRule="atLeast"/>
      <w:contextualSpacing/>
    </w:pPr>
    <w:rPr>
      <w:rFonts w:ascii="Arial" w:hAnsi="Arial"/>
      <w:sz w:val="20"/>
      <w:szCs w:val="22"/>
    </w:rPr>
  </w:style>
  <w:style w:type="paragraph" w:styleId="Listaconnmeros5">
    <w:name w:val="List Number 5"/>
    <w:basedOn w:val="Normal"/>
    <w:uiPriority w:val="99"/>
    <w:semiHidden/>
    <w:unhideWhenUsed/>
    <w:rsid w:val="00555AEB"/>
    <w:pPr>
      <w:numPr>
        <w:numId w:val="63"/>
      </w:numPr>
      <w:spacing w:after="100" w:line="240" w:lineRule="atLeast"/>
      <w:contextualSpacing/>
    </w:pPr>
    <w:rPr>
      <w:rFonts w:ascii="Arial" w:hAnsi="Arial"/>
      <w:sz w:val="20"/>
      <w:szCs w:val="22"/>
    </w:rPr>
  </w:style>
  <w:style w:type="paragraph" w:styleId="Listaconvietas">
    <w:name w:val="List Bullet"/>
    <w:basedOn w:val="Normal"/>
    <w:uiPriority w:val="99"/>
    <w:semiHidden/>
    <w:unhideWhenUsed/>
    <w:rsid w:val="00555AEB"/>
    <w:pPr>
      <w:numPr>
        <w:numId w:val="64"/>
      </w:numPr>
      <w:spacing w:after="100" w:line="240" w:lineRule="atLeast"/>
      <w:contextualSpacing/>
    </w:pPr>
    <w:rPr>
      <w:rFonts w:ascii="Arial" w:hAnsi="Arial"/>
      <w:sz w:val="20"/>
      <w:szCs w:val="22"/>
    </w:rPr>
  </w:style>
  <w:style w:type="paragraph" w:styleId="Listaconvietas2">
    <w:name w:val="List Bullet 2"/>
    <w:basedOn w:val="Normal"/>
    <w:uiPriority w:val="99"/>
    <w:semiHidden/>
    <w:unhideWhenUsed/>
    <w:rsid w:val="00555AEB"/>
    <w:pPr>
      <w:numPr>
        <w:numId w:val="65"/>
      </w:numPr>
      <w:spacing w:after="100" w:line="240" w:lineRule="atLeast"/>
      <w:contextualSpacing/>
    </w:pPr>
    <w:rPr>
      <w:rFonts w:ascii="Arial" w:hAnsi="Arial"/>
      <w:sz w:val="20"/>
      <w:szCs w:val="22"/>
    </w:rPr>
  </w:style>
  <w:style w:type="paragraph" w:styleId="Listaconvietas3">
    <w:name w:val="List Bullet 3"/>
    <w:basedOn w:val="Normal"/>
    <w:uiPriority w:val="99"/>
    <w:semiHidden/>
    <w:unhideWhenUsed/>
    <w:rsid w:val="00555AEB"/>
    <w:pPr>
      <w:numPr>
        <w:numId w:val="66"/>
      </w:numPr>
      <w:spacing w:after="100" w:line="240" w:lineRule="atLeast"/>
      <w:contextualSpacing/>
    </w:pPr>
    <w:rPr>
      <w:rFonts w:ascii="Arial" w:hAnsi="Arial"/>
      <w:sz w:val="20"/>
      <w:szCs w:val="22"/>
    </w:rPr>
  </w:style>
  <w:style w:type="paragraph" w:styleId="Listaconvietas4">
    <w:name w:val="List Bullet 4"/>
    <w:basedOn w:val="Normal"/>
    <w:uiPriority w:val="99"/>
    <w:semiHidden/>
    <w:unhideWhenUsed/>
    <w:rsid w:val="00555AEB"/>
    <w:pPr>
      <w:numPr>
        <w:numId w:val="67"/>
      </w:numPr>
      <w:spacing w:after="100" w:line="240" w:lineRule="atLeast"/>
      <w:contextualSpacing/>
    </w:pPr>
    <w:rPr>
      <w:rFonts w:ascii="Arial" w:hAnsi="Arial"/>
      <w:sz w:val="20"/>
      <w:szCs w:val="22"/>
    </w:rPr>
  </w:style>
  <w:style w:type="paragraph" w:styleId="Listaconvietas5">
    <w:name w:val="List Bullet 5"/>
    <w:basedOn w:val="Normal"/>
    <w:uiPriority w:val="99"/>
    <w:semiHidden/>
    <w:unhideWhenUsed/>
    <w:rsid w:val="00555AEB"/>
    <w:pPr>
      <w:numPr>
        <w:numId w:val="68"/>
      </w:numPr>
      <w:spacing w:after="100" w:line="240" w:lineRule="atLeast"/>
      <w:contextualSpacing/>
    </w:pPr>
    <w:rPr>
      <w:rFonts w:ascii="Arial" w:hAnsi="Arial"/>
      <w:sz w:val="20"/>
      <w:szCs w:val="22"/>
    </w:rPr>
  </w:style>
  <w:style w:type="paragraph" w:styleId="Mapadeldocumento">
    <w:name w:val="Document Map"/>
    <w:basedOn w:val="Normal"/>
    <w:link w:val="MapadeldocumentoCar"/>
    <w:uiPriority w:val="99"/>
    <w:semiHidden/>
    <w:unhideWhenUsed/>
    <w:rsid w:val="00555AEB"/>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555AEB"/>
    <w:rPr>
      <w:rFonts w:ascii="Segoe UI" w:hAnsi="Segoe UI" w:cs="Segoe UI"/>
      <w:sz w:val="16"/>
      <w:szCs w:val="16"/>
    </w:rPr>
  </w:style>
  <w:style w:type="paragraph" w:styleId="Remitedesobre">
    <w:name w:val="envelope return"/>
    <w:basedOn w:val="Normal"/>
    <w:uiPriority w:val="99"/>
    <w:semiHidden/>
    <w:unhideWhenUsed/>
    <w:rsid w:val="00555AEB"/>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555AEB"/>
    <w:pPr>
      <w:spacing w:after="100" w:line="240" w:lineRule="atLeast"/>
    </w:pPr>
    <w:rPr>
      <w:rFonts w:ascii="Arial" w:hAnsi="Arial"/>
      <w:sz w:val="20"/>
      <w:szCs w:val="22"/>
    </w:rPr>
  </w:style>
  <w:style w:type="character" w:customStyle="1" w:styleId="SaludoCar">
    <w:name w:val="Saludo Car"/>
    <w:basedOn w:val="Fuentedeprrafopredeter"/>
    <w:link w:val="Saludo"/>
    <w:uiPriority w:val="99"/>
    <w:semiHidden/>
    <w:rsid w:val="00555AEB"/>
    <w:rPr>
      <w:rFonts w:ascii="Arial" w:hAnsi="Arial"/>
      <w:sz w:val="20"/>
      <w:szCs w:val="22"/>
    </w:rPr>
  </w:style>
  <w:style w:type="paragraph" w:styleId="Sangra2detindependiente">
    <w:name w:val="Body Text Indent 2"/>
    <w:basedOn w:val="Normal"/>
    <w:link w:val="Sangra2detindependienteCar"/>
    <w:uiPriority w:val="99"/>
    <w:semiHidden/>
    <w:unhideWhenUsed/>
    <w:rsid w:val="00555AEB"/>
    <w:pPr>
      <w:spacing w:after="120" w:line="480" w:lineRule="auto"/>
      <w:ind w:left="283"/>
    </w:pPr>
    <w:rPr>
      <w:rFonts w:ascii="Arial" w:hAnsi="Arial"/>
      <w:sz w:val="20"/>
      <w:szCs w:val="22"/>
    </w:rPr>
  </w:style>
  <w:style w:type="character" w:customStyle="1" w:styleId="Sangra2detindependienteCar">
    <w:name w:val="Sangría 2 de t. independiente Car"/>
    <w:basedOn w:val="Fuentedeprrafopredeter"/>
    <w:link w:val="Sangra2detindependiente"/>
    <w:uiPriority w:val="99"/>
    <w:semiHidden/>
    <w:rsid w:val="00555AEB"/>
    <w:rPr>
      <w:rFonts w:ascii="Arial" w:hAnsi="Arial"/>
      <w:sz w:val="20"/>
      <w:szCs w:val="22"/>
    </w:rPr>
  </w:style>
  <w:style w:type="paragraph" w:styleId="Sangra3detindependiente">
    <w:name w:val="Body Text Indent 3"/>
    <w:basedOn w:val="Normal"/>
    <w:link w:val="Sangra3detindependienteCar"/>
    <w:uiPriority w:val="99"/>
    <w:semiHidden/>
    <w:unhideWhenUsed/>
    <w:rsid w:val="00555AEB"/>
    <w:pPr>
      <w:spacing w:after="120" w:line="240" w:lineRule="atLeast"/>
      <w:ind w:left="283"/>
    </w:pPr>
    <w:rPr>
      <w:rFonts w:ascii="Arial" w:hAnsi="Arial"/>
      <w:sz w:val="16"/>
      <w:szCs w:val="16"/>
    </w:rPr>
  </w:style>
  <w:style w:type="character" w:customStyle="1" w:styleId="Sangra3detindependienteCar">
    <w:name w:val="Sangría 3 de t. independiente Car"/>
    <w:basedOn w:val="Fuentedeprrafopredeter"/>
    <w:link w:val="Sangra3detindependiente"/>
    <w:uiPriority w:val="99"/>
    <w:semiHidden/>
    <w:rsid w:val="00555AEB"/>
    <w:rPr>
      <w:rFonts w:ascii="Arial" w:hAnsi="Arial"/>
      <w:sz w:val="16"/>
      <w:szCs w:val="16"/>
    </w:rPr>
  </w:style>
  <w:style w:type="paragraph" w:styleId="Sangradetextonormal">
    <w:name w:val="Body Text Indent"/>
    <w:basedOn w:val="Normal"/>
    <w:link w:val="SangradetextonormalCar"/>
    <w:uiPriority w:val="99"/>
    <w:semiHidden/>
    <w:unhideWhenUsed/>
    <w:rsid w:val="00555AEB"/>
    <w:pPr>
      <w:spacing w:after="120" w:line="240" w:lineRule="atLeast"/>
      <w:ind w:left="283"/>
    </w:pPr>
    <w:rPr>
      <w:rFonts w:ascii="Arial" w:hAnsi="Arial"/>
      <w:sz w:val="20"/>
      <w:szCs w:val="22"/>
    </w:rPr>
  </w:style>
  <w:style w:type="character" w:customStyle="1" w:styleId="SangradetextonormalCar">
    <w:name w:val="Sangría de texto normal Car"/>
    <w:basedOn w:val="Fuentedeprrafopredeter"/>
    <w:link w:val="Sangradetextonormal"/>
    <w:uiPriority w:val="99"/>
    <w:semiHidden/>
    <w:rsid w:val="00555AEB"/>
    <w:rPr>
      <w:rFonts w:ascii="Arial" w:hAnsi="Arial"/>
      <w:sz w:val="20"/>
      <w:szCs w:val="22"/>
    </w:rPr>
  </w:style>
  <w:style w:type="paragraph" w:styleId="Sangranormal">
    <w:name w:val="Normal Indent"/>
    <w:basedOn w:val="Normal"/>
    <w:uiPriority w:val="99"/>
    <w:semiHidden/>
    <w:unhideWhenUsed/>
    <w:rsid w:val="00555AEB"/>
    <w:pPr>
      <w:spacing w:after="100" w:line="240" w:lineRule="atLeast"/>
      <w:ind w:left="708"/>
    </w:pPr>
    <w:rPr>
      <w:rFonts w:ascii="Arial" w:hAnsi="Arial"/>
      <w:sz w:val="20"/>
      <w:szCs w:val="22"/>
    </w:rPr>
  </w:style>
  <w:style w:type="paragraph" w:styleId="Subttulo">
    <w:name w:val="Subtitle"/>
    <w:basedOn w:val="Normal"/>
    <w:next w:val="Normal"/>
    <w:link w:val="SubttuloCar"/>
    <w:uiPriority w:val="11"/>
    <w:qFormat/>
    <w:rsid w:val="00555AEB"/>
    <w:pPr>
      <w:numPr>
        <w:ilvl w:val="1"/>
      </w:numPr>
      <w:spacing w:after="160" w:line="240" w:lineRule="atLeast"/>
    </w:pPr>
    <w:rPr>
      <w:rFonts w:ascii="Arial" w:eastAsiaTheme="minorEastAsia" w:hAnsi="Arial"/>
      <w:color w:val="5A5A5A" w:themeColor="text1" w:themeTint="A5"/>
      <w:spacing w:val="15"/>
      <w:sz w:val="22"/>
      <w:szCs w:val="22"/>
    </w:rPr>
  </w:style>
  <w:style w:type="character" w:customStyle="1" w:styleId="SubttuloCar">
    <w:name w:val="Subtítulo Car"/>
    <w:basedOn w:val="Fuentedeprrafopredeter"/>
    <w:link w:val="Subttulo"/>
    <w:uiPriority w:val="11"/>
    <w:rsid w:val="00555AEB"/>
    <w:rPr>
      <w:rFonts w:ascii="Arial" w:eastAsiaTheme="minorEastAsia" w:hAnsi="Arial"/>
      <w:color w:val="5A5A5A" w:themeColor="text1" w:themeTint="A5"/>
      <w:spacing w:val="15"/>
      <w:sz w:val="22"/>
      <w:szCs w:val="22"/>
    </w:rPr>
  </w:style>
  <w:style w:type="paragraph" w:styleId="Tabladeilustraciones">
    <w:name w:val="table of figures"/>
    <w:basedOn w:val="Normal"/>
    <w:next w:val="Normal"/>
    <w:uiPriority w:val="99"/>
    <w:semiHidden/>
    <w:unhideWhenUsed/>
    <w:rsid w:val="00555AEB"/>
    <w:pPr>
      <w:spacing w:line="240" w:lineRule="atLeast"/>
    </w:pPr>
    <w:rPr>
      <w:rFonts w:ascii="Arial" w:hAnsi="Arial"/>
      <w:sz w:val="20"/>
      <w:szCs w:val="22"/>
    </w:rPr>
  </w:style>
  <w:style w:type="paragraph" w:styleId="Textoconsangra">
    <w:name w:val="table of authorities"/>
    <w:basedOn w:val="Normal"/>
    <w:next w:val="Normal"/>
    <w:uiPriority w:val="99"/>
    <w:semiHidden/>
    <w:unhideWhenUsed/>
    <w:rsid w:val="00555AEB"/>
    <w:pPr>
      <w:spacing w:line="240" w:lineRule="atLeast"/>
      <w:ind w:left="200" w:hanging="200"/>
    </w:pPr>
    <w:rPr>
      <w:rFonts w:ascii="Arial" w:hAnsi="Arial"/>
      <w:sz w:val="20"/>
      <w:szCs w:val="22"/>
    </w:rPr>
  </w:style>
  <w:style w:type="paragraph" w:styleId="Textodebloque">
    <w:name w:val="Block Text"/>
    <w:basedOn w:val="Normal"/>
    <w:uiPriority w:val="99"/>
    <w:semiHidden/>
    <w:unhideWhenUsed/>
    <w:rsid w:val="00555AEB"/>
    <w:pPr>
      <w:pBdr>
        <w:top w:val="single" w:sz="2" w:space="10" w:color="4472C4" w:themeColor="accent1"/>
        <w:left w:val="single" w:sz="2" w:space="10" w:color="4472C4" w:themeColor="accent1"/>
        <w:bottom w:val="single" w:sz="2" w:space="10" w:color="4472C4" w:themeColor="accent1"/>
        <w:right w:val="single" w:sz="2" w:space="10" w:color="4472C4" w:themeColor="accent1"/>
      </w:pBdr>
      <w:spacing w:after="100" w:line="240" w:lineRule="atLeast"/>
      <w:ind w:left="1152" w:right="1152"/>
    </w:pPr>
    <w:rPr>
      <w:rFonts w:ascii="Arial" w:eastAsiaTheme="minorEastAsia" w:hAnsi="Arial"/>
      <w:i/>
      <w:iCs/>
      <w:color w:val="4472C4" w:themeColor="accent1"/>
      <w:sz w:val="20"/>
      <w:szCs w:val="22"/>
    </w:rPr>
  </w:style>
  <w:style w:type="paragraph" w:styleId="Textoindependiente">
    <w:name w:val="Body Text"/>
    <w:basedOn w:val="Normal"/>
    <w:link w:val="TextoindependienteCar"/>
    <w:uiPriority w:val="99"/>
    <w:semiHidden/>
    <w:unhideWhenUsed/>
    <w:rsid w:val="00555AEB"/>
    <w:pPr>
      <w:spacing w:after="120" w:line="240" w:lineRule="atLeast"/>
    </w:pPr>
    <w:rPr>
      <w:rFonts w:ascii="Arial" w:hAnsi="Arial"/>
      <w:sz w:val="20"/>
      <w:szCs w:val="22"/>
    </w:rPr>
  </w:style>
  <w:style w:type="character" w:customStyle="1" w:styleId="TextoindependienteCar">
    <w:name w:val="Texto independiente Car"/>
    <w:basedOn w:val="Fuentedeprrafopredeter"/>
    <w:link w:val="Textoindependiente"/>
    <w:uiPriority w:val="99"/>
    <w:semiHidden/>
    <w:rsid w:val="00555AEB"/>
    <w:rPr>
      <w:rFonts w:ascii="Arial" w:hAnsi="Arial"/>
      <w:sz w:val="20"/>
      <w:szCs w:val="22"/>
    </w:rPr>
  </w:style>
  <w:style w:type="paragraph" w:styleId="Textoindependiente2">
    <w:name w:val="Body Text 2"/>
    <w:basedOn w:val="Normal"/>
    <w:link w:val="Textoindependiente2Car"/>
    <w:uiPriority w:val="99"/>
    <w:semiHidden/>
    <w:unhideWhenUsed/>
    <w:rsid w:val="00555AEB"/>
    <w:pPr>
      <w:spacing w:after="120" w:line="480" w:lineRule="auto"/>
    </w:pPr>
    <w:rPr>
      <w:rFonts w:ascii="Arial" w:hAnsi="Arial"/>
      <w:sz w:val="20"/>
      <w:szCs w:val="22"/>
    </w:rPr>
  </w:style>
  <w:style w:type="character" w:customStyle="1" w:styleId="Textoindependiente2Car">
    <w:name w:val="Texto independiente 2 Car"/>
    <w:basedOn w:val="Fuentedeprrafopredeter"/>
    <w:link w:val="Textoindependiente2"/>
    <w:uiPriority w:val="99"/>
    <w:semiHidden/>
    <w:rsid w:val="00555AEB"/>
    <w:rPr>
      <w:rFonts w:ascii="Arial" w:hAnsi="Arial"/>
      <w:sz w:val="20"/>
      <w:szCs w:val="22"/>
    </w:rPr>
  </w:style>
  <w:style w:type="paragraph" w:styleId="Textoindependiente3">
    <w:name w:val="Body Text 3"/>
    <w:basedOn w:val="Normal"/>
    <w:link w:val="Textoindependiente3Car"/>
    <w:uiPriority w:val="99"/>
    <w:semiHidden/>
    <w:unhideWhenUsed/>
    <w:rsid w:val="00555AEB"/>
    <w:pPr>
      <w:spacing w:after="120" w:line="240" w:lineRule="atLeast"/>
    </w:pPr>
    <w:rPr>
      <w:rFonts w:ascii="Arial" w:hAnsi="Arial"/>
      <w:sz w:val="16"/>
      <w:szCs w:val="16"/>
    </w:rPr>
  </w:style>
  <w:style w:type="character" w:customStyle="1" w:styleId="Textoindependiente3Car">
    <w:name w:val="Texto independiente 3 Car"/>
    <w:basedOn w:val="Fuentedeprrafopredeter"/>
    <w:link w:val="Textoindependiente3"/>
    <w:uiPriority w:val="99"/>
    <w:semiHidden/>
    <w:rsid w:val="00555AEB"/>
    <w:rPr>
      <w:rFonts w:ascii="Arial" w:hAnsi="Arial"/>
      <w:sz w:val="16"/>
      <w:szCs w:val="16"/>
    </w:rPr>
  </w:style>
  <w:style w:type="paragraph" w:styleId="Textoindependienteprimerasangra">
    <w:name w:val="Body Text First Indent"/>
    <w:basedOn w:val="Textoindependiente"/>
    <w:link w:val="TextoindependienteprimerasangraCar"/>
    <w:uiPriority w:val="99"/>
    <w:semiHidden/>
    <w:unhideWhenUsed/>
    <w:rsid w:val="00555AEB"/>
    <w:pPr>
      <w:spacing w:after="10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555AEB"/>
    <w:rPr>
      <w:rFonts w:ascii="Arial" w:hAnsi="Arial"/>
      <w:sz w:val="20"/>
      <w:szCs w:val="22"/>
    </w:rPr>
  </w:style>
  <w:style w:type="paragraph" w:styleId="Textoindependienteprimerasangra2">
    <w:name w:val="Body Text First Indent 2"/>
    <w:basedOn w:val="Sangradetextonormal"/>
    <w:link w:val="Textoindependienteprimerasangra2Car"/>
    <w:uiPriority w:val="99"/>
    <w:semiHidden/>
    <w:unhideWhenUsed/>
    <w:rsid w:val="00555AEB"/>
    <w:pPr>
      <w:spacing w:after="10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555AEB"/>
    <w:rPr>
      <w:rFonts w:ascii="Arial" w:hAnsi="Arial"/>
      <w:sz w:val="20"/>
      <w:szCs w:val="22"/>
    </w:rPr>
  </w:style>
  <w:style w:type="paragraph" w:styleId="Textomacro">
    <w:name w:val="macro"/>
    <w:link w:val="TextomacroCar"/>
    <w:uiPriority w:val="99"/>
    <w:semiHidden/>
    <w:unhideWhenUsed/>
    <w:rsid w:val="00555AEB"/>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TextomacroCar">
    <w:name w:val="Texto macro Car"/>
    <w:basedOn w:val="Fuentedeprrafopredeter"/>
    <w:link w:val="Textomacro"/>
    <w:uiPriority w:val="99"/>
    <w:semiHidden/>
    <w:rsid w:val="00555AEB"/>
    <w:rPr>
      <w:rFonts w:ascii="Consolas" w:hAnsi="Consolas"/>
      <w:sz w:val="20"/>
      <w:szCs w:val="20"/>
    </w:rPr>
  </w:style>
  <w:style w:type="paragraph" w:styleId="Textonotaalfinal">
    <w:name w:val="endnote text"/>
    <w:basedOn w:val="Normal"/>
    <w:link w:val="TextonotaalfinalCar"/>
    <w:uiPriority w:val="99"/>
    <w:semiHidden/>
    <w:unhideWhenUsed/>
    <w:rsid w:val="00555AEB"/>
    <w:rPr>
      <w:rFonts w:ascii="Arial" w:hAnsi="Arial"/>
      <w:sz w:val="20"/>
      <w:szCs w:val="20"/>
    </w:rPr>
  </w:style>
  <w:style w:type="character" w:customStyle="1" w:styleId="TextonotaalfinalCar">
    <w:name w:val="Texto nota al final Car"/>
    <w:basedOn w:val="Fuentedeprrafopredeter"/>
    <w:link w:val="Textonotaalfinal"/>
    <w:uiPriority w:val="99"/>
    <w:semiHidden/>
    <w:rsid w:val="00555AEB"/>
    <w:rPr>
      <w:rFonts w:ascii="Arial" w:hAnsi="Arial"/>
      <w:sz w:val="20"/>
      <w:szCs w:val="20"/>
    </w:rPr>
  </w:style>
  <w:style w:type="paragraph" w:styleId="Textosinformato">
    <w:name w:val="Plain Text"/>
    <w:basedOn w:val="Normal"/>
    <w:link w:val="TextosinformatoCar"/>
    <w:uiPriority w:val="99"/>
    <w:semiHidden/>
    <w:unhideWhenUsed/>
    <w:rsid w:val="00555AEB"/>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555AEB"/>
    <w:rPr>
      <w:rFonts w:ascii="Consolas" w:hAnsi="Consolas"/>
      <w:sz w:val="21"/>
      <w:szCs w:val="21"/>
    </w:rPr>
  </w:style>
  <w:style w:type="paragraph" w:styleId="Ttulo">
    <w:name w:val="Title"/>
    <w:basedOn w:val="Normal"/>
    <w:next w:val="Normal"/>
    <w:link w:val="TtuloCar"/>
    <w:uiPriority w:val="10"/>
    <w:qFormat/>
    <w:rsid w:val="00555AEB"/>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55AEB"/>
    <w:rPr>
      <w:rFonts w:asciiTheme="majorHAnsi" w:eastAsiaTheme="majorEastAsia" w:hAnsiTheme="majorHAnsi" w:cstheme="majorBidi"/>
      <w:spacing w:val="-10"/>
      <w:kern w:val="28"/>
      <w:sz w:val="56"/>
      <w:szCs w:val="56"/>
    </w:rPr>
  </w:style>
  <w:style w:type="paragraph" w:styleId="Ttulodendice">
    <w:name w:val="index heading"/>
    <w:basedOn w:val="Normal"/>
    <w:next w:val="ndice1"/>
    <w:uiPriority w:val="99"/>
    <w:semiHidden/>
    <w:unhideWhenUsed/>
    <w:rsid w:val="00555AEB"/>
    <w:pPr>
      <w:spacing w:after="100" w:line="240" w:lineRule="atLeast"/>
    </w:pPr>
    <w:rPr>
      <w:rFonts w:asciiTheme="majorHAnsi" w:eastAsiaTheme="majorEastAsia" w:hAnsiTheme="majorHAnsi" w:cstheme="majorBidi"/>
      <w:b/>
      <w:bCs/>
      <w:sz w:val="20"/>
      <w:szCs w:val="22"/>
    </w:rPr>
  </w:style>
  <w:style w:type="paragraph" w:styleId="TtuloTDC">
    <w:name w:val="TOC Heading"/>
    <w:basedOn w:val="Ttulo1"/>
    <w:next w:val="Normal"/>
    <w:uiPriority w:val="39"/>
    <w:semiHidden/>
    <w:unhideWhenUsed/>
    <w:qFormat/>
    <w:rsid w:val="00555AEB"/>
    <w:pPr>
      <w:spacing w:line="240" w:lineRule="atLeast"/>
      <w:outlineLvl w:val="9"/>
    </w:pPr>
    <w:rPr>
      <w:sz w:val="36"/>
      <w:szCs w:val="36"/>
    </w:rPr>
  </w:style>
  <w:style w:type="paragraph" w:customStyle="1" w:styleId="titulo3">
    <w:name w:val="titulo 3"/>
    <w:basedOn w:val="Textoindependiente"/>
    <w:rsid w:val="00555AEB"/>
    <w:pPr>
      <w:numPr>
        <w:ilvl w:val="2"/>
        <w:numId w:val="69"/>
      </w:numPr>
      <w:spacing w:after="0" w:line="240" w:lineRule="auto"/>
    </w:pPr>
    <w:rPr>
      <w:rFonts w:asciiTheme="minorHAnsi" w:eastAsia="Times New Roman" w:hAnsiTheme="minorHAnsi" w:cstheme="minorHAnsi"/>
      <w:sz w:val="18"/>
      <w:szCs w:val="20"/>
      <w:lang w:eastAsia="es-ES"/>
    </w:rPr>
  </w:style>
  <w:style w:type="character" w:styleId="Hipervnculovisitado">
    <w:name w:val="FollowedHyperlink"/>
    <w:basedOn w:val="Fuentedeprrafopredeter"/>
    <w:uiPriority w:val="99"/>
    <w:semiHidden/>
    <w:unhideWhenUsed/>
    <w:rsid w:val="00555AEB"/>
    <w:rPr>
      <w:color w:val="954F72" w:themeColor="followedHyperlink"/>
      <w:u w:val="single"/>
    </w:rPr>
  </w:style>
  <w:style w:type="character" w:customStyle="1" w:styleId="rynqvb">
    <w:name w:val="rynqvb"/>
    <w:basedOn w:val="Fuentedeprrafopredeter"/>
    <w:rsid w:val="00512539"/>
  </w:style>
  <w:style w:type="paragraph" w:customStyle="1" w:styleId="refauthorsname">
    <w:name w:val="ref__authors__name"/>
    <w:basedOn w:val="Normal"/>
    <w:rsid w:val="006A7B3D"/>
    <w:pPr>
      <w:spacing w:before="100" w:beforeAutospacing="1" w:after="100" w:afterAutospacing="1"/>
    </w:pPr>
    <w:rPr>
      <w:rFonts w:ascii="Times New Roman" w:eastAsia="Times New Roman" w:hAnsi="Times New Roman" w:cs="Times New Roman"/>
      <w:lang w:eastAsia="es-ES_tradnl"/>
    </w:rPr>
  </w:style>
  <w:style w:type="character" w:customStyle="1" w:styleId="refseries">
    <w:name w:val="ref__series"/>
    <w:basedOn w:val="Fuentedeprrafopredeter"/>
    <w:rsid w:val="006A7B3D"/>
  </w:style>
  <w:style w:type="character" w:customStyle="1" w:styleId="refseriesdate">
    <w:name w:val="ref__seriesdate"/>
    <w:basedOn w:val="Fuentedeprrafopredeter"/>
    <w:rsid w:val="006A7B3D"/>
  </w:style>
  <w:style w:type="character" w:customStyle="1" w:styleId="refseriesvolume">
    <w:name w:val="ref__seriesvolume"/>
    <w:basedOn w:val="Fuentedeprrafopredeter"/>
    <w:rsid w:val="006A7B3D"/>
  </w:style>
  <w:style w:type="character" w:customStyle="1" w:styleId="refseriespages">
    <w:name w:val="ref__seriespages"/>
    <w:basedOn w:val="Fuentedeprrafopredeter"/>
    <w:rsid w:val="006A7B3D"/>
  </w:style>
  <w:style w:type="character" w:customStyle="1" w:styleId="html-italic">
    <w:name w:val="html-italic"/>
    <w:basedOn w:val="Fuentedeprrafopredeter"/>
    <w:rsid w:val="007564B6"/>
  </w:style>
  <w:style w:type="paragraph" w:customStyle="1" w:styleId="html-xx">
    <w:name w:val="html-xx"/>
    <w:basedOn w:val="Normal"/>
    <w:rsid w:val="007564B6"/>
    <w:pPr>
      <w:spacing w:before="100" w:beforeAutospacing="1" w:after="100" w:afterAutospacing="1"/>
    </w:pPr>
    <w:rPr>
      <w:rFonts w:ascii="Times New Roman" w:eastAsia="Times New Roman" w:hAnsi="Times New Roman" w:cs="Times New Roman"/>
      <w:lang w:eastAsia="es-ES"/>
    </w:rPr>
  </w:style>
  <w:style w:type="paragraph" w:customStyle="1" w:styleId="html-x">
    <w:name w:val="html-x"/>
    <w:basedOn w:val="Normal"/>
    <w:rsid w:val="007564B6"/>
    <w:pPr>
      <w:spacing w:before="100" w:beforeAutospacing="1" w:after="100" w:afterAutospacing="1"/>
    </w:pPr>
    <w:rPr>
      <w:rFonts w:ascii="Times New Roman" w:eastAsia="Times New Roman" w:hAnsi="Times New Roman" w:cs="Times New Roman"/>
      <w:lang w:eastAsia="es-ES"/>
    </w:rPr>
  </w:style>
  <w:style w:type="character" w:customStyle="1" w:styleId="Mencinsinresolver2">
    <w:name w:val="Mención sin resolver2"/>
    <w:basedOn w:val="Fuentedeprrafopredeter"/>
    <w:uiPriority w:val="99"/>
    <w:semiHidden/>
    <w:unhideWhenUsed/>
    <w:rsid w:val="003A64F4"/>
    <w:rPr>
      <w:color w:val="605E5C"/>
      <w:shd w:val="clear" w:color="auto" w:fill="E1DFDD"/>
    </w:rPr>
  </w:style>
  <w:style w:type="character" w:customStyle="1" w:styleId="al-author-delim">
    <w:name w:val="al-author-delim"/>
    <w:basedOn w:val="Fuentedeprrafopredeter"/>
    <w:rsid w:val="007D4084"/>
  </w:style>
  <w:style w:type="character" w:customStyle="1" w:styleId="Subttulo1">
    <w:name w:val="Subtítulo1"/>
    <w:basedOn w:val="Fuentedeprrafopredeter"/>
    <w:rsid w:val="007D4084"/>
  </w:style>
  <w:style w:type="character" w:customStyle="1" w:styleId="colon-for-citation-subtitle">
    <w:name w:val="colon-for-citation-subtitle"/>
    <w:basedOn w:val="Fuentedeprrafopredeter"/>
    <w:rsid w:val="007D4084"/>
  </w:style>
  <w:style w:type="character" w:styleId="Mencinsinresolver">
    <w:name w:val="Unresolved Mention"/>
    <w:basedOn w:val="Fuentedeprrafopredeter"/>
    <w:uiPriority w:val="99"/>
    <w:semiHidden/>
    <w:unhideWhenUsed/>
    <w:rsid w:val="007103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31799">
      <w:bodyDiv w:val="1"/>
      <w:marLeft w:val="0"/>
      <w:marRight w:val="0"/>
      <w:marTop w:val="0"/>
      <w:marBottom w:val="0"/>
      <w:divBdr>
        <w:top w:val="none" w:sz="0" w:space="0" w:color="auto"/>
        <w:left w:val="none" w:sz="0" w:space="0" w:color="auto"/>
        <w:bottom w:val="none" w:sz="0" w:space="0" w:color="auto"/>
        <w:right w:val="none" w:sz="0" w:space="0" w:color="auto"/>
      </w:divBdr>
    </w:div>
    <w:div w:id="123936235">
      <w:bodyDiv w:val="1"/>
      <w:marLeft w:val="0"/>
      <w:marRight w:val="0"/>
      <w:marTop w:val="0"/>
      <w:marBottom w:val="0"/>
      <w:divBdr>
        <w:top w:val="none" w:sz="0" w:space="0" w:color="auto"/>
        <w:left w:val="none" w:sz="0" w:space="0" w:color="auto"/>
        <w:bottom w:val="none" w:sz="0" w:space="0" w:color="auto"/>
        <w:right w:val="none" w:sz="0" w:space="0" w:color="auto"/>
      </w:divBdr>
    </w:div>
    <w:div w:id="450823026">
      <w:bodyDiv w:val="1"/>
      <w:marLeft w:val="0"/>
      <w:marRight w:val="0"/>
      <w:marTop w:val="0"/>
      <w:marBottom w:val="0"/>
      <w:divBdr>
        <w:top w:val="none" w:sz="0" w:space="0" w:color="auto"/>
        <w:left w:val="none" w:sz="0" w:space="0" w:color="auto"/>
        <w:bottom w:val="none" w:sz="0" w:space="0" w:color="auto"/>
        <w:right w:val="none" w:sz="0" w:space="0" w:color="auto"/>
      </w:divBdr>
      <w:divsChild>
        <w:div w:id="1011835306">
          <w:marLeft w:val="0"/>
          <w:marRight w:val="0"/>
          <w:marTop w:val="195"/>
          <w:marBottom w:val="90"/>
          <w:divBdr>
            <w:top w:val="none" w:sz="0" w:space="0" w:color="auto"/>
            <w:left w:val="none" w:sz="0" w:space="0" w:color="auto"/>
            <w:bottom w:val="none" w:sz="0" w:space="0" w:color="auto"/>
            <w:right w:val="none" w:sz="0" w:space="0" w:color="auto"/>
          </w:divBdr>
          <w:divsChild>
            <w:div w:id="2119980857">
              <w:marLeft w:val="0"/>
              <w:marRight w:val="0"/>
              <w:marTop w:val="0"/>
              <w:marBottom w:val="0"/>
              <w:divBdr>
                <w:top w:val="none" w:sz="0" w:space="0" w:color="auto"/>
                <w:left w:val="none" w:sz="0" w:space="0" w:color="auto"/>
                <w:bottom w:val="none" w:sz="0" w:space="0" w:color="auto"/>
                <w:right w:val="none" w:sz="0" w:space="0" w:color="auto"/>
              </w:divBdr>
              <w:divsChild>
                <w:div w:id="214469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910154">
      <w:bodyDiv w:val="1"/>
      <w:marLeft w:val="0"/>
      <w:marRight w:val="0"/>
      <w:marTop w:val="0"/>
      <w:marBottom w:val="0"/>
      <w:divBdr>
        <w:top w:val="none" w:sz="0" w:space="0" w:color="auto"/>
        <w:left w:val="none" w:sz="0" w:space="0" w:color="auto"/>
        <w:bottom w:val="none" w:sz="0" w:space="0" w:color="auto"/>
        <w:right w:val="none" w:sz="0" w:space="0" w:color="auto"/>
      </w:divBdr>
    </w:div>
    <w:div w:id="645816216">
      <w:bodyDiv w:val="1"/>
      <w:marLeft w:val="0"/>
      <w:marRight w:val="0"/>
      <w:marTop w:val="0"/>
      <w:marBottom w:val="0"/>
      <w:divBdr>
        <w:top w:val="none" w:sz="0" w:space="0" w:color="auto"/>
        <w:left w:val="none" w:sz="0" w:space="0" w:color="auto"/>
        <w:bottom w:val="none" w:sz="0" w:space="0" w:color="auto"/>
        <w:right w:val="none" w:sz="0" w:space="0" w:color="auto"/>
      </w:divBdr>
      <w:divsChild>
        <w:div w:id="172692158">
          <w:marLeft w:val="0"/>
          <w:marRight w:val="0"/>
          <w:marTop w:val="0"/>
          <w:marBottom w:val="0"/>
          <w:divBdr>
            <w:top w:val="none" w:sz="0" w:space="0" w:color="auto"/>
            <w:left w:val="none" w:sz="0" w:space="0" w:color="auto"/>
            <w:bottom w:val="none" w:sz="0" w:space="0" w:color="auto"/>
            <w:right w:val="none" w:sz="0" w:space="0" w:color="auto"/>
          </w:divBdr>
        </w:div>
        <w:div w:id="1603221986">
          <w:marLeft w:val="0"/>
          <w:marRight w:val="0"/>
          <w:marTop w:val="0"/>
          <w:marBottom w:val="0"/>
          <w:divBdr>
            <w:top w:val="none" w:sz="0" w:space="0" w:color="auto"/>
            <w:left w:val="none" w:sz="0" w:space="0" w:color="auto"/>
            <w:bottom w:val="none" w:sz="0" w:space="0" w:color="auto"/>
            <w:right w:val="none" w:sz="0" w:space="0" w:color="auto"/>
          </w:divBdr>
          <w:divsChild>
            <w:div w:id="16199140">
              <w:marLeft w:val="0"/>
              <w:marRight w:val="0"/>
              <w:marTop w:val="0"/>
              <w:marBottom w:val="0"/>
              <w:divBdr>
                <w:top w:val="none" w:sz="0" w:space="0" w:color="auto"/>
                <w:left w:val="none" w:sz="0" w:space="0" w:color="auto"/>
                <w:bottom w:val="none" w:sz="0" w:space="0" w:color="auto"/>
                <w:right w:val="none" w:sz="0" w:space="0" w:color="auto"/>
              </w:divBdr>
            </w:div>
            <w:div w:id="148139187">
              <w:marLeft w:val="0"/>
              <w:marRight w:val="0"/>
              <w:marTop w:val="0"/>
              <w:marBottom w:val="0"/>
              <w:divBdr>
                <w:top w:val="none" w:sz="0" w:space="0" w:color="auto"/>
                <w:left w:val="none" w:sz="0" w:space="0" w:color="auto"/>
                <w:bottom w:val="none" w:sz="0" w:space="0" w:color="auto"/>
                <w:right w:val="none" w:sz="0" w:space="0" w:color="auto"/>
              </w:divBdr>
            </w:div>
            <w:div w:id="949318364">
              <w:marLeft w:val="0"/>
              <w:marRight w:val="0"/>
              <w:marTop w:val="0"/>
              <w:marBottom w:val="0"/>
              <w:divBdr>
                <w:top w:val="none" w:sz="0" w:space="0" w:color="auto"/>
                <w:left w:val="none" w:sz="0" w:space="0" w:color="auto"/>
                <w:bottom w:val="none" w:sz="0" w:space="0" w:color="auto"/>
                <w:right w:val="none" w:sz="0" w:space="0" w:color="auto"/>
              </w:divBdr>
            </w:div>
            <w:div w:id="207389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924049">
      <w:bodyDiv w:val="1"/>
      <w:marLeft w:val="0"/>
      <w:marRight w:val="0"/>
      <w:marTop w:val="0"/>
      <w:marBottom w:val="0"/>
      <w:divBdr>
        <w:top w:val="none" w:sz="0" w:space="0" w:color="auto"/>
        <w:left w:val="none" w:sz="0" w:space="0" w:color="auto"/>
        <w:bottom w:val="none" w:sz="0" w:space="0" w:color="auto"/>
        <w:right w:val="none" w:sz="0" w:space="0" w:color="auto"/>
      </w:divBdr>
      <w:divsChild>
        <w:div w:id="476382106">
          <w:marLeft w:val="0"/>
          <w:marRight w:val="0"/>
          <w:marTop w:val="0"/>
          <w:marBottom w:val="0"/>
          <w:divBdr>
            <w:top w:val="none" w:sz="0" w:space="0" w:color="auto"/>
            <w:left w:val="none" w:sz="0" w:space="0" w:color="auto"/>
            <w:bottom w:val="none" w:sz="0" w:space="0" w:color="auto"/>
            <w:right w:val="none" w:sz="0" w:space="0" w:color="auto"/>
          </w:divBdr>
        </w:div>
      </w:divsChild>
    </w:div>
    <w:div w:id="1155217073">
      <w:bodyDiv w:val="1"/>
      <w:marLeft w:val="0"/>
      <w:marRight w:val="0"/>
      <w:marTop w:val="0"/>
      <w:marBottom w:val="0"/>
      <w:divBdr>
        <w:top w:val="none" w:sz="0" w:space="0" w:color="auto"/>
        <w:left w:val="none" w:sz="0" w:space="0" w:color="auto"/>
        <w:bottom w:val="none" w:sz="0" w:space="0" w:color="auto"/>
        <w:right w:val="none" w:sz="0" w:space="0" w:color="auto"/>
      </w:divBdr>
      <w:divsChild>
        <w:div w:id="701056379">
          <w:marLeft w:val="0"/>
          <w:marRight w:val="0"/>
          <w:marTop w:val="150"/>
          <w:marBottom w:val="225"/>
          <w:divBdr>
            <w:top w:val="none" w:sz="0" w:space="0" w:color="auto"/>
            <w:left w:val="none" w:sz="0" w:space="0" w:color="auto"/>
            <w:bottom w:val="none" w:sz="0" w:space="0" w:color="auto"/>
            <w:right w:val="none" w:sz="0" w:space="0" w:color="auto"/>
          </w:divBdr>
        </w:div>
        <w:div w:id="710613732">
          <w:marLeft w:val="0"/>
          <w:marRight w:val="0"/>
          <w:marTop w:val="150"/>
          <w:marBottom w:val="225"/>
          <w:divBdr>
            <w:top w:val="none" w:sz="0" w:space="0" w:color="auto"/>
            <w:left w:val="none" w:sz="0" w:space="0" w:color="auto"/>
            <w:bottom w:val="none" w:sz="0" w:space="0" w:color="auto"/>
            <w:right w:val="none" w:sz="0" w:space="0" w:color="auto"/>
          </w:divBdr>
        </w:div>
        <w:div w:id="472676692">
          <w:marLeft w:val="0"/>
          <w:marRight w:val="0"/>
          <w:marTop w:val="150"/>
          <w:marBottom w:val="225"/>
          <w:divBdr>
            <w:top w:val="none" w:sz="0" w:space="0" w:color="auto"/>
            <w:left w:val="none" w:sz="0" w:space="0" w:color="auto"/>
            <w:bottom w:val="none" w:sz="0" w:space="0" w:color="auto"/>
            <w:right w:val="none" w:sz="0" w:space="0" w:color="auto"/>
          </w:divBdr>
        </w:div>
      </w:divsChild>
    </w:div>
    <w:div w:id="1181044921">
      <w:bodyDiv w:val="1"/>
      <w:marLeft w:val="0"/>
      <w:marRight w:val="0"/>
      <w:marTop w:val="0"/>
      <w:marBottom w:val="0"/>
      <w:divBdr>
        <w:top w:val="none" w:sz="0" w:space="0" w:color="auto"/>
        <w:left w:val="none" w:sz="0" w:space="0" w:color="auto"/>
        <w:bottom w:val="none" w:sz="0" w:space="0" w:color="auto"/>
        <w:right w:val="none" w:sz="0" w:space="0" w:color="auto"/>
      </w:divBdr>
    </w:div>
    <w:div w:id="1564414677">
      <w:bodyDiv w:val="1"/>
      <w:marLeft w:val="0"/>
      <w:marRight w:val="0"/>
      <w:marTop w:val="0"/>
      <w:marBottom w:val="0"/>
      <w:divBdr>
        <w:top w:val="none" w:sz="0" w:space="0" w:color="auto"/>
        <w:left w:val="none" w:sz="0" w:space="0" w:color="auto"/>
        <w:bottom w:val="none" w:sz="0" w:space="0" w:color="auto"/>
        <w:right w:val="none" w:sz="0" w:space="0" w:color="auto"/>
      </w:divBdr>
      <w:divsChild>
        <w:div w:id="1442408364">
          <w:marLeft w:val="0"/>
          <w:marRight w:val="0"/>
          <w:marTop w:val="195"/>
          <w:marBottom w:val="90"/>
          <w:divBdr>
            <w:top w:val="none" w:sz="0" w:space="0" w:color="auto"/>
            <w:left w:val="none" w:sz="0" w:space="0" w:color="auto"/>
            <w:bottom w:val="none" w:sz="0" w:space="0" w:color="auto"/>
            <w:right w:val="none" w:sz="0" w:space="0" w:color="auto"/>
          </w:divBdr>
          <w:divsChild>
            <w:div w:id="1828740608">
              <w:marLeft w:val="0"/>
              <w:marRight w:val="0"/>
              <w:marTop w:val="0"/>
              <w:marBottom w:val="0"/>
              <w:divBdr>
                <w:top w:val="none" w:sz="0" w:space="0" w:color="auto"/>
                <w:left w:val="none" w:sz="0" w:space="0" w:color="auto"/>
                <w:bottom w:val="none" w:sz="0" w:space="0" w:color="auto"/>
                <w:right w:val="none" w:sz="0" w:space="0" w:color="auto"/>
              </w:divBdr>
              <w:divsChild>
                <w:div w:id="93247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697190">
      <w:bodyDiv w:val="1"/>
      <w:marLeft w:val="0"/>
      <w:marRight w:val="0"/>
      <w:marTop w:val="0"/>
      <w:marBottom w:val="0"/>
      <w:divBdr>
        <w:top w:val="none" w:sz="0" w:space="0" w:color="auto"/>
        <w:left w:val="none" w:sz="0" w:space="0" w:color="auto"/>
        <w:bottom w:val="none" w:sz="0" w:space="0" w:color="auto"/>
        <w:right w:val="none" w:sz="0" w:space="0" w:color="auto"/>
      </w:divBdr>
      <w:divsChild>
        <w:div w:id="1628587355">
          <w:marLeft w:val="0"/>
          <w:marRight w:val="0"/>
          <w:marTop w:val="0"/>
          <w:marBottom w:val="0"/>
          <w:divBdr>
            <w:top w:val="none" w:sz="0" w:space="0" w:color="auto"/>
            <w:left w:val="none" w:sz="0" w:space="0" w:color="auto"/>
            <w:bottom w:val="none" w:sz="0" w:space="0" w:color="auto"/>
            <w:right w:val="none" w:sz="0" w:space="0" w:color="auto"/>
          </w:divBdr>
        </w:div>
        <w:div w:id="1309476545">
          <w:marLeft w:val="0"/>
          <w:marRight w:val="0"/>
          <w:marTop w:val="0"/>
          <w:marBottom w:val="0"/>
          <w:divBdr>
            <w:top w:val="none" w:sz="0" w:space="0" w:color="auto"/>
            <w:left w:val="none" w:sz="0" w:space="0" w:color="auto"/>
            <w:bottom w:val="none" w:sz="0" w:space="0" w:color="auto"/>
            <w:right w:val="none" w:sz="0" w:space="0" w:color="auto"/>
          </w:divBdr>
        </w:div>
        <w:div w:id="913665368">
          <w:marLeft w:val="0"/>
          <w:marRight w:val="0"/>
          <w:marTop w:val="0"/>
          <w:marBottom w:val="0"/>
          <w:divBdr>
            <w:top w:val="none" w:sz="0" w:space="0" w:color="auto"/>
            <w:left w:val="none" w:sz="0" w:space="0" w:color="auto"/>
            <w:bottom w:val="none" w:sz="0" w:space="0" w:color="auto"/>
            <w:right w:val="none" w:sz="0" w:space="0" w:color="auto"/>
          </w:divBdr>
        </w:div>
      </w:divsChild>
    </w:div>
    <w:div w:id="1904674858">
      <w:bodyDiv w:val="1"/>
      <w:marLeft w:val="0"/>
      <w:marRight w:val="0"/>
      <w:marTop w:val="0"/>
      <w:marBottom w:val="0"/>
      <w:divBdr>
        <w:top w:val="none" w:sz="0" w:space="0" w:color="auto"/>
        <w:left w:val="none" w:sz="0" w:space="0" w:color="auto"/>
        <w:bottom w:val="none" w:sz="0" w:space="0" w:color="auto"/>
        <w:right w:val="none" w:sz="0" w:space="0" w:color="auto"/>
      </w:divBdr>
    </w:div>
    <w:div w:id="1955942034">
      <w:bodyDiv w:val="1"/>
      <w:marLeft w:val="0"/>
      <w:marRight w:val="0"/>
      <w:marTop w:val="0"/>
      <w:marBottom w:val="0"/>
      <w:divBdr>
        <w:top w:val="none" w:sz="0" w:space="0" w:color="auto"/>
        <w:left w:val="none" w:sz="0" w:space="0" w:color="auto"/>
        <w:bottom w:val="none" w:sz="0" w:space="0" w:color="auto"/>
        <w:right w:val="none" w:sz="0" w:space="0" w:color="auto"/>
      </w:divBdr>
      <w:divsChild>
        <w:div w:id="1171602754">
          <w:marLeft w:val="0"/>
          <w:marRight w:val="0"/>
          <w:marTop w:val="0"/>
          <w:marBottom w:val="0"/>
          <w:divBdr>
            <w:top w:val="none" w:sz="0" w:space="0" w:color="auto"/>
            <w:left w:val="none" w:sz="0" w:space="0" w:color="auto"/>
            <w:bottom w:val="none" w:sz="0" w:space="0" w:color="auto"/>
            <w:right w:val="none" w:sz="0" w:space="0" w:color="auto"/>
          </w:divBdr>
        </w:div>
        <w:div w:id="372315974">
          <w:marLeft w:val="0"/>
          <w:marRight w:val="0"/>
          <w:marTop w:val="0"/>
          <w:marBottom w:val="0"/>
          <w:divBdr>
            <w:top w:val="none" w:sz="0" w:space="0" w:color="auto"/>
            <w:left w:val="none" w:sz="0" w:space="0" w:color="auto"/>
            <w:bottom w:val="none" w:sz="0" w:space="0" w:color="auto"/>
            <w:right w:val="none" w:sz="0" w:space="0" w:color="auto"/>
          </w:divBdr>
        </w:div>
      </w:divsChild>
    </w:div>
    <w:div w:id="2006857490">
      <w:bodyDiv w:val="1"/>
      <w:marLeft w:val="0"/>
      <w:marRight w:val="0"/>
      <w:marTop w:val="0"/>
      <w:marBottom w:val="0"/>
      <w:divBdr>
        <w:top w:val="none" w:sz="0" w:space="0" w:color="auto"/>
        <w:left w:val="none" w:sz="0" w:space="0" w:color="auto"/>
        <w:bottom w:val="none" w:sz="0" w:space="0" w:color="auto"/>
        <w:right w:val="none" w:sz="0" w:space="0" w:color="auto"/>
      </w:divBdr>
      <w:divsChild>
        <w:div w:id="1196232273">
          <w:marLeft w:val="0"/>
          <w:marRight w:val="0"/>
          <w:marTop w:val="0"/>
          <w:marBottom w:val="0"/>
          <w:divBdr>
            <w:top w:val="none" w:sz="0" w:space="0" w:color="auto"/>
            <w:left w:val="none" w:sz="0" w:space="0" w:color="auto"/>
            <w:bottom w:val="none" w:sz="0" w:space="0" w:color="auto"/>
            <w:right w:val="none" w:sz="0" w:space="0" w:color="auto"/>
          </w:divBdr>
        </w:div>
        <w:div w:id="1231113104">
          <w:marLeft w:val="0"/>
          <w:marRight w:val="0"/>
          <w:marTop w:val="0"/>
          <w:marBottom w:val="0"/>
          <w:divBdr>
            <w:top w:val="none" w:sz="0" w:space="0" w:color="auto"/>
            <w:left w:val="none" w:sz="0" w:space="0" w:color="auto"/>
            <w:bottom w:val="none" w:sz="0" w:space="0" w:color="auto"/>
            <w:right w:val="none" w:sz="0" w:space="0" w:color="auto"/>
          </w:divBdr>
        </w:div>
        <w:div w:id="1609310803">
          <w:marLeft w:val="0"/>
          <w:marRight w:val="0"/>
          <w:marTop w:val="0"/>
          <w:marBottom w:val="0"/>
          <w:divBdr>
            <w:top w:val="none" w:sz="0" w:space="0" w:color="auto"/>
            <w:left w:val="none" w:sz="0" w:space="0" w:color="auto"/>
            <w:bottom w:val="none" w:sz="0" w:space="0" w:color="auto"/>
            <w:right w:val="none" w:sz="0" w:space="0" w:color="auto"/>
          </w:divBdr>
        </w:div>
        <w:div w:id="1462111312">
          <w:marLeft w:val="0"/>
          <w:marRight w:val="0"/>
          <w:marTop w:val="0"/>
          <w:marBottom w:val="0"/>
          <w:divBdr>
            <w:top w:val="none" w:sz="0" w:space="0" w:color="auto"/>
            <w:left w:val="none" w:sz="0" w:space="0" w:color="auto"/>
            <w:bottom w:val="none" w:sz="0" w:space="0" w:color="auto"/>
            <w:right w:val="none" w:sz="0" w:space="0" w:color="auto"/>
          </w:divBdr>
        </w:div>
        <w:div w:id="1692998450">
          <w:marLeft w:val="0"/>
          <w:marRight w:val="0"/>
          <w:marTop w:val="0"/>
          <w:marBottom w:val="0"/>
          <w:divBdr>
            <w:top w:val="none" w:sz="0" w:space="0" w:color="auto"/>
            <w:left w:val="none" w:sz="0" w:space="0" w:color="auto"/>
            <w:bottom w:val="none" w:sz="0" w:space="0" w:color="auto"/>
            <w:right w:val="none" w:sz="0" w:space="0" w:color="auto"/>
          </w:divBdr>
        </w:div>
        <w:div w:id="1420055641">
          <w:marLeft w:val="0"/>
          <w:marRight w:val="0"/>
          <w:marTop w:val="0"/>
          <w:marBottom w:val="0"/>
          <w:divBdr>
            <w:top w:val="none" w:sz="0" w:space="0" w:color="auto"/>
            <w:left w:val="none" w:sz="0" w:space="0" w:color="auto"/>
            <w:bottom w:val="none" w:sz="0" w:space="0" w:color="auto"/>
            <w:right w:val="none" w:sz="0" w:space="0" w:color="auto"/>
          </w:divBdr>
        </w:div>
      </w:divsChild>
    </w:div>
    <w:div w:id="2053533391">
      <w:bodyDiv w:val="1"/>
      <w:marLeft w:val="0"/>
      <w:marRight w:val="0"/>
      <w:marTop w:val="0"/>
      <w:marBottom w:val="0"/>
      <w:divBdr>
        <w:top w:val="none" w:sz="0" w:space="0" w:color="auto"/>
        <w:left w:val="none" w:sz="0" w:space="0" w:color="auto"/>
        <w:bottom w:val="none" w:sz="0" w:space="0" w:color="auto"/>
        <w:right w:val="none" w:sz="0" w:space="0" w:color="auto"/>
      </w:divBdr>
      <w:divsChild>
        <w:div w:id="663554969">
          <w:marLeft w:val="0"/>
          <w:marRight w:val="0"/>
          <w:marTop w:val="0"/>
          <w:marBottom w:val="0"/>
          <w:divBdr>
            <w:top w:val="none" w:sz="0" w:space="0" w:color="auto"/>
            <w:left w:val="none" w:sz="0" w:space="0" w:color="auto"/>
            <w:bottom w:val="none" w:sz="0" w:space="0" w:color="auto"/>
            <w:right w:val="none" w:sz="0" w:space="0" w:color="auto"/>
          </w:divBdr>
        </w:div>
        <w:div w:id="1721856289">
          <w:marLeft w:val="0"/>
          <w:marRight w:val="0"/>
          <w:marTop w:val="0"/>
          <w:marBottom w:val="0"/>
          <w:divBdr>
            <w:top w:val="none" w:sz="0" w:space="0" w:color="auto"/>
            <w:left w:val="none" w:sz="0" w:space="0" w:color="auto"/>
            <w:bottom w:val="none" w:sz="0" w:space="0" w:color="auto"/>
            <w:right w:val="none" w:sz="0" w:space="0" w:color="auto"/>
          </w:divBdr>
        </w:div>
        <w:div w:id="688528259">
          <w:marLeft w:val="0"/>
          <w:marRight w:val="0"/>
          <w:marTop w:val="0"/>
          <w:marBottom w:val="0"/>
          <w:divBdr>
            <w:top w:val="none" w:sz="0" w:space="0" w:color="auto"/>
            <w:left w:val="none" w:sz="0" w:space="0" w:color="auto"/>
            <w:bottom w:val="none" w:sz="0" w:space="0" w:color="auto"/>
            <w:right w:val="none" w:sz="0" w:space="0" w:color="auto"/>
          </w:divBdr>
        </w:div>
        <w:div w:id="139882671">
          <w:marLeft w:val="0"/>
          <w:marRight w:val="0"/>
          <w:marTop w:val="0"/>
          <w:marBottom w:val="0"/>
          <w:divBdr>
            <w:top w:val="none" w:sz="0" w:space="0" w:color="auto"/>
            <w:left w:val="none" w:sz="0" w:space="0" w:color="auto"/>
            <w:bottom w:val="none" w:sz="0" w:space="0" w:color="auto"/>
            <w:right w:val="none" w:sz="0" w:space="0" w:color="auto"/>
          </w:divBdr>
        </w:div>
        <w:div w:id="375129514">
          <w:marLeft w:val="0"/>
          <w:marRight w:val="0"/>
          <w:marTop w:val="0"/>
          <w:marBottom w:val="0"/>
          <w:divBdr>
            <w:top w:val="none" w:sz="0" w:space="0" w:color="auto"/>
            <w:left w:val="none" w:sz="0" w:space="0" w:color="auto"/>
            <w:bottom w:val="none" w:sz="0" w:space="0" w:color="auto"/>
            <w:right w:val="none" w:sz="0" w:space="0" w:color="auto"/>
          </w:divBdr>
        </w:div>
        <w:div w:id="1634558006">
          <w:marLeft w:val="0"/>
          <w:marRight w:val="0"/>
          <w:marTop w:val="0"/>
          <w:marBottom w:val="0"/>
          <w:divBdr>
            <w:top w:val="none" w:sz="0" w:space="0" w:color="auto"/>
            <w:left w:val="none" w:sz="0" w:space="0" w:color="auto"/>
            <w:bottom w:val="none" w:sz="0" w:space="0" w:color="auto"/>
            <w:right w:val="none" w:sz="0" w:space="0" w:color="auto"/>
          </w:divBdr>
        </w:div>
        <w:div w:id="654072141">
          <w:marLeft w:val="0"/>
          <w:marRight w:val="0"/>
          <w:marTop w:val="0"/>
          <w:marBottom w:val="0"/>
          <w:divBdr>
            <w:top w:val="none" w:sz="0" w:space="0" w:color="auto"/>
            <w:left w:val="none" w:sz="0" w:space="0" w:color="auto"/>
            <w:bottom w:val="none" w:sz="0" w:space="0" w:color="auto"/>
            <w:right w:val="none" w:sz="0" w:space="0" w:color="auto"/>
          </w:divBdr>
        </w:div>
        <w:div w:id="2095397169">
          <w:marLeft w:val="0"/>
          <w:marRight w:val="0"/>
          <w:marTop w:val="0"/>
          <w:marBottom w:val="0"/>
          <w:divBdr>
            <w:top w:val="none" w:sz="0" w:space="0" w:color="auto"/>
            <w:left w:val="none" w:sz="0" w:space="0" w:color="auto"/>
            <w:bottom w:val="none" w:sz="0" w:space="0" w:color="auto"/>
            <w:right w:val="none" w:sz="0" w:space="0" w:color="auto"/>
          </w:divBdr>
        </w:div>
        <w:div w:id="803229165">
          <w:marLeft w:val="0"/>
          <w:marRight w:val="0"/>
          <w:marTop w:val="0"/>
          <w:marBottom w:val="0"/>
          <w:divBdr>
            <w:top w:val="none" w:sz="0" w:space="0" w:color="auto"/>
            <w:left w:val="none" w:sz="0" w:space="0" w:color="auto"/>
            <w:bottom w:val="none" w:sz="0" w:space="0" w:color="auto"/>
            <w:right w:val="none" w:sz="0" w:space="0" w:color="auto"/>
          </w:divBdr>
        </w:div>
        <w:div w:id="737215933">
          <w:marLeft w:val="0"/>
          <w:marRight w:val="0"/>
          <w:marTop w:val="0"/>
          <w:marBottom w:val="0"/>
          <w:divBdr>
            <w:top w:val="none" w:sz="0" w:space="0" w:color="auto"/>
            <w:left w:val="none" w:sz="0" w:space="0" w:color="auto"/>
            <w:bottom w:val="none" w:sz="0" w:space="0" w:color="auto"/>
            <w:right w:val="none" w:sz="0" w:space="0" w:color="auto"/>
          </w:divBdr>
        </w:div>
        <w:div w:id="807208363">
          <w:marLeft w:val="0"/>
          <w:marRight w:val="0"/>
          <w:marTop w:val="0"/>
          <w:marBottom w:val="0"/>
          <w:divBdr>
            <w:top w:val="none" w:sz="0" w:space="0" w:color="auto"/>
            <w:left w:val="none" w:sz="0" w:space="0" w:color="auto"/>
            <w:bottom w:val="none" w:sz="0" w:space="0" w:color="auto"/>
            <w:right w:val="none" w:sz="0" w:space="0" w:color="auto"/>
          </w:divBdr>
          <w:divsChild>
            <w:div w:id="678122155">
              <w:marLeft w:val="0"/>
              <w:marRight w:val="0"/>
              <w:marTop w:val="0"/>
              <w:marBottom w:val="0"/>
              <w:divBdr>
                <w:top w:val="none" w:sz="0" w:space="0" w:color="auto"/>
                <w:left w:val="none" w:sz="0" w:space="0" w:color="auto"/>
                <w:bottom w:val="none" w:sz="0" w:space="0" w:color="auto"/>
                <w:right w:val="none" w:sz="0" w:space="0" w:color="auto"/>
              </w:divBdr>
            </w:div>
            <w:div w:id="32802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102/0034654315585005" TargetMode="External"/><Relationship Id="rId21" Type="http://schemas.openxmlformats.org/officeDocument/2006/relationships/chart" Target="charts/chart12.xml"/><Relationship Id="rId42" Type="http://schemas.openxmlformats.org/officeDocument/2006/relationships/hyperlink" Target="https://www.exerciseismedicine.eu/hamburg-declaration/global-alliance-for-promotion-of-physical-activity.html" TargetMode="External"/><Relationship Id="rId63" Type="http://schemas.openxmlformats.org/officeDocument/2006/relationships/image" Target="media/image20.png"/><Relationship Id="rId84" Type="http://schemas.openxmlformats.org/officeDocument/2006/relationships/image" Target="media/image25.png"/><Relationship Id="rId138" Type="http://schemas.openxmlformats.org/officeDocument/2006/relationships/hyperlink" Target="https://www.farmaceuticos.com/wp-content/uploads/2023/01/Informe-Contribucion-farmacia-reto-demografico.pdf" TargetMode="External"/><Relationship Id="rId159" Type="http://schemas.openxmlformats.org/officeDocument/2006/relationships/hyperlink" Target="https://doi.org/10.1186/s12966-020-01051-" TargetMode="External"/><Relationship Id="rId170" Type="http://schemas.openxmlformats.org/officeDocument/2006/relationships/hyperlink" Target="https://cadime.es/images/documentos_archivos_web/Cajon_archivos/Osteoporosis_Fisioterapia_Final.pdf" TargetMode="External"/><Relationship Id="rId191" Type="http://schemas.openxmlformats.org/officeDocument/2006/relationships/hyperlink" Target="https://360.pontevedra.gal/publicacions/Mejor-a-pie/files/assets/basic-html/index.html" TargetMode="External"/><Relationship Id="rId205" Type="http://schemas.openxmlformats.org/officeDocument/2006/relationships/hyperlink" Target="https://www.soria2030.es/" TargetMode="External"/><Relationship Id="rId107" Type="http://schemas.openxmlformats.org/officeDocument/2006/relationships/hyperlink" Target="https://twitter.com/Anne_Hidalgo/status/1219580627172888577" TargetMode="External"/><Relationship Id="rId11" Type="http://schemas.openxmlformats.org/officeDocument/2006/relationships/chart" Target="charts/chart2.xml"/><Relationship Id="rId32" Type="http://schemas.openxmlformats.org/officeDocument/2006/relationships/image" Target="media/image4.png"/><Relationship Id="rId53" Type="http://schemas.openxmlformats.org/officeDocument/2006/relationships/image" Target="media/image16.png"/><Relationship Id="rId74" Type="http://schemas.openxmlformats.org/officeDocument/2006/relationships/hyperlink" Target="https://www.deportenavarra.es/es/centro-de-estudios-investigacion-y-medicina-del-deporte" TargetMode="External"/><Relationship Id="rId128" Type="http://schemas.openxmlformats.org/officeDocument/2006/relationships/hyperlink" Target="https://doi.org/10.1146/annurev-psych-010416-044007" TargetMode="External"/><Relationship Id="rId149" Type="http://schemas.openxmlformats.org/officeDocument/2006/relationships/hyperlink" Target="https://doi.org/10.1016/j.pcad.2014.09.002" TargetMode="External"/><Relationship Id="rId5" Type="http://schemas.openxmlformats.org/officeDocument/2006/relationships/webSettings" Target="webSettings.xml"/><Relationship Id="rId95" Type="http://schemas.openxmlformats.org/officeDocument/2006/relationships/image" Target="media/image30.emf"/><Relationship Id="rId160" Type="http://schemas.openxmlformats.org/officeDocument/2006/relationships/hyperlink" Target="https://doi.org/10.1037/0278-6133.25.1.91" TargetMode="External"/><Relationship Id="rId181" Type="http://schemas.openxmlformats.org/officeDocument/2006/relationships/hyperlink" Target="https://doi.org/10.1038/s41467-022-32502-x" TargetMode="External"/><Relationship Id="rId22" Type="http://schemas.openxmlformats.org/officeDocument/2006/relationships/chart" Target="charts/chart13.xml"/><Relationship Id="rId43" Type="http://schemas.openxmlformats.org/officeDocument/2006/relationships/hyperlink" Target="https://redexernet.com/" TargetMode="External"/><Relationship Id="rId64" Type="http://schemas.openxmlformats.org/officeDocument/2006/relationships/image" Target="media/image21.png"/><Relationship Id="rId118" Type="http://schemas.openxmlformats.org/officeDocument/2006/relationships/hyperlink" Target="https://doi.org/10.3102/0034654315585005" TargetMode="External"/><Relationship Id="rId139" Type="http://schemas.openxmlformats.org/officeDocument/2006/relationships/hyperlink" Target="https://estadisticas.mecd.gob.es/DeporteDynPx/deportebase/index.htm?type=pcaxis&amp;path=/d11/f11/a2012/&amp;file=pcaxis%5D" TargetMode="External"/><Relationship Id="rId85" Type="http://schemas.openxmlformats.org/officeDocument/2006/relationships/hyperlink" Target="https://senpe.com/documentacion/abordaje-multidisciplinar-de-la-terapia-nutricional-e-intervencion-con-prescripcion-de-ejercicio-fisico/" TargetMode="External"/><Relationship Id="rId150" Type="http://schemas.openxmlformats.org/officeDocument/2006/relationships/hyperlink" Target="https://www.gov.uk/government/case-studies/active-hospitals" TargetMode="External"/><Relationship Id="rId171" Type="http://schemas.openxmlformats.org/officeDocument/2006/relationships/hyperlink" Target="https://dialnet.unirioja.es/servlet/articulo?codigo=9021909" TargetMode="External"/><Relationship Id="rId192" Type="http://schemas.openxmlformats.org/officeDocument/2006/relationships/hyperlink" Target="http://www.dicarano.com" TargetMode="External"/><Relationship Id="rId206" Type="http://schemas.openxmlformats.org/officeDocument/2006/relationships/hyperlink" Target="https://labicienelcole.com/recursos/" TargetMode="External"/><Relationship Id="rId12" Type="http://schemas.openxmlformats.org/officeDocument/2006/relationships/chart" Target="charts/chart3.xml"/><Relationship Id="rId33" Type="http://schemas.openxmlformats.org/officeDocument/2006/relationships/image" Target="media/image5.png"/><Relationship Id="rId108" Type="http://schemas.openxmlformats.org/officeDocument/2006/relationships/hyperlink" Target="https://www.munideporte.com/imagenes/documentacion/ficheros/015AB43E.pdf" TargetMode="External"/><Relationship Id="rId129" Type="http://schemas.openxmlformats.org/officeDocument/2006/relationships/hyperlink" Target="https://doi.org/10.1136/BMJ.N2061" TargetMode="External"/><Relationship Id="rId54" Type="http://schemas.openxmlformats.org/officeDocument/2006/relationships/hyperlink" Target="https://www.exerciseismedicine.org/eim-in-action/health-care/resources/rx-for-health-series/" TargetMode="External"/><Relationship Id="rId75" Type="http://schemas.openxmlformats.org/officeDocument/2006/relationships/hyperlink" Target="https://deporteasturiano.org/mas/medicina-deportiva/" TargetMode="External"/><Relationship Id="rId96" Type="http://schemas.openxmlformats.org/officeDocument/2006/relationships/hyperlink" Target="http://www.boe.es/doue/2010/153/L00013-00035.pdf" TargetMode="External"/><Relationship Id="rId140" Type="http://schemas.openxmlformats.org/officeDocument/2006/relationships/hyperlink" Target="https://doi.org/10.1111/j.1532-7795.2010.00698.x" TargetMode="External"/><Relationship Id="rId161" Type="http://schemas.openxmlformats.org/officeDocument/2006/relationships/hyperlink" Target="https://www.who.int/publications/i/item/9789240010291" TargetMode="External"/><Relationship Id="rId182" Type="http://schemas.openxmlformats.org/officeDocument/2006/relationships/hyperlink" Target="https://doi.org/10.3390/ijerph19020656" TargetMode="External"/><Relationship Id="rId6" Type="http://schemas.openxmlformats.org/officeDocument/2006/relationships/footnotes" Target="footnotes.xml"/><Relationship Id="rId23" Type="http://schemas.openxmlformats.org/officeDocument/2006/relationships/chart" Target="charts/chart14.xml"/><Relationship Id="rId119" Type="http://schemas.openxmlformats.org/officeDocument/2006/relationships/hyperlink" Target="https://www.insst.es/documentacion/catalogo-de-publicaciones/esener-2019-datos-de-espana" TargetMode="External"/><Relationship Id="rId44" Type="http://schemas.openxmlformats.org/officeDocument/2006/relationships/image" Target="media/image12.png"/><Relationship Id="rId65" Type="http://schemas.openxmlformats.org/officeDocument/2006/relationships/image" Target="media/image22.png"/><Relationship Id="rId86" Type="http://schemas.openxmlformats.org/officeDocument/2006/relationships/hyperlink" Target="https://www.medicapanamericana.com/mx/formacion/curso-superior-de-prescripcion-del-ejercicio-fisico-salud-y-calidad-de-vida?gclid=Cj0KCQjw756lBhDMARIsAEI0Agnbd1edEwNfy6IadOK9joIpnzTDrsvwu0AHsvb0zzaCkHOU46PTw5YaAnzbEALw_wcB" TargetMode="External"/><Relationship Id="rId130" Type="http://schemas.openxmlformats.org/officeDocument/2006/relationships/hyperlink" Target="https://doi.org/10.2196/43311" TargetMode="External"/><Relationship Id="rId151" Type="http://schemas.openxmlformats.org/officeDocument/2006/relationships/hyperlink" Target="https://www.gov.uk/government/case-studies/active-hospitals" TargetMode="External"/><Relationship Id="rId172" Type="http://schemas.openxmlformats.org/officeDocument/2006/relationships/hyperlink" Target="https://sielbleu.es/activamilo/" TargetMode="External"/><Relationship Id="rId193" Type="http://schemas.openxmlformats.org/officeDocument/2006/relationships/hyperlink" Target="https://www.aia.cat/es/projectes-arquitectura/equipament-esportiu-camp-del-ferro/" TargetMode="External"/><Relationship Id="rId207" Type="http://schemas.openxmlformats.org/officeDocument/2006/relationships/hyperlink" Target="https://diario.madrid.es/blog/notas-de-prensa/el-ayuntamiento-aprueba-el-estudio-detalle-para-dar-forma-a-la-parcela-deportiva-del-club-banesto/" TargetMode="External"/><Relationship Id="rId13" Type="http://schemas.openxmlformats.org/officeDocument/2006/relationships/chart" Target="charts/chart4.xml"/><Relationship Id="rId109" Type="http://schemas.openxmlformats.org/officeDocument/2006/relationships/hyperlink" Target="https://doi.org/10.1016/s0140-6736(12)60735-1" TargetMode="External"/><Relationship Id="rId34" Type="http://schemas.openxmlformats.org/officeDocument/2006/relationships/image" Target="media/image6.png"/><Relationship Id="rId55" Type="http://schemas.openxmlformats.org/officeDocument/2006/relationships/hyperlink" Target="https://exerciseismedicine.org/support_page.php/rx-for-health-series---contributors/" TargetMode="External"/><Relationship Id="rId76" Type="http://schemas.openxmlformats.org/officeDocument/2006/relationships/hyperlink" Target="https://www.diputoledo.es/noticias_ampliada/1179" TargetMode="External"/><Relationship Id="rId97" Type="http://schemas.openxmlformats.org/officeDocument/2006/relationships/hyperlink" Target="https://inarquia.es/eficiencia-energetica/" TargetMode="External"/><Relationship Id="rId120" Type="http://schemas.openxmlformats.org/officeDocument/2006/relationships/hyperlink" Target="https://doi.org/10.1186/1479-5868-7-40" TargetMode="External"/><Relationship Id="rId141" Type="http://schemas.openxmlformats.org/officeDocument/2006/relationships/hyperlink" Target="https://doi.org/10.1146/annurev.publhealth.012809.103604" TargetMode="External"/><Relationship Id="rId7" Type="http://schemas.openxmlformats.org/officeDocument/2006/relationships/endnotes" Target="endnotes.xml"/><Relationship Id="rId162" Type="http://schemas.openxmlformats.org/officeDocument/2006/relationships/hyperlink" Target="https://apps.who.int/iris/handle/10665/350449" TargetMode="External"/><Relationship Id="rId183" Type="http://schemas.openxmlformats.org/officeDocument/2006/relationships/hyperlink" Target="https://doi.org/10.1186/s12877-017-0453-0" TargetMode="External"/><Relationship Id="rId24" Type="http://schemas.openxmlformats.org/officeDocument/2006/relationships/chart" Target="charts/chart15.xml"/><Relationship Id="rId45" Type="http://schemas.openxmlformats.org/officeDocument/2006/relationships/hyperlink" Target="https://sport.ec.europa.eu/initiatives/healthylifestyle4all" TargetMode="External"/><Relationship Id="rId66" Type="http://schemas.openxmlformats.org/officeDocument/2006/relationships/hyperlink" Target="https://portalhoy.es/el-deporte-en-espana-estadisticas-del-sector/" TargetMode="External"/><Relationship Id="rId87" Type="http://schemas.openxmlformats.org/officeDocument/2006/relationships/hyperlink" Target="http://femede.es/registro_prescripcion_ef_pacientes_cronicos.php" TargetMode="External"/><Relationship Id="rId110" Type="http://schemas.openxmlformats.org/officeDocument/2006/relationships/hyperlink" Target="https://www.ncbi.nlm.nih.gov/pmc/articles/PMC6419815/" TargetMode="External"/><Relationship Id="rId131" Type="http://schemas.openxmlformats.org/officeDocument/2006/relationships/hyperlink" Target="https://doi.org/10.1007/s10648-010-9142-7" TargetMode="External"/><Relationship Id="rId152" Type="http://schemas.openxmlformats.org/officeDocument/2006/relationships/hyperlink" Target="https://doi.org/10.1037/0022-0663.98.1.209" TargetMode="External"/><Relationship Id="rId173" Type="http://schemas.openxmlformats.org/officeDocument/2006/relationships/hyperlink" Target="https://salutpublica.gencat.cat/web/.content/minisite/aspcat/promocio_salut/activitat_fisica/publicacions/PEFS2022.pdf" TargetMode="External"/><Relationship Id="rId194" Type="http://schemas.openxmlformats.org/officeDocument/2006/relationships/hyperlink" Target="https://www.meet.barcelona/en/visit-and-love-it/points-interest-city/el-22-99400387418" TargetMode="External"/><Relationship Id="rId208" Type="http://schemas.openxmlformats.org/officeDocument/2006/relationships/hyperlink" Target="https://www.comisionadopobrezainfantil.gob.es/es/el-ministerio-de-sanidad-y-el-alto-comisionado-ponen-en-marcha-un-programa-de-promoci%C3%B3n-de-estilos" TargetMode="External"/><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image" Target="media/image7.png"/><Relationship Id="rId56" Type="http://schemas.openxmlformats.org/officeDocument/2006/relationships/hyperlink" Target="https://elglobal.es/farmacia/el-72-de-espanoles-visita-al-menos-una-vez-al-mes-las-farmacias/" TargetMode="External"/><Relationship Id="rId77" Type="http://schemas.openxmlformats.org/officeDocument/2006/relationships/hyperlink" Target="https://servilab.uma.es/fisiologia_esfuerzo.asp" TargetMode="External"/><Relationship Id="rId100" Type="http://schemas.openxmlformats.org/officeDocument/2006/relationships/hyperlink" Target="https://www.bbva.com/es/sostenibilidad/que-es-el-medioambiente-y-por-que-es-clave-para-la-vida/" TargetMode="External"/><Relationship Id="rId105" Type="http://schemas.openxmlformats.org/officeDocument/2006/relationships/hyperlink" Target="http://www.efdeportes.com/efd19/profef.htm" TargetMode="External"/><Relationship Id="rId126" Type="http://schemas.openxmlformats.org/officeDocument/2006/relationships/hyperlink" Target="https://doi.org/10.1037/0022-0663.98.1.209" TargetMode="External"/><Relationship Id="rId147" Type="http://schemas.openxmlformats.org/officeDocument/2006/relationships/hyperlink" Target="https://doi.org/10.1186/s13643-023-02258-6" TargetMode="External"/><Relationship Id="rId168" Type="http://schemas.openxmlformats.org/officeDocument/2006/relationships/hyperlink" Target="https://cadime.es/images/documentos_archivos_web/Cajon_archivos/FIBROMIALGIA_Final.pdf" TargetMode="External"/><Relationship Id="rId8" Type="http://schemas.openxmlformats.org/officeDocument/2006/relationships/image" Target="media/image1.emf"/><Relationship Id="rId51" Type="http://schemas.openxmlformats.org/officeDocument/2006/relationships/image" Target="media/image14.png"/><Relationship Id="rId72" Type="http://schemas.openxmlformats.org/officeDocument/2006/relationships/hyperlink" Target="https://medicinaesportiva.cat/es/" TargetMode="External"/><Relationship Id="rId93" Type="http://schemas.openxmlformats.org/officeDocument/2006/relationships/image" Target="media/image28.png"/><Relationship Id="rId98" Type="http://schemas.openxmlformats.org/officeDocument/2006/relationships/image" Target="media/image31.png"/><Relationship Id="rId121" Type="http://schemas.openxmlformats.org/officeDocument/2006/relationships/hyperlink" Target="https://doi.org/10.1186/s13643-023-02258-6" TargetMode="External"/><Relationship Id="rId142" Type="http://schemas.openxmlformats.org/officeDocument/2006/relationships/hyperlink" Target="https://doi.org/10.1037/0022-0663.95.4.784" TargetMode="External"/><Relationship Id="rId163" Type="http://schemas.openxmlformats.org/officeDocument/2006/relationships/hyperlink" Target="https://ejercicioycancer.es" TargetMode="External"/><Relationship Id="rId184" Type="http://schemas.openxmlformats.org/officeDocument/2006/relationships/hyperlink" Target="https://www.vitoria-gasteiz.org/wb021/was/contenidoAction.do?idioma=es&amp;uid=1040577b_11ad7b633e2__7fc9" TargetMode="External"/><Relationship Id="rId189" Type="http://schemas.openxmlformats.org/officeDocument/2006/relationships/hyperlink" Target="https://www.valencia.es/es/-/capital-verda-europea" TargetMode="External"/><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chart" Target="charts/chart16.xml"/><Relationship Id="rId46" Type="http://schemas.openxmlformats.org/officeDocument/2006/relationships/hyperlink" Target="http://donantesdeganas.com/" TargetMode="External"/><Relationship Id="rId67" Type="http://schemas.openxmlformats.org/officeDocument/2006/relationships/hyperlink" Target="https://deportedecantabria.com/medicina-deportiva" TargetMode="External"/><Relationship Id="rId116" Type="http://schemas.openxmlformats.org/officeDocument/2006/relationships/hyperlink" Target="https://doi.org/10.1037/0022-0663.95.4.784" TargetMode="External"/><Relationship Id="rId137" Type="http://schemas.openxmlformats.org/officeDocument/2006/relationships/hyperlink" Target="https://doi.org/10.1016/j.psychsport.2013.02.002" TargetMode="External"/><Relationship Id="rId158" Type="http://schemas.openxmlformats.org/officeDocument/2006/relationships/hyperlink" Target="https://en.unesco.org/mineps6/kazan-action-plan" TargetMode="External"/><Relationship Id="rId20" Type="http://schemas.openxmlformats.org/officeDocument/2006/relationships/chart" Target="charts/chart11.xml"/><Relationship Id="rId41" Type="http://schemas.openxmlformats.org/officeDocument/2006/relationships/hyperlink" Target="https://www.qualitydigest.com/inside/healthcare-column/bottom-healthcare-reform-052815.html" TargetMode="External"/><Relationship Id="rId62" Type="http://schemas.openxmlformats.org/officeDocument/2006/relationships/image" Target="media/image19.png"/><Relationship Id="rId83" Type="http://schemas.openxmlformats.org/officeDocument/2006/relationships/hyperlink" Target="https://www.caib.es/eboibfront/eli/es-ib/d/2023/05/08/26/dof/spa/html" TargetMode="External"/><Relationship Id="rId88" Type="http://schemas.openxmlformats.org/officeDocument/2006/relationships/hyperlink" Target="https://sigade.isciii.es/publico/actual/VerCurso.asp?ID=4&amp;CodProp=4407&amp;CodEd=4506" TargetMode="External"/><Relationship Id="rId111" Type="http://schemas.openxmlformats.org/officeDocument/2006/relationships/hyperlink" Target="https://doi.org/10.1016/j.psychsport.2013.02.002" TargetMode="External"/><Relationship Id="rId132" Type="http://schemas.openxmlformats.org/officeDocument/2006/relationships/hyperlink" Target="https://en.unesco.org/mineps6/kazan-action-plan" TargetMode="External"/><Relationship Id="rId153" Type="http://schemas.openxmlformats.org/officeDocument/2006/relationships/hyperlink" Target="https://doi.org/10.1037110003-066X.55.1.68" TargetMode="External"/><Relationship Id="rId174" Type="http://schemas.openxmlformats.org/officeDocument/2006/relationships/hyperlink" Target="https://mugiment.euskadi.eus/inicio/" TargetMode="External"/><Relationship Id="rId179" Type="http://schemas.openxmlformats.org/officeDocument/2006/relationships/hyperlink" Target="https://laadministracionaldia.inap.es/noticia.asp?id=1233496" TargetMode="External"/><Relationship Id="rId195" Type="http://schemas.openxmlformats.org/officeDocument/2006/relationships/hyperlink" Target="https://ezquiagaarquitectura.com/2012/proyecto-madrid-centro/" TargetMode="External"/><Relationship Id="rId209" Type="http://schemas.openxmlformats.org/officeDocument/2006/relationships/header" Target="header1.xml"/><Relationship Id="rId190" Type="http://schemas.openxmlformats.org/officeDocument/2006/relationships/hyperlink" Target="https://viajes.nationalgeographic.com.es/lifestyle/por-que-valencia-sera-capital-verde-europea-2024_18718" TargetMode="External"/><Relationship Id="rId204" Type="http://schemas.openxmlformats.org/officeDocument/2006/relationships/hyperlink" Target="https://movilidad.malaga.eu/" TargetMode="External"/><Relationship Id="rId15" Type="http://schemas.openxmlformats.org/officeDocument/2006/relationships/chart" Target="charts/chart6.xml"/><Relationship Id="rId36" Type="http://schemas.openxmlformats.org/officeDocument/2006/relationships/image" Target="media/image8.png"/><Relationship Id="rId57" Type="http://schemas.openxmlformats.org/officeDocument/2006/relationships/hyperlink" Target="https://www.sefac.org/" TargetMode="External"/><Relationship Id="rId106" Type="http://schemas.openxmlformats.org/officeDocument/2006/relationships/hyperlink" Target="https://www.buenosaires.gob.ar/planeamiento/publicaciones/indicadores" TargetMode="External"/><Relationship Id="rId127" Type="http://schemas.openxmlformats.org/officeDocument/2006/relationships/hyperlink" Target="https://doi.org/10.1037110003-066X.55.1.68" TargetMode="External"/><Relationship Id="rId10" Type="http://schemas.openxmlformats.org/officeDocument/2006/relationships/chart" Target="charts/chart1.xml"/><Relationship Id="rId31" Type="http://schemas.openxmlformats.org/officeDocument/2006/relationships/image" Target="media/image3.jpeg"/><Relationship Id="rId52" Type="http://schemas.openxmlformats.org/officeDocument/2006/relationships/image" Target="media/image15.png"/><Relationship Id="rId73" Type="http://schemas.openxmlformats.org/officeDocument/2006/relationships/hyperlink" Target="https://www.imq.es/corporativo/es_ES/particular/centros-clinicas/Unidad-de-Medicina-Deportiva-IMQ-Zorrotzaurre" TargetMode="External"/><Relationship Id="rId78" Type="http://schemas.openxmlformats.org/officeDocument/2006/relationships/hyperlink" Target="https://ia2.unizar.es/laboratorio/laboratorio-de-valoracion-funcional-y-composicion-corporal" TargetMode="External"/><Relationship Id="rId94" Type="http://schemas.openxmlformats.org/officeDocument/2006/relationships/image" Target="media/image29.jpeg"/><Relationship Id="rId99" Type="http://schemas.openxmlformats.org/officeDocument/2006/relationships/hyperlink" Target="https://www.who.int/news/item/15-03-2016-an-estimated-12-6-million-deaths-each-year-are-attributable-to-unhealthy-environments" TargetMode="External"/><Relationship Id="rId101" Type="http://schemas.openxmlformats.org/officeDocument/2006/relationships/image" Target="media/image32.png"/><Relationship Id="rId122" Type="http://schemas.openxmlformats.org/officeDocument/2006/relationships/hyperlink" Target="https://doi.org/10.1177/1745691612447309" TargetMode="External"/><Relationship Id="rId143" Type="http://schemas.openxmlformats.org/officeDocument/2006/relationships/hyperlink" Target="https://doi.org/10.3102/0034654315585005" TargetMode="External"/><Relationship Id="rId148" Type="http://schemas.openxmlformats.org/officeDocument/2006/relationships/hyperlink" Target="https://doi.org/10.1177/1745691612447309" TargetMode="External"/><Relationship Id="rId164" Type="http://schemas.openxmlformats.org/officeDocument/2006/relationships/hyperlink" Target="https://vivifrail.com/es/inicio/" TargetMode="External"/><Relationship Id="rId169" Type="http://schemas.openxmlformats.org/officeDocument/2006/relationships/hyperlink" Target="https://cadime.es/images/documentos_archivos_web/Cajon_archivos/Artrosis_Fisoterapia_JM_Nieblas.pdf" TargetMode="External"/><Relationship Id="rId185" Type="http://schemas.openxmlformats.org/officeDocument/2006/relationships/hyperlink" Target="https://www.mueveteenbicipormadrid.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47197/retos.v0i39.77880" TargetMode="External"/><Relationship Id="rId210" Type="http://schemas.openxmlformats.org/officeDocument/2006/relationships/footer" Target="footer1.xml"/><Relationship Id="rId26" Type="http://schemas.openxmlformats.org/officeDocument/2006/relationships/chart" Target="charts/chart17.xml"/><Relationship Id="rId47" Type="http://schemas.openxmlformats.org/officeDocument/2006/relationships/hyperlink" Target="https://www.youtube.com/watch?v=lcZPoY1u5-s" TargetMode="External"/><Relationship Id="rId68" Type="http://schemas.openxmlformats.org/officeDocument/2006/relationships/hyperlink" Target="https://www.comunidad.madrid/servicios/deportes/medicina-deportiva" TargetMode="External"/><Relationship Id="rId89" Type="http://schemas.openxmlformats.org/officeDocument/2006/relationships/hyperlink" Target="https://exerciseismedicine.it/cosa/" TargetMode="External"/><Relationship Id="rId112" Type="http://schemas.openxmlformats.org/officeDocument/2006/relationships/hyperlink" Target="https://www.farmaceuticos.com/wp-content/uploads/2023/01/Informe-Contribucion-farmacia-reto-demografico.pdf" TargetMode="External"/><Relationship Id="rId133" Type="http://schemas.openxmlformats.org/officeDocument/2006/relationships/hyperlink" Target="https://doi.org/10.1186/s12966-020-01051-" TargetMode="External"/><Relationship Id="rId154" Type="http://schemas.openxmlformats.org/officeDocument/2006/relationships/hyperlink" Target="https://doi.org/10.1146/annurev-psych-010416-044007" TargetMode="External"/><Relationship Id="rId175" Type="http://schemas.openxmlformats.org/officeDocument/2006/relationships/hyperlink" Target="https://www.google.com/url?sa=i&amp;rct=j&amp;q=&amp;esrc=s&amp;source=web&amp;cd=&amp;ved=0CAIQw7AJahcKEwiQyrrNjZ2AAxUAAAAAHQAAAAAQAg&amp;url=https%3A%2F%2Fhacienda.navarra.es%2Fsicpportal%2FmtoGeneraDocumento.aspx%3FDOA%3D2001130855315BDE8F64%26DOL%3D7&amp;psig=AOvVaw2qcHIraYyZuI8F32GHWPlA&amp;ust=1689936306222234&amp;opi=89978449" TargetMode="External"/><Relationship Id="rId196" Type="http://schemas.openxmlformats.org/officeDocument/2006/relationships/hyperlink" Target="https://www.vitoria-gasteiz.org" TargetMode="External"/><Relationship Id="rId200" Type="http://schemas.openxmlformats.org/officeDocument/2006/relationships/hyperlink" Target="https://logronocallesabiertas.es/" TargetMode="External"/><Relationship Id="rId16" Type="http://schemas.openxmlformats.org/officeDocument/2006/relationships/chart" Target="charts/chart7.xml"/><Relationship Id="rId37" Type="http://schemas.openxmlformats.org/officeDocument/2006/relationships/image" Target="media/image9.png"/><Relationship Id="rId58" Type="http://schemas.openxmlformats.org/officeDocument/2006/relationships/image" Target="media/image17.png"/><Relationship Id="rId79" Type="http://schemas.openxmlformats.org/officeDocument/2006/relationships/hyperlink" Target="https://medepor.uniovi.es/escuela/instalaciones" TargetMode="External"/><Relationship Id="rId102" Type="http://schemas.openxmlformats.org/officeDocument/2006/relationships/image" Target="media/image33.png"/><Relationship Id="rId123" Type="http://schemas.openxmlformats.org/officeDocument/2006/relationships/hyperlink" Target="https://doi.org/10.1016/j.pcad.2014.09.002" TargetMode="External"/><Relationship Id="rId144" Type="http://schemas.openxmlformats.org/officeDocument/2006/relationships/hyperlink" Target="https://doi.org/10.3102/0034654315585005" TargetMode="External"/><Relationship Id="rId90" Type="http://schemas.openxmlformats.org/officeDocument/2006/relationships/hyperlink" Target="https://members.acsm.org/ItemDetail?iProductCode=EIM0522F&amp;Category=EIM&amp;WebsiteKey=e6756b65-2c71-47cb-b31b-cb7858e166e3" TargetMode="External"/><Relationship Id="rId165" Type="http://schemas.openxmlformats.org/officeDocument/2006/relationships/hyperlink" Target="https://www.seen.es/portal/informacion-sobre-enfermedades/diabetes/guia-record-diabetes-mellitus-2021" TargetMode="External"/><Relationship Id="rId186" Type="http://schemas.openxmlformats.org/officeDocument/2006/relationships/hyperlink" Target="http://www.mueveteenbicipormadrid.com/p/acerca-de.html" TargetMode="External"/><Relationship Id="rId211" Type="http://schemas.openxmlformats.org/officeDocument/2006/relationships/footer" Target="footer2.xml"/><Relationship Id="rId27" Type="http://schemas.openxmlformats.org/officeDocument/2006/relationships/chart" Target="charts/chart18.xml"/><Relationship Id="rId48" Type="http://schemas.openxmlformats.org/officeDocument/2006/relationships/hyperlink" Target="https://www.youtube.com/watch?v=S9aJZOtPKc0" TargetMode="External"/><Relationship Id="rId69" Type="http://schemas.openxmlformats.org/officeDocument/2006/relationships/hyperlink" Target="https://www.saludcastillayleon.es/MedicinaDeportiva/es" TargetMode="External"/><Relationship Id="rId113" Type="http://schemas.openxmlformats.org/officeDocument/2006/relationships/hyperlink" Target="https://estadisticas.mecd.gob.es/DeporteDynPx/deportebase/index.htm?type=pcaxis&amp;path=/d11/f11/a2012/&amp;file=pcaxis%5D" TargetMode="External"/><Relationship Id="rId134" Type="http://schemas.openxmlformats.org/officeDocument/2006/relationships/hyperlink" Target="https://doi.org/10.1037/0278-6133.25.1.91" TargetMode="External"/><Relationship Id="rId80" Type="http://schemas.openxmlformats.org/officeDocument/2006/relationships/image" Target="media/image23.png"/><Relationship Id="rId155" Type="http://schemas.openxmlformats.org/officeDocument/2006/relationships/hyperlink" Target="https://doi.org/10.1136/BMJ.N2061" TargetMode="External"/><Relationship Id="rId176" Type="http://schemas.openxmlformats.org/officeDocument/2006/relationships/hyperlink" Target="https://recyt.fecyt.es/index.php/retos/article/view/77880" TargetMode="External"/><Relationship Id="rId197" Type="http://schemas.openxmlformats.org/officeDocument/2006/relationships/hyperlink" Target="http://www.zaragoza.es/ciudad/medioambiente/natural/" TargetMode="External"/><Relationship Id="rId201" Type="http://schemas.openxmlformats.org/officeDocument/2006/relationships/hyperlink" Target="https://ajuntament.barcelona.cat/superilles/ca/" TargetMode="External"/><Relationship Id="rId17" Type="http://schemas.openxmlformats.org/officeDocument/2006/relationships/chart" Target="charts/chart8.xml"/><Relationship Id="rId38" Type="http://schemas.openxmlformats.org/officeDocument/2006/relationships/image" Target="media/image10.png"/><Relationship Id="rId59" Type="http://schemas.openxmlformats.org/officeDocument/2006/relationships/hyperlink" Target="https://www.sanidad.gob.es/estadEstudios/sanidadDatos/tablas/tabla16.htm" TargetMode="External"/><Relationship Id="rId103" Type="http://schemas.openxmlformats.org/officeDocument/2006/relationships/image" Target="media/image34.png"/><Relationship Id="rId124" Type="http://schemas.openxmlformats.org/officeDocument/2006/relationships/hyperlink" Target="https://www.gov.uk/government/case-studies/active-hospitals" TargetMode="External"/><Relationship Id="rId70" Type="http://schemas.openxmlformats.org/officeDocument/2006/relationships/hyperlink" Target="https://www.juntadeandalucia.es/organismos/turismoculturaydeporte/areas/deporte/medicina-deportiva/medicina-deporte.html" TargetMode="External"/><Relationship Id="rId91" Type="http://schemas.openxmlformats.org/officeDocument/2006/relationships/image" Target="media/image26.png"/><Relationship Id="rId145" Type="http://schemas.openxmlformats.org/officeDocument/2006/relationships/hyperlink" Target="https://www.insst.es/documentacion/catalogo-de-publicaciones/esener-2019-datos-de-espana" TargetMode="External"/><Relationship Id="rId166" Type="http://schemas.openxmlformats.org/officeDocument/2006/relationships/hyperlink" Target="https://urldefense.com/v3/__https://www.sediabetes.org/pacientes/materiales/comenzando-a-vivir-con-diabetes-tipo-2/__;!!D9dNQwwGXtA!TuZe7dxlV3MBkTv4Ls8viDCCFhf4vyiXVm_zKn0BNyRKMB-ga9JzJ07bePPEF2zq7x1bXkZzWXr5zClMB6vyliTOAg$" TargetMode="External"/><Relationship Id="rId187" Type="http://schemas.openxmlformats.org/officeDocument/2006/relationships/hyperlink" Target="https://www.ciudadesporlabicicleta.org/actualidad/publicaciones-propias/" TargetMode="External"/><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chart" Target="charts/chart19.xml"/><Relationship Id="rId49" Type="http://schemas.openxmlformats.org/officeDocument/2006/relationships/hyperlink" Target="https://www.lofitleefstijlloket.nl/" TargetMode="External"/><Relationship Id="rId114" Type="http://schemas.openxmlformats.org/officeDocument/2006/relationships/hyperlink" Target="https://doi.org/10.1111/j.1532-7795.2010.00698.x" TargetMode="External"/><Relationship Id="rId60" Type="http://schemas.openxmlformats.org/officeDocument/2006/relationships/hyperlink" Target="https://www.sanidad.gob.es/estadEstudios/sanidadDatos/tablas/tabla14.htm" TargetMode="External"/><Relationship Id="rId81" Type="http://schemas.openxmlformats.org/officeDocument/2006/relationships/image" Target="media/image24.png"/><Relationship Id="rId135" Type="http://schemas.openxmlformats.org/officeDocument/2006/relationships/hyperlink" Target="https://www.who.int/publications/i/item/9789240010291" TargetMode="External"/><Relationship Id="rId156" Type="http://schemas.openxmlformats.org/officeDocument/2006/relationships/hyperlink" Target="https://doi.org/10.2196/43311" TargetMode="External"/><Relationship Id="rId177" Type="http://schemas.openxmlformats.org/officeDocument/2006/relationships/hyperlink" Target="https://elejerciciotecuida.com/index.php" TargetMode="External"/><Relationship Id="rId198" Type="http://schemas.openxmlformats.org/officeDocument/2006/relationships/hyperlink" Target="https://bosquemetropolitano.madrid.es/" TargetMode="External"/><Relationship Id="rId202" Type="http://schemas.openxmlformats.org/officeDocument/2006/relationships/hyperlink" Target="https://almeriacamina.es/" TargetMode="External"/><Relationship Id="rId18" Type="http://schemas.openxmlformats.org/officeDocument/2006/relationships/chart" Target="charts/chart9.xml"/><Relationship Id="rId39" Type="http://schemas.openxmlformats.org/officeDocument/2006/relationships/hyperlink" Target="https://www.who.int/teams/health-promotion/enhanced-wellbeing/first-global-conference" TargetMode="External"/><Relationship Id="rId50" Type="http://schemas.openxmlformats.org/officeDocument/2006/relationships/image" Target="media/image13.png"/><Relationship Id="rId104" Type="http://schemas.openxmlformats.org/officeDocument/2006/relationships/hyperlink" Target="https://datos.gob.es/es/sector/salud-bienestar" TargetMode="External"/><Relationship Id="rId125" Type="http://schemas.openxmlformats.org/officeDocument/2006/relationships/hyperlink" Target="https://www.gov.uk/government/case-studies/active-hospitals" TargetMode="External"/><Relationship Id="rId146" Type="http://schemas.openxmlformats.org/officeDocument/2006/relationships/hyperlink" Target="https://doi.org/10.1186/1479-5868-7-40" TargetMode="External"/><Relationship Id="rId167" Type="http://schemas.openxmlformats.org/officeDocument/2006/relationships/hyperlink" Target="https://sielbleu.es/ejercicios-para-pacientes-con-epoc-video-ejercicios/" TargetMode="External"/><Relationship Id="rId188" Type="http://schemas.openxmlformats.org/officeDocument/2006/relationships/hyperlink" Target="http://www.activalab.cat/es/" TargetMode="External"/><Relationship Id="rId71" Type="http://schemas.openxmlformats.org/officeDocument/2006/relationships/hyperlink" Target="https://www.um.es/web/medicinadeportiva/" TargetMode="External"/><Relationship Id="rId92" Type="http://schemas.openxmlformats.org/officeDocument/2006/relationships/image" Target="media/image27.png"/><Relationship Id="rId213"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chart" Target="charts/chart20.xml"/><Relationship Id="rId40" Type="http://schemas.openxmlformats.org/officeDocument/2006/relationships/image" Target="media/image11.png"/><Relationship Id="rId115" Type="http://schemas.openxmlformats.org/officeDocument/2006/relationships/hyperlink" Target="https://doi.org/10.1146/annurev.publhealth.012809.103604" TargetMode="External"/><Relationship Id="rId136" Type="http://schemas.openxmlformats.org/officeDocument/2006/relationships/hyperlink" Target="https://apps.who.int/iris/handle/10665/350449" TargetMode="External"/><Relationship Id="rId157" Type="http://schemas.openxmlformats.org/officeDocument/2006/relationships/hyperlink" Target="https://doi.org/10.1007/s10648-010-9142-7" TargetMode="External"/><Relationship Id="rId178" Type="http://schemas.openxmlformats.org/officeDocument/2006/relationships/hyperlink" Target="https://www.comunidad.madrid/transparencia/informacion-institucional/planes-programas/programa-prescripcion-actividad-fisica-y-ejercicio-fisico" TargetMode="External"/><Relationship Id="rId61" Type="http://schemas.openxmlformats.org/officeDocument/2006/relationships/image" Target="media/image18.png"/><Relationship Id="rId82" Type="http://schemas.openxmlformats.org/officeDocument/2006/relationships/hyperlink" Target="https://www.consejo-colef.es/post/illes-balears-servicio-salud?s=08" TargetMode="External"/><Relationship Id="rId199" Type="http://schemas.openxmlformats.org/officeDocument/2006/relationships/hyperlink" Target="https://www.comunidad.madrid/servicios/urbanismo-medio-ambiente/arco-verde" TargetMode="External"/><Relationship Id="rId203" Type="http://schemas.openxmlformats.org/officeDocument/2006/relationships/hyperlink" Target="https://ok.pontevedra.ga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orrelodones.es/noticias/9067-plan-ciudad-activa-comunidad-en-calidad-de-vida-y-salud" TargetMode="External"/><Relationship Id="rId2" Type="http://schemas.openxmlformats.org/officeDocument/2006/relationships/hyperlink" Target="http://www.rand.org/randeurope/research/projects/asia-s-healthiestworkplace.html" TargetMode="External"/><Relationship Id="rId1" Type="http://schemas.openxmlformats.org/officeDocument/2006/relationships/hyperlink" Target="http://www.rand.org/randeurope/research/projects/britains-healthiest-workplace.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4.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5.xlsx"/></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'[01_02_03_Poblacion_TramosEdad_Sexo_y_1981_2001_2021 (1).xls]2001'!$E$8</c:f>
              <c:strCache>
                <c:ptCount val="1"/>
                <c:pt idx="0">
                  <c:v>% Hombres</c:v>
                </c:pt>
              </c:strCache>
            </c:strRef>
          </c:tx>
          <c:spPr>
            <a:solidFill>
              <a:srgbClr val="4472C4">
                <a:lumMod val="75000"/>
              </a:srgbClr>
            </a:solidFill>
            <a:ln w="25400">
              <a:noFill/>
            </a:ln>
          </c:spPr>
          <c:invertIfNegative val="0"/>
          <c:cat>
            <c:strRef>
              <c:f>'[01_02_03_Poblacion_TramosEdad_Sexo_y_1981_2001_2021 (1).xls]2001'!$A$9:$A$26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(1).xls]2001'!$E$9:$E$26</c:f>
              <c:numCache>
                <c:formatCode>General</c:formatCode>
                <c:ptCount val="18"/>
                <c:pt idx="0">
                  <c:v>-4.9320332773660489</c:v>
                </c:pt>
                <c:pt idx="1">
                  <c:v>-4.8893207884801395</c:v>
                </c:pt>
                <c:pt idx="2">
                  <c:v>-5.4002417043182485</c:v>
                </c:pt>
                <c:pt idx="3">
                  <c:v>-6.3135734273554407</c:v>
                </c:pt>
                <c:pt idx="4">
                  <c:v>-8.1432599262814822</c:v>
                </c:pt>
                <c:pt idx="5">
                  <c:v>-8.9332710800973096</c:v>
                </c:pt>
                <c:pt idx="6">
                  <c:v>-8.5754215709661405</c:v>
                </c:pt>
                <c:pt idx="7">
                  <c:v>-8.2750450434874896</c:v>
                </c:pt>
                <c:pt idx="8">
                  <c:v>-7.5503768023016375</c:v>
                </c:pt>
                <c:pt idx="9">
                  <c:v>-6.494581839836961</c:v>
                </c:pt>
                <c:pt idx="10">
                  <c:v>-6.0102787794381642</c:v>
                </c:pt>
                <c:pt idx="11">
                  <c:v>-5.4055732702566281</c:v>
                </c:pt>
                <c:pt idx="12">
                  <c:v>-4.4336392929314226</c:v>
                </c:pt>
                <c:pt idx="13">
                  <c:v>-4.8696784401167212</c:v>
                </c:pt>
                <c:pt idx="14">
                  <c:v>-4.1229394147229765</c:v>
                </c:pt>
                <c:pt idx="15">
                  <c:v>-2.9924525613052633</c:v>
                </c:pt>
                <c:pt idx="16">
                  <c:v>-1.5960669732625217</c:v>
                </c:pt>
                <c:pt idx="17">
                  <c:v>-1.0622458074754051</c:v>
                </c:pt>
              </c:numCache>
            </c:numRef>
          </c:val>
          <c:extLst>
            <c:ext xmlns:c16="http://schemas.microsoft.com/office/drawing/2014/chart" uri="{C3380CC4-5D6E-409C-BE32-E72D297353CC}">
              <c16:uniqueId val="{00000000-6FCC-0F41-85C1-594F262404F4}"/>
            </c:ext>
          </c:extLst>
        </c:ser>
        <c:ser>
          <c:idx val="1"/>
          <c:order val="1"/>
          <c:tx>
            <c:strRef>
              <c:f>'[01_02_03_Poblacion_TramosEdad_Sexo_y_1981_2001_2021 (1).xls]2001'!$F$8</c:f>
              <c:strCache>
                <c:ptCount val="1"/>
                <c:pt idx="0">
                  <c:v>% Mujeres</c:v>
                </c:pt>
              </c:strCache>
            </c:strRef>
          </c:tx>
          <c:spPr>
            <a:solidFill>
              <a:srgbClr val="4472C4">
                <a:lumMod val="60000"/>
                <a:lumOff val="40000"/>
              </a:srgbClr>
            </a:solidFill>
            <a:ln>
              <a:noFill/>
            </a:ln>
            <a:effectLst/>
          </c:spPr>
          <c:invertIfNegative val="0"/>
          <c:cat>
            <c:strRef>
              <c:f>'[01_02_03_Poblacion_TramosEdad_Sexo_y_1981_2001_2021 (1).xls]2001'!$A$9:$A$26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(1).xls]2001'!$F$9:$F$26</c:f>
              <c:numCache>
                <c:formatCode>General</c:formatCode>
                <c:ptCount val="18"/>
                <c:pt idx="0">
                  <c:v>4.4927571777738349</c:v>
                </c:pt>
                <c:pt idx="1">
                  <c:v>4.4522234262620985</c:v>
                </c:pt>
                <c:pt idx="2">
                  <c:v>4.9088412967555861</c:v>
                </c:pt>
                <c:pt idx="3">
                  <c:v>5.7647298189074858</c:v>
                </c:pt>
                <c:pt idx="4">
                  <c:v>7.4634995847510348</c:v>
                </c:pt>
                <c:pt idx="5">
                  <c:v>8.2192704606290086</c:v>
                </c:pt>
                <c:pt idx="6">
                  <c:v>7.9790293872818285</c:v>
                </c:pt>
                <c:pt idx="7">
                  <c:v>7.8567369710867396</c:v>
                </c:pt>
                <c:pt idx="8">
                  <c:v>7.2819688546236963</c:v>
                </c:pt>
                <c:pt idx="9">
                  <c:v>6.2874352233932882</c:v>
                </c:pt>
                <c:pt idx="10">
                  <c:v>5.9082082598714081</c:v>
                </c:pt>
                <c:pt idx="11">
                  <c:v>5.4284508729731744</c:v>
                </c:pt>
                <c:pt idx="12">
                  <c:v>4.6237467115224185</c:v>
                </c:pt>
                <c:pt idx="13">
                  <c:v>5.3556677104007688</c:v>
                </c:pt>
                <c:pt idx="14">
                  <c:v>4.9049679116200062</c:v>
                </c:pt>
                <c:pt idx="15">
                  <c:v>4.0408238474195359</c:v>
                </c:pt>
                <c:pt idx="16">
                  <c:v>2.6687287602782099</c:v>
                </c:pt>
                <c:pt idx="17">
                  <c:v>2.3629137244498772</c:v>
                </c:pt>
              </c:numCache>
            </c:numRef>
          </c:val>
          <c:extLst>
            <c:ext xmlns:c16="http://schemas.microsoft.com/office/drawing/2014/chart" uri="{C3380CC4-5D6E-409C-BE32-E72D297353CC}">
              <c16:uniqueId val="{00000001-6FCC-0F41-85C1-594F262404F4}"/>
            </c:ext>
          </c:extLst>
        </c:ser>
        <c:dLbls>
          <c:showLegendKey val="0"/>
          <c:showVal val="0"/>
          <c:showCatName val="0"/>
          <c:showSerName val="0"/>
          <c:showPercent val="0"/>
          <c:showBubbleSize val="0"/>
        </c:dLbls>
        <c:gapWidth val="4"/>
        <c:overlap val="100"/>
        <c:axId val="-1306877328"/>
        <c:axId val="-1306872432"/>
      </c:barChart>
      <c:catAx>
        <c:axId val="-130687732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72432"/>
        <c:crosses val="autoZero"/>
        <c:auto val="1"/>
        <c:lblAlgn val="ctr"/>
        <c:lblOffset val="100"/>
        <c:noMultiLvlLbl val="0"/>
      </c:catAx>
      <c:valAx>
        <c:axId val="-1306872432"/>
        <c:scaling>
          <c:orientation val="minMax"/>
        </c:scaling>
        <c:delete val="0"/>
        <c:axPos val="b"/>
        <c:minorGridlines/>
        <c:numFmt formatCode="0;0" sourceLinked="0"/>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ln>
                  <a:noFill/>
                </a:ln>
                <a:solidFill>
                  <a:sysClr val="windowText" lastClr="000000"/>
                </a:solidFill>
                <a:latin typeface="+mn-lt"/>
                <a:ea typeface="+mn-ea"/>
                <a:cs typeface="Times New Roman" panose="02020603050405020304" pitchFamily="18" charset="0"/>
              </a:defRPr>
            </a:pPr>
            <a:endParaRPr lang="es-ES"/>
          </a:p>
        </c:txPr>
        <c:crossAx val="-1306877328"/>
        <c:crosses val="autoZero"/>
        <c:crossBetween val="between"/>
        <c:majorUnit val="5"/>
        <c:minorUnit val="1"/>
      </c:valAx>
      <c:spPr>
        <a:noFill/>
        <a:ln w="25400">
          <a:noFill/>
        </a:ln>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470774290560811E-2"/>
          <c:y val="2.8248396531928722E-2"/>
          <c:w val="0.89189987481574207"/>
          <c:h val="0.73231881540866339"/>
        </c:manualLayout>
      </c:layout>
      <c:lineChart>
        <c:grouping val="standard"/>
        <c:varyColors val="0"/>
        <c:ser>
          <c:idx val="0"/>
          <c:order val="0"/>
          <c:tx>
            <c:strRef>
              <c:f>Hoja1!$B$1</c:f>
              <c:strCache>
                <c:ptCount val="1"/>
                <c:pt idx="0">
                  <c:v>Estar con la familia</c:v>
                </c:pt>
              </c:strCache>
            </c:strRef>
          </c:tx>
          <c:spPr>
            <a:ln w="19050" cap="rnd">
              <a:solidFill>
                <a:schemeClr val="accent1"/>
              </a:solidFill>
              <a:round/>
            </a:ln>
            <a:effectLst/>
          </c:spPr>
          <c:marker>
            <c:symbol val="none"/>
          </c:marker>
          <c:dLbls>
            <c:dLbl>
              <c:idx val="3"/>
              <c:layout>
                <c:manualLayout>
                  <c:x val="0"/>
                  <c:y val="-1.6125781092521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Hoja1!$B$2:$B$5</c:f>
              <c:numCache>
                <c:formatCode>0%</c:formatCode>
                <c:ptCount val="4"/>
                <c:pt idx="0">
                  <c:v>0.75</c:v>
                </c:pt>
                <c:pt idx="1">
                  <c:v>0.76</c:v>
                </c:pt>
                <c:pt idx="2">
                  <c:v>0.73</c:v>
                </c:pt>
                <c:pt idx="3">
                  <c:v>0.71</c:v>
                </c:pt>
              </c:numCache>
            </c:numRef>
          </c:val>
          <c:smooth val="0"/>
          <c:extLst>
            <c:ext xmlns:c16="http://schemas.microsoft.com/office/drawing/2014/chart" uri="{C3380CC4-5D6E-409C-BE32-E72D297353CC}">
              <c16:uniqueId val="{00000001-0BD3-2E49-AF65-9CFA9A2A22A4}"/>
            </c:ext>
          </c:extLst>
        </c:ser>
        <c:ser>
          <c:idx val="1"/>
          <c:order val="1"/>
          <c:tx>
            <c:strRef>
              <c:f>Hoja1!$C$1</c:f>
              <c:strCache>
                <c:ptCount val="1"/>
                <c:pt idx="0">
                  <c:v>Ver la televisión</c:v>
                </c:pt>
              </c:strCache>
            </c:strRef>
          </c:tx>
          <c:spPr>
            <a:ln w="19050" cap="rnd">
              <a:solidFill>
                <a:schemeClr val="accent2"/>
              </a:solidFill>
              <a:round/>
            </a:ln>
            <a:effectLst/>
          </c:spPr>
          <c:marker>
            <c:symbol val="none"/>
          </c:marker>
          <c:dLbls>
            <c:dLbl>
              <c:idx val="3"/>
              <c:layout>
                <c:manualLayout>
                  <c:x val="0"/>
                  <c:y val="6.375447457121734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Hoja1!$C$2:$C$5</c:f>
              <c:numCache>
                <c:formatCode>0%</c:formatCode>
                <c:ptCount val="4"/>
                <c:pt idx="0">
                  <c:v>0.68</c:v>
                </c:pt>
                <c:pt idx="1">
                  <c:v>0.69</c:v>
                </c:pt>
                <c:pt idx="2">
                  <c:v>0.7</c:v>
                </c:pt>
                <c:pt idx="3">
                  <c:v>0.65</c:v>
                </c:pt>
              </c:numCache>
            </c:numRef>
          </c:val>
          <c:smooth val="0"/>
          <c:extLst>
            <c:ext xmlns:c16="http://schemas.microsoft.com/office/drawing/2014/chart" uri="{C3380CC4-5D6E-409C-BE32-E72D297353CC}">
              <c16:uniqueId val="{00000003-0BD3-2E49-AF65-9CFA9A2A22A4}"/>
            </c:ext>
          </c:extLst>
        </c:ser>
        <c:ser>
          <c:idx val="2"/>
          <c:order val="2"/>
          <c:tx>
            <c:strRef>
              <c:f>Hoja1!$D$1</c:f>
              <c:strCache>
                <c:ptCount val="1"/>
                <c:pt idx="0">
                  <c:v>Leer</c:v>
                </c:pt>
              </c:strCache>
            </c:strRef>
          </c:tx>
          <c:spPr>
            <a:ln w="19050" cap="rnd">
              <a:solidFill>
                <a:schemeClr val="accent3"/>
              </a:solidFill>
              <a:round/>
            </a:ln>
            <a:effectLst/>
          </c:spPr>
          <c:marker>
            <c:symbol val="none"/>
          </c:marker>
          <c:cat>
            <c:numRef>
              <c:f>Hoja1!$A$2:$A$5</c:f>
              <c:numCache>
                <c:formatCode>General</c:formatCode>
                <c:ptCount val="4"/>
                <c:pt idx="0">
                  <c:v>1995</c:v>
                </c:pt>
                <c:pt idx="1">
                  <c:v>2000</c:v>
                </c:pt>
                <c:pt idx="2">
                  <c:v>2010</c:v>
                </c:pt>
                <c:pt idx="3">
                  <c:v>2018</c:v>
                </c:pt>
              </c:numCache>
            </c:numRef>
          </c:cat>
          <c:val>
            <c:numRef>
              <c:f>Hoja1!$D$2:$D$5</c:f>
              <c:numCache>
                <c:formatCode>0%</c:formatCode>
                <c:ptCount val="4"/>
                <c:pt idx="0">
                  <c:v>0.45</c:v>
                </c:pt>
                <c:pt idx="1">
                  <c:v>0.44</c:v>
                </c:pt>
                <c:pt idx="2">
                  <c:v>0.38</c:v>
                </c:pt>
                <c:pt idx="3">
                  <c:v>0.4</c:v>
                </c:pt>
              </c:numCache>
            </c:numRef>
          </c:val>
          <c:smooth val="0"/>
          <c:extLst>
            <c:ext xmlns:c16="http://schemas.microsoft.com/office/drawing/2014/chart" uri="{C3380CC4-5D6E-409C-BE32-E72D297353CC}">
              <c16:uniqueId val="{00000004-0BD3-2E49-AF65-9CFA9A2A22A4}"/>
            </c:ext>
          </c:extLst>
        </c:ser>
        <c:ser>
          <c:idx val="3"/>
          <c:order val="3"/>
          <c:tx>
            <c:strRef>
              <c:f>Hoja1!$E$1</c:f>
              <c:strCache>
                <c:ptCount val="1"/>
                <c:pt idx="0">
                  <c:v>Hacer deporte</c:v>
                </c:pt>
              </c:strCache>
            </c:strRef>
          </c:tx>
          <c:spPr>
            <a:ln w="19050" cap="rnd">
              <a:solidFill>
                <a:schemeClr val="accent4"/>
              </a:solidFill>
              <a:prstDash val="sysDash"/>
              <a:round/>
            </a:ln>
            <a:effectLst/>
          </c:spPr>
          <c:marker>
            <c:symbol val="none"/>
          </c:marker>
          <c:dLbls>
            <c:dLbl>
              <c:idx val="3"/>
              <c:layout>
                <c:manualLayout>
                  <c:x val="0"/>
                  <c:y val="-7.80792504391965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Hoja1!$E$2:$E$5</c:f>
              <c:numCache>
                <c:formatCode>0%</c:formatCode>
                <c:ptCount val="4"/>
                <c:pt idx="0">
                  <c:v>0.32</c:v>
                </c:pt>
                <c:pt idx="1">
                  <c:v>0.31</c:v>
                </c:pt>
                <c:pt idx="2">
                  <c:v>0.3</c:v>
                </c:pt>
                <c:pt idx="3">
                  <c:v>0.32</c:v>
                </c:pt>
              </c:numCache>
            </c:numRef>
          </c:val>
          <c:smooth val="0"/>
          <c:extLst>
            <c:ext xmlns:c16="http://schemas.microsoft.com/office/drawing/2014/chart" uri="{C3380CC4-5D6E-409C-BE32-E72D297353CC}">
              <c16:uniqueId val="{00000006-0BD3-2E49-AF65-9CFA9A2A22A4}"/>
            </c:ext>
          </c:extLst>
        </c:ser>
        <c:ser>
          <c:idx val="4"/>
          <c:order val="4"/>
          <c:tx>
            <c:strRef>
              <c:f>Hoja1!$F$1</c:f>
              <c:strCache>
                <c:ptCount val="1"/>
                <c:pt idx="0">
                  <c:v>Escuchar música</c:v>
                </c:pt>
              </c:strCache>
            </c:strRef>
          </c:tx>
          <c:spPr>
            <a:ln w="19050" cap="rnd">
              <a:solidFill>
                <a:schemeClr val="accent5"/>
              </a:solidFill>
              <a:prstDash val="sysDot"/>
              <a:round/>
            </a:ln>
            <a:effectLst/>
          </c:spPr>
          <c:marker>
            <c:symbol val="none"/>
          </c:marker>
          <c:dLbls>
            <c:dLbl>
              <c:idx val="3"/>
              <c:layout>
                <c:manualLayout>
                  <c:x val="0"/>
                  <c:y val="-7.93549547278676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Hoja1!$F$2:$F$5</c:f>
              <c:numCache>
                <c:formatCode>0%</c:formatCode>
                <c:ptCount val="4"/>
                <c:pt idx="0">
                  <c:v>0.42</c:v>
                </c:pt>
                <c:pt idx="1">
                  <c:v>0.44</c:v>
                </c:pt>
                <c:pt idx="2">
                  <c:v>0.39</c:v>
                </c:pt>
                <c:pt idx="3">
                  <c:v>0.4</c:v>
                </c:pt>
              </c:numCache>
            </c:numRef>
          </c:val>
          <c:smooth val="0"/>
          <c:extLst>
            <c:ext xmlns:c16="http://schemas.microsoft.com/office/drawing/2014/chart" uri="{C3380CC4-5D6E-409C-BE32-E72D297353CC}">
              <c16:uniqueId val="{00000008-0BD3-2E49-AF65-9CFA9A2A22A4}"/>
            </c:ext>
          </c:extLst>
        </c:ser>
        <c:ser>
          <c:idx val="5"/>
          <c:order val="5"/>
          <c:tx>
            <c:strRef>
              <c:f>Hoja1!$G$1</c:f>
              <c:strCache>
                <c:ptCount val="1"/>
                <c:pt idx="0">
                  <c:v>Oir la radio</c:v>
                </c:pt>
              </c:strCache>
            </c:strRef>
          </c:tx>
          <c:spPr>
            <a:ln w="19050" cap="rnd">
              <a:solidFill>
                <a:schemeClr val="accent6"/>
              </a:solidFill>
              <a:round/>
            </a:ln>
            <a:effectLst/>
          </c:spPr>
          <c:marker>
            <c:symbol val="none"/>
          </c:marker>
          <c:dLbls>
            <c:dLbl>
              <c:idx val="3"/>
              <c:layout>
                <c:manualLayout>
                  <c:x val="0"/>
                  <c:y val="1.9774646068909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trendline>
            <c:spPr>
              <a:ln w="19050" cap="rnd">
                <a:solidFill>
                  <a:schemeClr val="accent6"/>
                </a:solidFill>
                <a:prstDash val="sysDot"/>
              </a:ln>
              <a:effectLst/>
            </c:spPr>
            <c:trendlineType val="linear"/>
            <c:dispRSqr val="0"/>
            <c:dispEq val="0"/>
          </c:trendline>
          <c:cat>
            <c:numRef>
              <c:f>Hoja1!$A$2:$A$5</c:f>
              <c:numCache>
                <c:formatCode>General</c:formatCode>
                <c:ptCount val="4"/>
                <c:pt idx="0">
                  <c:v>1995</c:v>
                </c:pt>
                <c:pt idx="1">
                  <c:v>2000</c:v>
                </c:pt>
                <c:pt idx="2">
                  <c:v>2010</c:v>
                </c:pt>
                <c:pt idx="3">
                  <c:v>2018</c:v>
                </c:pt>
              </c:numCache>
            </c:numRef>
          </c:cat>
          <c:val>
            <c:numRef>
              <c:f>Hoja1!$G$2:$G$5</c:f>
              <c:numCache>
                <c:formatCode>0%</c:formatCode>
                <c:ptCount val="4"/>
                <c:pt idx="0">
                  <c:v>0.43</c:v>
                </c:pt>
                <c:pt idx="1">
                  <c:v>0.37</c:v>
                </c:pt>
                <c:pt idx="2">
                  <c:v>0.35</c:v>
                </c:pt>
                <c:pt idx="3">
                  <c:v>0.31</c:v>
                </c:pt>
              </c:numCache>
            </c:numRef>
          </c:val>
          <c:smooth val="0"/>
          <c:extLst>
            <c:ext xmlns:c16="http://schemas.microsoft.com/office/drawing/2014/chart" uri="{C3380CC4-5D6E-409C-BE32-E72D297353CC}">
              <c16:uniqueId val="{0000000B-0BD3-2E49-AF65-9CFA9A2A22A4}"/>
            </c:ext>
          </c:extLst>
        </c:ser>
        <c:ser>
          <c:idx val="6"/>
          <c:order val="6"/>
          <c:tx>
            <c:strRef>
              <c:f>Hoja1!$H$1</c:f>
              <c:strCache>
                <c:ptCount val="1"/>
                <c:pt idx="0">
                  <c:v>Estar con los/las amigos/as</c:v>
                </c:pt>
              </c:strCache>
            </c:strRef>
          </c:tx>
          <c:spPr>
            <a:ln w="19050" cap="rnd">
              <a:solidFill>
                <a:schemeClr val="accent1">
                  <a:lumMod val="60000"/>
                </a:schemeClr>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Hoja1!$A$2:$A$5</c:f>
              <c:numCache>
                <c:formatCode>General</c:formatCode>
                <c:ptCount val="4"/>
                <c:pt idx="0">
                  <c:v>1995</c:v>
                </c:pt>
                <c:pt idx="1">
                  <c:v>2000</c:v>
                </c:pt>
                <c:pt idx="2">
                  <c:v>2010</c:v>
                </c:pt>
                <c:pt idx="3">
                  <c:v>2018</c:v>
                </c:pt>
              </c:numCache>
            </c:numRef>
          </c:cat>
          <c:val>
            <c:numRef>
              <c:f>Hoja1!$H$2:$H$5</c:f>
              <c:numCache>
                <c:formatCode>0%</c:formatCode>
                <c:ptCount val="4"/>
                <c:pt idx="0">
                  <c:v>0.54</c:v>
                </c:pt>
                <c:pt idx="1">
                  <c:v>0.56000000000000005</c:v>
                </c:pt>
                <c:pt idx="2">
                  <c:v>0.53</c:v>
                </c:pt>
                <c:pt idx="3">
                  <c:v>0.53</c:v>
                </c:pt>
              </c:numCache>
            </c:numRef>
          </c:val>
          <c:smooth val="0"/>
          <c:extLst>
            <c:ext xmlns:c16="http://schemas.microsoft.com/office/drawing/2014/chart" uri="{C3380CC4-5D6E-409C-BE32-E72D297353CC}">
              <c16:uniqueId val="{0000000D-0BD3-2E49-AF65-9CFA9A2A22A4}"/>
            </c:ext>
          </c:extLst>
        </c:ser>
        <c:ser>
          <c:idx val="7"/>
          <c:order val="7"/>
          <c:tx>
            <c:strRef>
              <c:f>Hoja1!$I$1</c:f>
              <c:strCache>
                <c:ptCount val="1"/>
                <c:pt idx="0">
                  <c:v>Ir al cine</c:v>
                </c:pt>
              </c:strCache>
            </c:strRef>
          </c:tx>
          <c:spPr>
            <a:ln w="19050" cap="rnd">
              <a:solidFill>
                <a:schemeClr val="accent2">
                  <a:lumMod val="60000"/>
                </a:schemeClr>
              </a:solidFill>
              <a:round/>
            </a:ln>
            <a:effectLst/>
          </c:spPr>
          <c:marker>
            <c:symbol val="none"/>
          </c:marker>
          <c:dLbls>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Hoja1!$A$2:$A$5</c:f>
              <c:numCache>
                <c:formatCode>General</c:formatCode>
                <c:ptCount val="4"/>
                <c:pt idx="0">
                  <c:v>1995</c:v>
                </c:pt>
                <c:pt idx="1">
                  <c:v>2000</c:v>
                </c:pt>
                <c:pt idx="2">
                  <c:v>2010</c:v>
                </c:pt>
                <c:pt idx="3">
                  <c:v>2018</c:v>
                </c:pt>
              </c:numCache>
            </c:numRef>
          </c:cat>
          <c:val>
            <c:numRef>
              <c:f>Hoja1!$I$2:$I$5</c:f>
              <c:numCache>
                <c:formatCode>0%</c:formatCode>
                <c:ptCount val="4"/>
                <c:pt idx="0">
                  <c:v>0.27</c:v>
                </c:pt>
                <c:pt idx="1">
                  <c:v>0.33</c:v>
                </c:pt>
                <c:pt idx="2">
                  <c:v>0.28999999999999998</c:v>
                </c:pt>
                <c:pt idx="3">
                  <c:v>0.21</c:v>
                </c:pt>
              </c:numCache>
            </c:numRef>
          </c:val>
          <c:smooth val="0"/>
          <c:extLst>
            <c:ext xmlns:c16="http://schemas.microsoft.com/office/drawing/2014/chart" uri="{C3380CC4-5D6E-409C-BE32-E72D297353CC}">
              <c16:uniqueId val="{0000000F-0BD3-2E49-AF65-9CFA9A2A22A4}"/>
            </c:ext>
          </c:extLst>
        </c:ser>
        <c:ser>
          <c:idx val="8"/>
          <c:order val="8"/>
          <c:tx>
            <c:strRef>
              <c:f>Hoja1!$J$1</c:f>
              <c:strCache>
                <c:ptCount val="1"/>
                <c:pt idx="0">
                  <c:v>Utilizar Internet y RRSS</c:v>
                </c:pt>
              </c:strCache>
            </c:strRef>
          </c:tx>
          <c:spPr>
            <a:ln w="28575" cap="rnd">
              <a:solidFill>
                <a:srgbClr val="FF0000"/>
              </a:solidFill>
              <a:prstDash val="sysDash"/>
              <a:round/>
            </a:ln>
            <a:effectLst/>
          </c:spPr>
          <c:marker>
            <c:symbol val="none"/>
          </c:marker>
          <c:dLbls>
            <c:dLbl>
              <c:idx val="3"/>
              <c:layout>
                <c:manualLayout>
                  <c:x val="0"/>
                  <c:y val="-7.6803546150523887E-3"/>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BD3-2E49-AF65-9CFA9A2A22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Hoja1!$J$2:$J$5</c:f>
              <c:numCache>
                <c:formatCode>0%</c:formatCode>
                <c:ptCount val="4"/>
                <c:pt idx="0">
                  <c:v>0</c:v>
                </c:pt>
                <c:pt idx="1">
                  <c:v>0</c:v>
                </c:pt>
                <c:pt idx="2">
                  <c:v>0.33</c:v>
                </c:pt>
                <c:pt idx="3">
                  <c:v>0.36</c:v>
                </c:pt>
              </c:numCache>
            </c:numRef>
          </c:val>
          <c:smooth val="0"/>
          <c:extLst>
            <c:ext xmlns:c16="http://schemas.microsoft.com/office/drawing/2014/chart" uri="{C3380CC4-5D6E-409C-BE32-E72D297353CC}">
              <c16:uniqueId val="{00000011-0BD3-2E49-AF65-9CFA9A2A22A4}"/>
            </c:ext>
          </c:extLst>
        </c:ser>
        <c:ser>
          <c:idx val="9"/>
          <c:order val="9"/>
          <c:tx>
            <c:strRef>
              <c:f>Hoja1!$K$1</c:f>
              <c:strCache>
                <c:ptCount val="1"/>
                <c:pt idx="0">
                  <c:v>Andar y pasear</c:v>
                </c:pt>
              </c:strCache>
            </c:strRef>
          </c:tx>
          <c:spPr>
            <a:ln w="28575" cap="rnd">
              <a:solidFill>
                <a:schemeClr val="accent6">
                  <a:lumMod val="50000"/>
                </a:schemeClr>
              </a:solidFill>
              <a:prstDash val="sysDot"/>
              <a:round/>
            </a:ln>
            <a:effectLst/>
          </c:spPr>
          <c:marker>
            <c:symbol val="none"/>
          </c:marker>
          <c:dLbls>
            <c:dLbl>
              <c:idx val="3"/>
              <c:layout>
                <c:manualLayout>
                  <c:x val="0"/>
                  <c:y val="3.8240388797777564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BD3-2E49-AF65-9CFA9A2A22A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Hoja1!$A$2:$A$5</c:f>
              <c:numCache>
                <c:formatCode>General</c:formatCode>
                <c:ptCount val="4"/>
                <c:pt idx="0">
                  <c:v>1995</c:v>
                </c:pt>
                <c:pt idx="1">
                  <c:v>2000</c:v>
                </c:pt>
                <c:pt idx="2">
                  <c:v>2010</c:v>
                </c:pt>
                <c:pt idx="3">
                  <c:v>2018</c:v>
                </c:pt>
              </c:numCache>
            </c:numRef>
          </c:cat>
          <c:val>
            <c:numRef>
              <c:f>Hoja1!$K$2:$K$5</c:f>
              <c:numCache>
                <c:formatCode>0%</c:formatCode>
                <c:ptCount val="4"/>
                <c:pt idx="0">
                  <c:v>0</c:v>
                </c:pt>
                <c:pt idx="1">
                  <c:v>0</c:v>
                </c:pt>
                <c:pt idx="2">
                  <c:v>0.53</c:v>
                </c:pt>
                <c:pt idx="3">
                  <c:v>0.69</c:v>
                </c:pt>
              </c:numCache>
            </c:numRef>
          </c:val>
          <c:smooth val="0"/>
          <c:extLst>
            <c:ext xmlns:c16="http://schemas.microsoft.com/office/drawing/2014/chart" uri="{C3380CC4-5D6E-409C-BE32-E72D297353CC}">
              <c16:uniqueId val="{00000013-0BD3-2E49-AF65-9CFA9A2A22A4}"/>
            </c:ext>
          </c:extLst>
        </c:ser>
        <c:dLbls>
          <c:showLegendKey val="0"/>
          <c:showVal val="0"/>
          <c:showCatName val="0"/>
          <c:showSerName val="0"/>
          <c:showPercent val="0"/>
          <c:showBubbleSize val="0"/>
        </c:dLbls>
        <c:smooth val="0"/>
        <c:axId val="-1306822928"/>
        <c:axId val="-1306823472"/>
      </c:lineChart>
      <c:catAx>
        <c:axId val="-130682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23472"/>
        <c:crosses val="autoZero"/>
        <c:auto val="1"/>
        <c:lblAlgn val="ctr"/>
        <c:lblOffset val="100"/>
        <c:noMultiLvlLbl val="0"/>
      </c:catAx>
      <c:valAx>
        <c:axId val="-1306823472"/>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22928"/>
        <c:crosses val="autoZero"/>
        <c:crossBetween val="between"/>
      </c:valAx>
      <c:spPr>
        <a:noFill/>
        <a:ln>
          <a:noFill/>
        </a:ln>
        <a:effectLst/>
      </c:spPr>
    </c:plotArea>
    <c:legend>
      <c:legendPos val="b"/>
      <c:layout>
        <c:manualLayout>
          <c:xMode val="edge"/>
          <c:yMode val="edge"/>
          <c:x val="5.8254012933237523E-2"/>
          <c:y val="0.82654848214244547"/>
          <c:w val="0.9211211398434086"/>
          <c:h val="0.1578356677697154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1"/>
          <c:tx>
            <c:strRef>
              <c:f>Hoja1!$C$1</c:f>
              <c:strCache>
                <c:ptCount val="1"/>
                <c:pt idx="0">
                  <c:v>Sentado</c:v>
                </c:pt>
              </c:strCache>
            </c:strRef>
          </c:tx>
          <c:spPr>
            <a:ln w="19050" cap="rnd">
              <a:solidFill>
                <a:srgbClr val="4472C4">
                  <a:lumMod val="75000"/>
                </a:srgbClr>
              </a:solidFill>
              <a:prstDash val="sysDash"/>
              <a:round/>
            </a:ln>
            <a:effectLst/>
          </c:spPr>
          <c:marker>
            <c:symbol val="circle"/>
            <c:size val="5"/>
            <c:spPr>
              <a:noFill/>
              <a:ln w="19050">
                <a:noFill/>
                <a:prstDash val="sysDash"/>
              </a:ln>
              <a:effectLst/>
            </c:spPr>
          </c:marker>
          <c:dPt>
            <c:idx val="6"/>
            <c:bubble3D val="0"/>
            <c:extLst>
              <c:ext xmlns:c16="http://schemas.microsoft.com/office/drawing/2014/chart" uri="{C3380CC4-5D6E-409C-BE32-E72D297353CC}">
                <c16:uniqueId val="{0000000F-4AD1-46E7-BB5A-7AFC8C25DC1E}"/>
              </c:ext>
            </c:extLst>
          </c:dPt>
          <c:dPt>
            <c:idx val="7"/>
            <c:bubble3D val="0"/>
            <c:extLst>
              <c:ext xmlns:c16="http://schemas.microsoft.com/office/drawing/2014/chart" uri="{C3380CC4-5D6E-409C-BE32-E72D297353CC}">
                <c16:uniqueId val="{00000011-4AD1-46E7-BB5A-7AFC8C25DC1E}"/>
              </c:ext>
            </c:extLst>
          </c:dPt>
          <c:dLbls>
            <c:dLbl>
              <c:idx val="0"/>
              <c:layout>
                <c:manualLayout>
                  <c:x val="-2.4548091943762552E-2"/>
                  <c:y val="-2.6478375992939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AD1-46E7-BB5A-7AFC8C25DC1E}"/>
                </c:ext>
              </c:extLst>
            </c:dLbl>
            <c:dLbl>
              <c:idx val="1"/>
              <c:layout>
                <c:manualLayout>
                  <c:x val="-2.5243900536543087E-2"/>
                  <c:y val="-2.87633357910464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AD1-46E7-BB5A-7AFC8C25DC1E}"/>
                </c:ext>
              </c:extLst>
            </c:dLbl>
            <c:dLbl>
              <c:idx val="2"/>
              <c:layout>
                <c:manualLayout>
                  <c:x val="-2.9011381388083016E-2"/>
                  <c:y val="-2.2065313327449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AD1-46E7-BB5A-7AFC8C25DC1E}"/>
                </c:ext>
              </c:extLst>
            </c:dLbl>
            <c:dLbl>
              <c:idx val="3"/>
              <c:layout>
                <c:manualLayout>
                  <c:x val="-2.9011381388083016E-2"/>
                  <c:y val="-2.2065313327449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AD1-46E7-BB5A-7AFC8C25DC1E}"/>
                </c:ext>
              </c:extLst>
            </c:dLbl>
            <c:dLbl>
              <c:idx val="4"/>
              <c:layout>
                <c:manualLayout>
                  <c:x val="-2.301220442936169E-2"/>
                  <c:y val="-2.0430004280401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AD1-46E7-BB5A-7AFC8C25DC1E}"/>
                </c:ext>
              </c:extLst>
            </c:dLbl>
            <c:dLbl>
              <c:idx val="5"/>
              <c:layout>
                <c:manualLayout>
                  <c:x val="-3.2923140961709375E-2"/>
                  <c:y val="-3.0398724759683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AD1-46E7-BB5A-7AFC8C25DC1E}"/>
                </c:ext>
              </c:extLst>
            </c:dLbl>
            <c:dLbl>
              <c:idx val="6"/>
              <c:layout>
                <c:manualLayout>
                  <c:x val="-2.9011381388083016E-2"/>
                  <c:y val="-2.2065313327449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AD1-46E7-BB5A-7AFC8C25DC1E}"/>
                </c:ext>
              </c:extLst>
            </c:dLbl>
            <c:dLbl>
              <c:idx val="7"/>
              <c:layout>
                <c:manualLayout>
                  <c:x val="-3.0092592592592591E-2"/>
                  <c:y val="-2.7777777777777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AD1-46E7-BB5A-7AFC8C25DC1E}"/>
                </c:ext>
              </c:extLst>
            </c:dLbl>
            <c:dLbl>
              <c:idx val="8"/>
              <c:layout>
                <c:manualLayout>
                  <c:x val="-2.231644722160232E-2"/>
                  <c:y val="-1.765225066195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AD1-46E7-BB5A-7AFC8C25DC1E}"/>
                </c:ext>
              </c:extLst>
            </c:dLbl>
            <c:dLbl>
              <c:idx val="9"/>
              <c:layout>
                <c:manualLayout>
                  <c:x val="-4.7036688617121351E-3"/>
                  <c:y val="-3.717177929348903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5A-264D-AF4D-734E2E9574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Hoja1!$A$2:$A$11</c:f>
              <c:numCache>
                <c:formatCode>General</c:formatCode>
                <c:ptCount val="10"/>
                <c:pt idx="0">
                  <c:v>1993</c:v>
                </c:pt>
                <c:pt idx="1">
                  <c:v>1995</c:v>
                </c:pt>
                <c:pt idx="2">
                  <c:v>1997</c:v>
                </c:pt>
                <c:pt idx="3">
                  <c:v>2001</c:v>
                </c:pt>
                <c:pt idx="4">
                  <c:v>2003</c:v>
                </c:pt>
                <c:pt idx="5">
                  <c:v>2006</c:v>
                </c:pt>
                <c:pt idx="6">
                  <c:v>2011</c:v>
                </c:pt>
                <c:pt idx="7">
                  <c:v>2014</c:v>
                </c:pt>
                <c:pt idx="8">
                  <c:v>2017</c:v>
                </c:pt>
                <c:pt idx="9">
                  <c:v>2020</c:v>
                </c:pt>
              </c:numCache>
            </c:numRef>
          </c:cat>
          <c:val>
            <c:numRef>
              <c:f>Hoja1!$C$2:$C$11</c:f>
              <c:numCache>
                <c:formatCode>0%</c:formatCode>
                <c:ptCount val="10"/>
                <c:pt idx="0">
                  <c:v>0.34</c:v>
                </c:pt>
                <c:pt idx="1">
                  <c:v>0.32</c:v>
                </c:pt>
                <c:pt idx="2">
                  <c:v>0.33</c:v>
                </c:pt>
                <c:pt idx="3">
                  <c:v>0.33</c:v>
                </c:pt>
                <c:pt idx="4">
                  <c:v>0.34</c:v>
                </c:pt>
                <c:pt idx="5">
                  <c:v>0.33</c:v>
                </c:pt>
                <c:pt idx="6">
                  <c:v>0.38</c:v>
                </c:pt>
                <c:pt idx="7">
                  <c:v>0.36</c:v>
                </c:pt>
                <c:pt idx="8">
                  <c:v>0.38</c:v>
                </c:pt>
                <c:pt idx="9">
                  <c:v>0.38</c:v>
                </c:pt>
              </c:numCache>
            </c:numRef>
          </c:val>
          <c:smooth val="0"/>
          <c:extLst>
            <c:ext xmlns:c16="http://schemas.microsoft.com/office/drawing/2014/chart" uri="{C3380CC4-5D6E-409C-BE32-E72D297353CC}">
              <c16:uniqueId val="{00000019-4AD1-46E7-BB5A-7AFC8C25DC1E}"/>
            </c:ext>
          </c:extLst>
        </c:ser>
        <c:ser>
          <c:idx val="2"/>
          <c:order val="2"/>
          <c:tx>
            <c:strRef>
              <c:f>Hoja1!$D$1</c:f>
              <c:strCache>
                <c:ptCount val="1"/>
                <c:pt idx="0">
                  <c:v>Caminando</c:v>
                </c:pt>
              </c:strCache>
            </c:strRef>
          </c:tx>
          <c:spPr>
            <a:ln w="19050" cap="rnd">
              <a:solidFill>
                <a:srgbClr val="4472C4">
                  <a:lumMod val="60000"/>
                  <a:lumOff val="40000"/>
                </a:srgbClr>
              </a:solidFill>
              <a:prstDash val="solid"/>
              <a:round/>
            </a:ln>
            <a:effectLst/>
          </c:spPr>
          <c:marker>
            <c:symbol val="circle"/>
            <c:size val="5"/>
            <c:spPr>
              <a:noFill/>
              <a:ln w="9525">
                <a:noFill/>
              </a:ln>
              <a:effectLst/>
            </c:spPr>
          </c:marker>
          <c:dPt>
            <c:idx val="3"/>
            <c:bubble3D val="0"/>
            <c:extLst>
              <c:ext xmlns:c16="http://schemas.microsoft.com/office/drawing/2014/chart" uri="{C3380CC4-5D6E-409C-BE32-E72D297353CC}">
                <c16:uniqueId val="{0000001A-4AD1-46E7-BB5A-7AFC8C25DC1E}"/>
              </c:ext>
            </c:extLst>
          </c:dPt>
          <c:dPt>
            <c:idx val="6"/>
            <c:bubble3D val="0"/>
            <c:extLst>
              <c:ext xmlns:c16="http://schemas.microsoft.com/office/drawing/2014/chart" uri="{C3380CC4-5D6E-409C-BE32-E72D297353CC}">
                <c16:uniqueId val="{0000001C-4AD1-46E7-BB5A-7AFC8C25DC1E}"/>
              </c:ext>
            </c:extLst>
          </c:dPt>
          <c:dPt>
            <c:idx val="7"/>
            <c:bubble3D val="0"/>
            <c:extLst>
              <c:ext xmlns:c16="http://schemas.microsoft.com/office/drawing/2014/chart" uri="{C3380CC4-5D6E-409C-BE32-E72D297353CC}">
                <c16:uniqueId val="{0000001D-4AD1-46E7-BB5A-7AFC8C25DC1E}"/>
              </c:ext>
            </c:extLst>
          </c:dPt>
          <c:dLbls>
            <c:dLbl>
              <c:idx val="0"/>
              <c:layout>
                <c:manualLayout>
                  <c:x val="-1.7853157777281858E-2"/>
                  <c:y val="-2.6478375992939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AD1-46E7-BB5A-7AFC8C25DC1E}"/>
                </c:ext>
              </c:extLst>
            </c:dLbl>
            <c:dLbl>
              <c:idx val="1"/>
              <c:layout>
                <c:manualLayout>
                  <c:x val="-2.6779736665922784E-2"/>
                  <c:y val="-2.2065313327449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AD1-46E7-BB5A-7AFC8C25DC1E}"/>
                </c:ext>
              </c:extLst>
            </c:dLbl>
            <c:dLbl>
              <c:idx val="2"/>
              <c:layout>
                <c:manualLayout>
                  <c:x val="-2.4548091943762593E-2"/>
                  <c:y val="-1.7652250661959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AD1-46E7-BB5A-7AFC8C25DC1E}"/>
                </c:ext>
              </c:extLst>
            </c:dLbl>
            <c:dLbl>
              <c:idx val="3"/>
              <c:layout>
                <c:manualLayout>
                  <c:x val="-2.6779736665922784E-2"/>
                  <c:y val="-1.76522506619594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AD1-46E7-BB5A-7AFC8C25DC1E}"/>
                </c:ext>
              </c:extLst>
            </c:dLbl>
            <c:dLbl>
              <c:idx val="4"/>
              <c:layout>
                <c:manualLayout>
                  <c:x val="-2.0084802499442087E-2"/>
                  <c:y val="-2.6478375992939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AD1-46E7-BB5A-7AFC8C25DC1E}"/>
                </c:ext>
              </c:extLst>
            </c:dLbl>
            <c:dLbl>
              <c:idx val="5"/>
              <c:layout>
                <c:manualLayout>
                  <c:x val="-2.6779736665922867E-2"/>
                  <c:y val="-1.7652250661959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AD1-46E7-BB5A-7AFC8C25DC1E}"/>
                </c:ext>
              </c:extLst>
            </c:dLbl>
            <c:dLbl>
              <c:idx val="6"/>
              <c:layout>
                <c:manualLayout>
                  <c:x val="-3.1243026110243332E-2"/>
                  <c:y val="-1.7652250661959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AD1-46E7-BB5A-7AFC8C25DC1E}"/>
                </c:ext>
              </c:extLst>
            </c:dLbl>
            <c:dLbl>
              <c:idx val="7"/>
              <c:layout>
                <c:manualLayout>
                  <c:x val="-2.6779736665922784E-2"/>
                  <c:y val="-1.7652250661959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AD1-46E7-BB5A-7AFC8C25DC1E}"/>
                </c:ext>
              </c:extLst>
            </c:dLbl>
            <c:dLbl>
              <c:idx val="8"/>
              <c:layout>
                <c:manualLayout>
                  <c:x val="-4.1251361101029053E-2"/>
                  <c:y val="-2.2065444374197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AD1-46E7-BB5A-7AFC8C25DC1E}"/>
                </c:ext>
              </c:extLst>
            </c:dLbl>
            <c:dLbl>
              <c:idx val="9"/>
              <c:layout>
                <c:manualLayout>
                  <c:x val="-9.407337723424270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5A-264D-AF4D-734E2E9574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Hoja1!$A$2:$A$11</c:f>
              <c:numCache>
                <c:formatCode>General</c:formatCode>
                <c:ptCount val="10"/>
                <c:pt idx="0">
                  <c:v>1993</c:v>
                </c:pt>
                <c:pt idx="1">
                  <c:v>1995</c:v>
                </c:pt>
                <c:pt idx="2">
                  <c:v>1997</c:v>
                </c:pt>
                <c:pt idx="3">
                  <c:v>2001</c:v>
                </c:pt>
                <c:pt idx="4">
                  <c:v>2003</c:v>
                </c:pt>
                <c:pt idx="5">
                  <c:v>2006</c:v>
                </c:pt>
                <c:pt idx="6">
                  <c:v>2011</c:v>
                </c:pt>
                <c:pt idx="7">
                  <c:v>2014</c:v>
                </c:pt>
                <c:pt idx="8">
                  <c:v>2017</c:v>
                </c:pt>
                <c:pt idx="9">
                  <c:v>2020</c:v>
                </c:pt>
              </c:numCache>
            </c:numRef>
          </c:cat>
          <c:val>
            <c:numRef>
              <c:f>Hoja1!$D$2:$D$11</c:f>
              <c:numCache>
                <c:formatCode>0%</c:formatCode>
                <c:ptCount val="10"/>
                <c:pt idx="0">
                  <c:v>0.11</c:v>
                </c:pt>
                <c:pt idx="1">
                  <c:v>0.11</c:v>
                </c:pt>
                <c:pt idx="2">
                  <c:v>0.12</c:v>
                </c:pt>
                <c:pt idx="3">
                  <c:v>0.11</c:v>
                </c:pt>
                <c:pt idx="4">
                  <c:v>0.13</c:v>
                </c:pt>
                <c:pt idx="5">
                  <c:v>0.15</c:v>
                </c:pt>
                <c:pt idx="6">
                  <c:v>0.14000000000000001</c:v>
                </c:pt>
                <c:pt idx="7">
                  <c:v>0.18</c:v>
                </c:pt>
                <c:pt idx="8">
                  <c:v>0.16</c:v>
                </c:pt>
                <c:pt idx="9">
                  <c:v>0.15</c:v>
                </c:pt>
              </c:numCache>
            </c:numRef>
          </c:val>
          <c:smooth val="0"/>
          <c:extLst>
            <c:ext xmlns:c16="http://schemas.microsoft.com/office/drawing/2014/chart" uri="{C3380CC4-5D6E-409C-BE32-E72D297353CC}">
              <c16:uniqueId val="{00000024-4AD1-46E7-BB5A-7AFC8C25DC1E}"/>
            </c:ext>
          </c:extLst>
        </c:ser>
        <c:ser>
          <c:idx val="3"/>
          <c:order val="3"/>
          <c:tx>
            <c:strRef>
              <c:f>Hoja1!$E$1</c:f>
              <c:strCache>
                <c:ptCount val="1"/>
                <c:pt idx="0">
                  <c:v>Con esfuerzo físico</c:v>
                </c:pt>
              </c:strCache>
            </c:strRef>
          </c:tx>
          <c:spPr>
            <a:ln w="19050" cap="rnd">
              <a:solidFill>
                <a:srgbClr val="4472C4">
                  <a:lumMod val="60000"/>
                  <a:lumOff val="40000"/>
                </a:srgbClr>
              </a:solidFill>
              <a:prstDash val="sysDot"/>
              <a:round/>
            </a:ln>
            <a:effectLst/>
          </c:spPr>
          <c:marker>
            <c:symbol val="circle"/>
            <c:size val="5"/>
            <c:spPr>
              <a:noFill/>
              <a:ln w="9525">
                <a:noFill/>
                <a:prstDash val="sysDot"/>
              </a:ln>
              <a:effectLst/>
            </c:spPr>
          </c:marker>
          <c:dLbls>
            <c:dLbl>
              <c:idx val="0"/>
              <c:layout>
                <c:manualLayout>
                  <c:x val="-1.7853157777281858E-2"/>
                  <c:y val="-2.2065313327449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AD1-46E7-BB5A-7AFC8C25DC1E}"/>
                </c:ext>
              </c:extLst>
            </c:dLbl>
            <c:dLbl>
              <c:idx val="1"/>
              <c:layout>
                <c:manualLayout>
                  <c:x val="-2.6779736665922784E-2"/>
                  <c:y val="-1.7652250661959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AD1-46E7-BB5A-7AFC8C25DC1E}"/>
                </c:ext>
              </c:extLst>
            </c:dLbl>
            <c:dLbl>
              <c:idx val="2"/>
              <c:layout>
                <c:manualLayout>
                  <c:x val="-2.231644722160232E-2"/>
                  <c:y val="-1.7652250661959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AD1-46E7-BB5A-7AFC8C25DC1E}"/>
                </c:ext>
              </c:extLst>
            </c:dLbl>
            <c:dLbl>
              <c:idx val="3"/>
              <c:layout>
                <c:manualLayout>
                  <c:x val="-2.6779736665922784E-2"/>
                  <c:y val="-1.7652250661959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4AD1-46E7-BB5A-7AFC8C25DC1E}"/>
                </c:ext>
              </c:extLst>
            </c:dLbl>
            <c:dLbl>
              <c:idx val="4"/>
              <c:layout>
                <c:manualLayout>
                  <c:x val="-2.4548091943762552E-2"/>
                  <c:y val="-2.2065313327449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4AD1-46E7-BB5A-7AFC8C25DC1E}"/>
                </c:ext>
              </c:extLst>
            </c:dLbl>
            <c:dLbl>
              <c:idx val="5"/>
              <c:layout>
                <c:manualLayout>
                  <c:x val="-2.008480249944217E-2"/>
                  <c:y val="-1.7652250661959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4AD1-46E7-BB5A-7AFC8C25DC1E}"/>
                </c:ext>
              </c:extLst>
            </c:dLbl>
            <c:dLbl>
              <c:idx val="6"/>
              <c:layout>
                <c:manualLayout>
                  <c:x val="-2.6779736665922867E-2"/>
                  <c:y val="-2.2065313327449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4AD1-46E7-BB5A-7AFC8C25DC1E}"/>
                </c:ext>
              </c:extLst>
            </c:dLbl>
            <c:dLbl>
              <c:idx val="7"/>
              <c:layout>
                <c:manualLayout>
                  <c:x val="-1.3389868332961557E-2"/>
                  <c:y val="-1.7652250661959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4AD1-46E7-BB5A-7AFC8C25DC1E}"/>
                </c:ext>
              </c:extLst>
            </c:dLbl>
            <c:dLbl>
              <c:idx val="8"/>
              <c:layout>
                <c:manualLayout>
                  <c:x val="-2.7260538810823624E-2"/>
                  <c:y val="-2.17075055399097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4AD1-46E7-BB5A-7AFC8C25DC1E}"/>
                </c:ext>
              </c:extLst>
            </c:dLbl>
            <c:dLbl>
              <c:idx val="9"/>
              <c:layout>
                <c:manualLayout>
                  <c:x val="-4.70366886171213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E5A-264D-AF4D-734E2E9574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Hoja1!$A$2:$A$11</c:f>
              <c:numCache>
                <c:formatCode>General</c:formatCode>
                <c:ptCount val="10"/>
                <c:pt idx="0">
                  <c:v>1993</c:v>
                </c:pt>
                <c:pt idx="1">
                  <c:v>1995</c:v>
                </c:pt>
                <c:pt idx="2">
                  <c:v>1997</c:v>
                </c:pt>
                <c:pt idx="3">
                  <c:v>2001</c:v>
                </c:pt>
                <c:pt idx="4">
                  <c:v>2003</c:v>
                </c:pt>
                <c:pt idx="5">
                  <c:v>2006</c:v>
                </c:pt>
                <c:pt idx="6">
                  <c:v>2011</c:v>
                </c:pt>
                <c:pt idx="7">
                  <c:v>2014</c:v>
                </c:pt>
                <c:pt idx="8">
                  <c:v>2017</c:v>
                </c:pt>
                <c:pt idx="9">
                  <c:v>2020</c:v>
                </c:pt>
              </c:numCache>
            </c:numRef>
          </c:cat>
          <c:val>
            <c:numRef>
              <c:f>Hoja1!$E$2:$E$11</c:f>
              <c:numCache>
                <c:formatCode>0%</c:formatCode>
                <c:ptCount val="10"/>
                <c:pt idx="0">
                  <c:v>0.04</c:v>
                </c:pt>
                <c:pt idx="1">
                  <c:v>0.04</c:v>
                </c:pt>
                <c:pt idx="2">
                  <c:v>0.04</c:v>
                </c:pt>
                <c:pt idx="3">
                  <c:v>0.04</c:v>
                </c:pt>
                <c:pt idx="4">
                  <c:v>0.08</c:v>
                </c:pt>
                <c:pt idx="5">
                  <c:v>0.05</c:v>
                </c:pt>
                <c:pt idx="6">
                  <c:v>0.04</c:v>
                </c:pt>
                <c:pt idx="7">
                  <c:v>0.05</c:v>
                </c:pt>
                <c:pt idx="8">
                  <c:v>0.04</c:v>
                </c:pt>
                <c:pt idx="9">
                  <c:v>7.0000000000000007E-2</c:v>
                </c:pt>
              </c:numCache>
            </c:numRef>
          </c:val>
          <c:smooth val="0"/>
          <c:extLst>
            <c:ext xmlns:c16="http://schemas.microsoft.com/office/drawing/2014/chart" uri="{C3380CC4-5D6E-409C-BE32-E72D297353CC}">
              <c16:uniqueId val="{0000002E-4AD1-46E7-BB5A-7AFC8C25DC1E}"/>
            </c:ext>
          </c:extLst>
        </c:ser>
        <c:dLbls>
          <c:showLegendKey val="0"/>
          <c:showVal val="0"/>
          <c:showCatName val="0"/>
          <c:showSerName val="0"/>
          <c:showPercent val="0"/>
          <c:showBubbleSize val="0"/>
        </c:dLbls>
        <c:marker val="1"/>
        <c:smooth val="0"/>
        <c:axId val="-1306843600"/>
        <c:axId val="-1306843056"/>
      </c:lineChart>
      <c:lineChart>
        <c:grouping val="standard"/>
        <c:varyColors val="0"/>
        <c:ser>
          <c:idx val="0"/>
          <c:order val="0"/>
          <c:tx>
            <c:strRef>
              <c:f>Hoja1!$B$1</c:f>
              <c:strCache>
                <c:ptCount val="1"/>
                <c:pt idx="0">
                  <c:v>De pie sin esfuerzo</c:v>
                </c:pt>
              </c:strCache>
            </c:strRef>
          </c:tx>
          <c:spPr>
            <a:ln w="19050" cap="rnd" cmpd="sng">
              <a:solidFill>
                <a:srgbClr val="4472C4">
                  <a:lumMod val="75000"/>
                </a:srgbClr>
              </a:solidFill>
              <a:round/>
            </a:ln>
            <a:effectLst/>
          </c:spPr>
          <c:marker>
            <c:symbol val="circle"/>
            <c:size val="5"/>
            <c:spPr>
              <a:noFill/>
              <a:ln w="19050">
                <a:noFill/>
              </a:ln>
              <a:effectLst/>
            </c:spPr>
          </c:marker>
          <c:dPt>
            <c:idx val="4"/>
            <c:bubble3D val="0"/>
            <c:spPr>
              <a:ln w="19050" cap="rnd" cmpd="sng">
                <a:solidFill>
                  <a:srgbClr val="4472C4">
                    <a:lumMod val="75000"/>
                  </a:srgbClr>
                </a:solidFill>
                <a:prstDash val="solid"/>
                <a:round/>
              </a:ln>
              <a:effectLst/>
            </c:spPr>
            <c:extLst>
              <c:ext xmlns:c16="http://schemas.microsoft.com/office/drawing/2014/chart" uri="{C3380CC4-5D6E-409C-BE32-E72D297353CC}">
                <c16:uniqueId val="{00000001-4AD1-46E7-BB5A-7AFC8C25DC1E}"/>
              </c:ext>
            </c:extLst>
          </c:dPt>
          <c:dPt>
            <c:idx val="5"/>
            <c:bubble3D val="0"/>
            <c:spPr>
              <a:ln w="19050" cap="rnd" cmpd="sng">
                <a:solidFill>
                  <a:srgbClr val="4472C4">
                    <a:lumMod val="75000"/>
                  </a:srgbClr>
                </a:solidFill>
                <a:prstDash val="solid"/>
                <a:round/>
              </a:ln>
              <a:effectLst/>
            </c:spPr>
            <c:extLst>
              <c:ext xmlns:c16="http://schemas.microsoft.com/office/drawing/2014/chart" uri="{C3380CC4-5D6E-409C-BE32-E72D297353CC}">
                <c16:uniqueId val="{00000003-4AD1-46E7-BB5A-7AFC8C25DC1E}"/>
              </c:ext>
            </c:extLst>
          </c:dPt>
          <c:dPt>
            <c:idx val="6"/>
            <c:bubble3D val="0"/>
            <c:spPr>
              <a:ln w="19050" cap="rnd" cmpd="sng">
                <a:solidFill>
                  <a:srgbClr val="4472C4">
                    <a:lumMod val="75000"/>
                  </a:srgbClr>
                </a:solidFill>
                <a:prstDash val="solid"/>
                <a:round/>
              </a:ln>
              <a:effectLst/>
            </c:spPr>
            <c:extLst>
              <c:ext xmlns:c16="http://schemas.microsoft.com/office/drawing/2014/chart" uri="{C3380CC4-5D6E-409C-BE32-E72D297353CC}">
                <c16:uniqueId val="{00000005-4AD1-46E7-BB5A-7AFC8C25DC1E}"/>
              </c:ext>
            </c:extLst>
          </c:dPt>
          <c:dPt>
            <c:idx val="7"/>
            <c:bubble3D val="0"/>
            <c:spPr>
              <a:ln w="19050" cap="rnd" cmpd="sng">
                <a:solidFill>
                  <a:srgbClr val="4472C4">
                    <a:lumMod val="75000"/>
                  </a:srgbClr>
                </a:solidFill>
                <a:prstDash val="solid"/>
                <a:round/>
              </a:ln>
              <a:effectLst/>
            </c:spPr>
            <c:extLst>
              <c:ext xmlns:c16="http://schemas.microsoft.com/office/drawing/2014/chart" uri="{C3380CC4-5D6E-409C-BE32-E72D297353CC}">
                <c16:uniqueId val="{00000007-4AD1-46E7-BB5A-7AFC8C25DC1E}"/>
              </c:ext>
            </c:extLst>
          </c:dPt>
          <c:dLbls>
            <c:dLbl>
              <c:idx val="0"/>
              <c:layout>
                <c:manualLayout>
                  <c:x val="-2.6967581406709344E-2"/>
                  <c:y val="-3.08914386584289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D1-46E7-BB5A-7AFC8C25DC1E}"/>
                </c:ext>
              </c:extLst>
            </c:dLbl>
            <c:dLbl>
              <c:idx val="1"/>
              <c:layout>
                <c:manualLayout>
                  <c:x val="-3.2990210635632206E-2"/>
                  <c:y val="-2.3809689278690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AD1-46E7-BB5A-7AFC8C25DC1E}"/>
                </c:ext>
              </c:extLst>
            </c:dLbl>
            <c:dLbl>
              <c:idx val="2"/>
              <c:layout>
                <c:manualLayout>
                  <c:x val="-3.2407413107763405E-2"/>
                  <c:y val="-3.2635814609669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AD1-46E7-BB5A-7AFC8C25DC1E}"/>
                </c:ext>
              </c:extLst>
            </c:dLbl>
            <c:dLbl>
              <c:idx val="3"/>
              <c:layout>
                <c:manualLayout>
                  <c:x val="-2.7366290215731514E-2"/>
                  <c:y val="-2.3364560674399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AD1-46E7-BB5A-7AFC8C25DC1E}"/>
                </c:ext>
              </c:extLst>
            </c:dLbl>
            <c:dLbl>
              <c:idx val="4"/>
              <c:layout>
                <c:manualLayout>
                  <c:x val="-2.2985478254023767E-2"/>
                  <c:y val="-2.45069937648745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D1-46E7-BB5A-7AFC8C25DC1E}"/>
                </c:ext>
              </c:extLst>
            </c:dLbl>
            <c:dLbl>
              <c:idx val="5"/>
              <c:layout>
                <c:manualLayout>
                  <c:x val="-3.4722213671688318E-2"/>
                  <c:y val="-3.2190686005379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D1-46E7-BB5A-7AFC8C25DC1E}"/>
                </c:ext>
              </c:extLst>
            </c:dLbl>
            <c:dLbl>
              <c:idx val="6"/>
              <c:layout>
                <c:manualLayout>
                  <c:x val="-3.6359570818741263E-2"/>
                  <c:y val="-3.6063202960804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D1-46E7-BB5A-7AFC8C25DC1E}"/>
                </c:ext>
              </c:extLst>
            </c:dLbl>
            <c:dLbl>
              <c:idx val="7"/>
              <c:layout>
                <c:manualLayout>
                  <c:x val="-3.5403717018418206E-2"/>
                  <c:y val="-4.0031268584586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D1-46E7-BB5A-7AFC8C25DC1E}"/>
                </c:ext>
              </c:extLst>
            </c:dLbl>
            <c:dLbl>
              <c:idx val="8"/>
              <c:layout>
                <c:manualLayout>
                  <c:x val="-2.231644722160232E-2"/>
                  <c:y val="-1.765225066195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AD1-46E7-BB5A-7AFC8C25DC1E}"/>
                </c:ext>
              </c:extLst>
            </c:dLbl>
            <c:dLbl>
              <c:idx val="9"/>
              <c:layout>
                <c:manualLayout>
                  <c:x val="-9.4073377234242701E-3"/>
                  <c:y val="-1.21654501216545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E5A-264D-AF4D-734E2E95743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Hoja1!$A$2:$A$11</c:f>
              <c:numCache>
                <c:formatCode>General</c:formatCode>
                <c:ptCount val="10"/>
                <c:pt idx="0">
                  <c:v>1993</c:v>
                </c:pt>
                <c:pt idx="1">
                  <c:v>1995</c:v>
                </c:pt>
                <c:pt idx="2">
                  <c:v>1997</c:v>
                </c:pt>
                <c:pt idx="3">
                  <c:v>2001</c:v>
                </c:pt>
                <c:pt idx="4">
                  <c:v>2003</c:v>
                </c:pt>
                <c:pt idx="5">
                  <c:v>2006</c:v>
                </c:pt>
                <c:pt idx="6">
                  <c:v>2011</c:v>
                </c:pt>
                <c:pt idx="7">
                  <c:v>2014</c:v>
                </c:pt>
                <c:pt idx="8">
                  <c:v>2017</c:v>
                </c:pt>
                <c:pt idx="9">
                  <c:v>2020</c:v>
                </c:pt>
              </c:numCache>
            </c:numRef>
          </c:cat>
          <c:val>
            <c:numRef>
              <c:f>Hoja1!$B$2:$B$11</c:f>
              <c:numCache>
                <c:formatCode>0%</c:formatCode>
                <c:ptCount val="10"/>
                <c:pt idx="0">
                  <c:v>0.51</c:v>
                </c:pt>
                <c:pt idx="1">
                  <c:v>0.53</c:v>
                </c:pt>
                <c:pt idx="2">
                  <c:v>0.51</c:v>
                </c:pt>
                <c:pt idx="3">
                  <c:v>0.51</c:v>
                </c:pt>
                <c:pt idx="4">
                  <c:v>0.46</c:v>
                </c:pt>
                <c:pt idx="5">
                  <c:v>0.47</c:v>
                </c:pt>
                <c:pt idx="6">
                  <c:v>0.45</c:v>
                </c:pt>
                <c:pt idx="7">
                  <c:v>0.41</c:v>
                </c:pt>
                <c:pt idx="8">
                  <c:v>0.41</c:v>
                </c:pt>
                <c:pt idx="9">
                  <c:v>0.4</c:v>
                </c:pt>
              </c:numCache>
            </c:numRef>
          </c:val>
          <c:smooth val="0"/>
          <c:extLst>
            <c:ext xmlns:c16="http://schemas.microsoft.com/office/drawing/2014/chart" uri="{C3380CC4-5D6E-409C-BE32-E72D297353CC}">
              <c16:uniqueId val="{0000000D-4AD1-46E7-BB5A-7AFC8C25DC1E}"/>
            </c:ext>
          </c:extLst>
        </c:ser>
        <c:dLbls>
          <c:showLegendKey val="0"/>
          <c:showVal val="0"/>
          <c:showCatName val="0"/>
          <c:showSerName val="0"/>
          <c:showPercent val="0"/>
          <c:showBubbleSize val="0"/>
        </c:dLbls>
        <c:marker val="1"/>
        <c:smooth val="0"/>
        <c:axId val="-1306847408"/>
        <c:axId val="-1306849040"/>
      </c:lineChart>
      <c:catAx>
        <c:axId val="-130684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43056"/>
        <c:crosses val="autoZero"/>
        <c:auto val="1"/>
        <c:lblAlgn val="ctr"/>
        <c:lblOffset val="100"/>
        <c:noMultiLvlLbl val="0"/>
      </c:catAx>
      <c:valAx>
        <c:axId val="-1306843056"/>
        <c:scaling>
          <c:orientation val="minMax"/>
          <c:max val="0.60000000000000009"/>
          <c:min val="0"/>
        </c:scaling>
        <c:delete val="0"/>
        <c:axPos val="l"/>
        <c:numFmt formatCode="0%" sourceLinked="1"/>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43600"/>
        <c:crosses val="autoZero"/>
        <c:crossBetween val="between"/>
        <c:minorUnit val="2.0000000000000004E-2"/>
      </c:valAx>
      <c:valAx>
        <c:axId val="-1306849040"/>
        <c:scaling>
          <c:orientation val="minMax"/>
        </c:scaling>
        <c:delete val="1"/>
        <c:axPos val="r"/>
        <c:numFmt formatCode="0%" sourceLinked="1"/>
        <c:majorTickMark val="out"/>
        <c:minorTickMark val="none"/>
        <c:tickLblPos val="nextTo"/>
        <c:crossAx val="-1306847408"/>
        <c:crosses val="max"/>
        <c:crossBetween val="between"/>
      </c:valAx>
      <c:catAx>
        <c:axId val="-1306847408"/>
        <c:scaling>
          <c:orientation val="minMax"/>
        </c:scaling>
        <c:delete val="1"/>
        <c:axPos val="b"/>
        <c:numFmt formatCode="General" sourceLinked="1"/>
        <c:majorTickMark val="out"/>
        <c:minorTickMark val="none"/>
        <c:tickLblPos val="nextTo"/>
        <c:crossAx val="-13068490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legend>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280070594623954E-2"/>
          <c:y val="4.7846994217973685E-2"/>
          <c:w val="0.8914648780379405"/>
          <c:h val="0.73738501322021099"/>
        </c:manualLayout>
      </c:layout>
      <c:lineChart>
        <c:grouping val="standard"/>
        <c:varyColors val="0"/>
        <c:ser>
          <c:idx val="0"/>
          <c:order val="0"/>
          <c:tx>
            <c:strRef>
              <c:f>Hoja1!#REF!</c:f>
              <c:strCache>
                <c:ptCount val="1"/>
                <c:pt idx="0">
                  <c:v>#REF!</c:v>
                </c:pt>
              </c:strCache>
            </c:strRef>
          </c:tx>
          <c:spPr>
            <a:ln>
              <a:solidFill>
                <a:schemeClr val="tx1"/>
              </a:solidFill>
            </a:ln>
          </c:spPr>
          <c:marker>
            <c:symbol val="none"/>
          </c:marker>
          <c:cat>
            <c:numRef>
              <c:f>Hoja1!$A$2:$A$4</c:f>
              <c:numCache>
                <c:formatCode>General</c:formatCode>
                <c:ptCount val="3"/>
                <c:pt idx="0">
                  <c:v>2000</c:v>
                </c:pt>
                <c:pt idx="1">
                  <c:v>2010</c:v>
                </c:pt>
                <c:pt idx="2">
                  <c:v>2022</c:v>
                </c:pt>
              </c:numCache>
            </c:numRef>
          </c:cat>
          <c:val>
            <c:numRef>
              <c:f>Hoja1!#REF!</c:f>
              <c:numCache>
                <c:formatCode>General</c:formatCode>
                <c:ptCount val="1"/>
                <c:pt idx="0">
                  <c:v>1</c:v>
                </c:pt>
              </c:numCache>
            </c:numRef>
          </c:val>
          <c:smooth val="0"/>
          <c:extLst>
            <c:ext xmlns:c16="http://schemas.microsoft.com/office/drawing/2014/chart" uri="{C3380CC4-5D6E-409C-BE32-E72D297353CC}">
              <c16:uniqueId val="{00000000-8B45-E345-AD7F-0A19F2EAA70A}"/>
            </c:ext>
          </c:extLst>
        </c:ser>
        <c:ser>
          <c:idx val="1"/>
          <c:order val="1"/>
          <c:tx>
            <c:strRef>
              <c:f>Hoja1!$C$1</c:f>
              <c:strCache>
                <c:ptCount val="1"/>
                <c:pt idx="0">
                  <c:v>Falta de tiempo</c:v>
                </c:pt>
              </c:strCache>
            </c:strRef>
          </c:tx>
          <c:spPr>
            <a:ln w="19050">
              <a:solidFill>
                <a:schemeClr val="accent1">
                  <a:lumMod val="60000"/>
                  <a:lumOff val="40000"/>
                </a:schemeClr>
              </a:solidFill>
            </a:ln>
          </c:spPr>
          <c:marker>
            <c:symbol val="none"/>
          </c:marker>
          <c:dLbls>
            <c:dLbl>
              <c:idx val="2"/>
              <c:layout>
                <c:manualLayout>
                  <c:x val="-4.3103448275863127E-3"/>
                  <c:y val="-8.2475351559303679E-3"/>
                </c:manualLayout>
              </c:layout>
              <c:tx>
                <c:rich>
                  <a:bodyPr/>
                  <a:lstStyle/>
                  <a:p>
                    <a:fld id="{631DA486-9080-47CE-BC22-55C9A428DEF7}" type="VALUE">
                      <a:rPr lang="en-US" smtClean="0"/>
                      <a:pPr/>
                      <a:t>[VALOR]</a:t>
                    </a:fld>
                    <a:r>
                      <a:rPr lang="en-US"/>
                      <a:t> Falta de tiempo</a:t>
                    </a:r>
                    <a:r>
                      <a:rPr lang="en-US" dirty="0"/>
                      <a:t> </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B45-E345-AD7F-0A19F2EAA70A}"/>
                </c:ext>
              </c:extLst>
            </c:dLbl>
            <c:dLbl>
              <c:idx val="5"/>
              <c:layout>
                <c:manualLayout>
                  <c:x val="-3.5277516462841101E-2"/>
                  <c:y val="-7.2566014916347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B45-E345-AD7F-0A19F2EAA70A}"/>
                </c:ext>
              </c:extLst>
            </c:dLbl>
            <c:dLbl>
              <c:idx val="6"/>
              <c:layout>
                <c:manualLayout>
                  <c:x val="-2.3518344308561538E-3"/>
                  <c:y val="-2.41886716387825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B45-E345-AD7F-0A19F2EAA70A}"/>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Hoja1!$C$2:$C$4</c:f>
              <c:numCache>
                <c:formatCode>0%</c:formatCode>
                <c:ptCount val="3"/>
                <c:pt idx="0">
                  <c:v>0.06</c:v>
                </c:pt>
                <c:pt idx="1">
                  <c:v>0.08</c:v>
                </c:pt>
                <c:pt idx="2">
                  <c:v>0.35</c:v>
                </c:pt>
              </c:numCache>
            </c:numRef>
          </c:val>
          <c:smooth val="0"/>
          <c:extLst>
            <c:ext xmlns:c16="http://schemas.microsoft.com/office/drawing/2014/chart" uri="{C3380CC4-5D6E-409C-BE32-E72D297353CC}">
              <c16:uniqueId val="{00000004-8B45-E345-AD7F-0A19F2EAA70A}"/>
            </c:ext>
          </c:extLst>
        </c:ser>
        <c:ser>
          <c:idx val="2"/>
          <c:order val="2"/>
          <c:tx>
            <c:strRef>
              <c:f>Hoja1!$D$1</c:f>
              <c:strCache>
                <c:ptCount val="1"/>
                <c:pt idx="0">
                  <c:v>Falta de interés o gusto por el deporte</c:v>
                </c:pt>
              </c:strCache>
            </c:strRef>
          </c:tx>
          <c:spPr>
            <a:ln w="19050">
              <a:solidFill>
                <a:schemeClr val="accent1">
                  <a:lumMod val="75000"/>
                </a:schemeClr>
              </a:solidFill>
              <a:prstDash val="dash"/>
            </a:ln>
          </c:spPr>
          <c:marker>
            <c:symbol val="none"/>
          </c:marker>
          <c:dLbls>
            <c:dLbl>
              <c:idx val="2"/>
              <c:layout>
                <c:manualLayout>
                  <c:x val="-2.9309958050115531E-3"/>
                  <c:y val="-2.7491783853101225E-3"/>
                </c:manualLayout>
              </c:layout>
              <c:tx>
                <c:rich>
                  <a:bodyPr/>
                  <a:lstStyle/>
                  <a:p>
                    <a:fld id="{C7DEA54D-2F78-4A41-BCD9-A220F0993A0F}" type="VALUE">
                      <a:rPr lang="en-US" smtClean="0"/>
                      <a:pPr/>
                      <a:t>[VALOR]</a:t>
                    </a:fld>
                    <a:r>
                      <a:rPr lang="en-US"/>
                      <a:t> Falta de interés o gusto por el deporte</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B45-E345-AD7F-0A19F2EAA70A}"/>
                </c:ext>
              </c:extLst>
            </c:dLbl>
            <c:dLbl>
              <c:idx val="6"/>
              <c:layout>
                <c:manualLayout>
                  <c:x val="-4.7036688617121351E-3"/>
                  <c:y val="8.06289054626079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B45-E345-AD7F-0A19F2EAA70A}"/>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Hoja1!$D$2:$D$4</c:f>
              <c:numCache>
                <c:formatCode>0%</c:formatCode>
                <c:ptCount val="3"/>
                <c:pt idx="0">
                  <c:v>0.14000000000000001</c:v>
                </c:pt>
                <c:pt idx="1">
                  <c:v>0.13</c:v>
                </c:pt>
                <c:pt idx="2">
                  <c:v>0.26</c:v>
                </c:pt>
              </c:numCache>
            </c:numRef>
          </c:val>
          <c:smooth val="0"/>
          <c:extLst>
            <c:ext xmlns:c16="http://schemas.microsoft.com/office/drawing/2014/chart" uri="{C3380CC4-5D6E-409C-BE32-E72D297353CC}">
              <c16:uniqueId val="{00000007-8B45-E345-AD7F-0A19F2EAA70A}"/>
            </c:ext>
          </c:extLst>
        </c:ser>
        <c:ser>
          <c:idx val="3"/>
          <c:order val="3"/>
          <c:tx>
            <c:strRef>
              <c:f>Hoja1!$E$1</c:f>
              <c:strCache>
                <c:ptCount val="1"/>
                <c:pt idx="0">
                  <c:v>Motivos de salud</c:v>
                </c:pt>
              </c:strCache>
            </c:strRef>
          </c:tx>
          <c:spPr>
            <a:ln w="19050">
              <a:solidFill>
                <a:schemeClr val="accent1">
                  <a:lumMod val="75000"/>
                </a:schemeClr>
              </a:solidFill>
              <a:prstDash val="sysDot"/>
            </a:ln>
          </c:spPr>
          <c:marker>
            <c:symbol val="none"/>
          </c:marker>
          <c:dLbls>
            <c:dLbl>
              <c:idx val="2"/>
              <c:layout>
                <c:manualLayout>
                  <c:x val="-2.06276249805557E-3"/>
                  <c:y val="-2.8359386349769079E-2"/>
                </c:manualLayout>
              </c:layout>
              <c:tx>
                <c:rich>
                  <a:bodyPr wrap="square" lIns="38100" tIns="19050" rIns="38100" bIns="19050" anchor="ctr">
                    <a:noAutofit/>
                  </a:bodyPr>
                  <a:lstStyle/>
                  <a:p>
                    <a:pPr>
                      <a:defRPr sz="800" b="0">
                        <a:latin typeface="+mn-lt"/>
                        <a:cs typeface="Times New Roman" panose="02020603050405020304" pitchFamily="18" charset="0"/>
                      </a:defRPr>
                    </a:pPr>
                    <a:fld id="{F1B1E83B-7EA0-4A63-9B0B-06F5D870D74A}" type="VALUE">
                      <a:rPr lang="en-US" sz="800" b="0" smtClean="0">
                        <a:latin typeface="+mn-lt"/>
                        <a:cs typeface="Times New Roman" panose="02020603050405020304" pitchFamily="18" charset="0"/>
                      </a:rPr>
                      <a:pPr>
                        <a:defRPr sz="800" b="0">
                          <a:latin typeface="+mn-lt"/>
                          <a:cs typeface="Times New Roman" panose="02020603050405020304" pitchFamily="18" charset="0"/>
                        </a:defRPr>
                      </a:pPr>
                      <a:t>[VALOR]</a:t>
                    </a:fld>
                    <a:r>
                      <a:rPr lang="en-US" sz="800" b="0">
                        <a:latin typeface="+mn-lt"/>
                        <a:cs typeface="Times New Roman" panose="02020603050405020304" pitchFamily="18" charset="0"/>
                      </a:rPr>
                      <a:t> Motivos de salud</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8785046036696024"/>
                      <c:h val="6.0941395240724054E-2"/>
                    </c:manualLayout>
                  </c15:layout>
                  <c15:dlblFieldTable/>
                  <c15:showDataLabelsRange val="0"/>
                </c:ext>
                <c:ext xmlns:c16="http://schemas.microsoft.com/office/drawing/2014/chart" uri="{C3380CC4-5D6E-409C-BE32-E72D297353CC}">
                  <c16:uniqueId val="{00000008-8B45-E345-AD7F-0A19F2EAA70A}"/>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B45-E345-AD7F-0A19F2EAA70A}"/>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Hoja1!$E$2:$E$4</c:f>
              <c:numCache>
                <c:formatCode>0%</c:formatCode>
                <c:ptCount val="3"/>
                <c:pt idx="0">
                  <c:v>0.12</c:v>
                </c:pt>
                <c:pt idx="1">
                  <c:v>0.15</c:v>
                </c:pt>
                <c:pt idx="2">
                  <c:v>0.11</c:v>
                </c:pt>
              </c:numCache>
            </c:numRef>
          </c:val>
          <c:smooth val="0"/>
          <c:extLst>
            <c:ext xmlns:c16="http://schemas.microsoft.com/office/drawing/2014/chart" uri="{C3380CC4-5D6E-409C-BE32-E72D297353CC}">
              <c16:uniqueId val="{0000000A-8B45-E345-AD7F-0A19F2EAA70A}"/>
            </c:ext>
          </c:extLst>
        </c:ser>
        <c:ser>
          <c:idx val="4"/>
          <c:order val="4"/>
          <c:tx>
            <c:strRef>
              <c:f>Hoja1!$F$1</c:f>
              <c:strCache>
                <c:ptCount val="1"/>
                <c:pt idx="0">
                  <c:v>Por la edad</c:v>
                </c:pt>
              </c:strCache>
            </c:strRef>
          </c:tx>
          <c:spPr>
            <a:ln w="19050">
              <a:solidFill>
                <a:schemeClr val="accent1">
                  <a:lumMod val="60000"/>
                  <a:lumOff val="40000"/>
                </a:schemeClr>
              </a:solidFill>
              <a:prstDash val="sysDash"/>
            </a:ln>
          </c:spPr>
          <c:marker>
            <c:symbol val="none"/>
          </c:marker>
          <c:dLbls>
            <c:dLbl>
              <c:idx val="2"/>
              <c:layout>
                <c:manualLayout>
                  <c:x val="-2.0172257983274197E-2"/>
                  <c:y val="1.4613417787721183E-2"/>
                </c:manualLayout>
              </c:layout>
              <c:tx>
                <c:rich>
                  <a:bodyPr/>
                  <a:lstStyle/>
                  <a:p>
                    <a:fld id="{E84A9C73-AD14-47B5-B51B-77C935EC752E}" type="VALUE">
                      <a:rPr lang="en-US" sz="800" b="0" smtClean="0">
                        <a:latin typeface="Times New Roman" panose="02020603050405020304" pitchFamily="18" charset="0"/>
                        <a:cs typeface="Times New Roman" panose="02020603050405020304" pitchFamily="18" charset="0"/>
                      </a:rPr>
                      <a:pPr/>
                      <a:t>[VALOR]</a:t>
                    </a:fld>
                    <a:r>
                      <a:rPr lang="en-US" sz="800" b="0">
                        <a:latin typeface="Times New Roman" panose="02020603050405020304" pitchFamily="18" charset="0"/>
                        <a:cs typeface="Times New Roman" panose="02020603050405020304" pitchFamily="18" charset="0"/>
                      </a:rPr>
                      <a:t> Por la edad</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8B45-E345-AD7F-0A19F2EAA70A}"/>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B45-E345-AD7F-0A19F2EAA70A}"/>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Hoja1!$F$2:$F$4</c:f>
              <c:numCache>
                <c:formatCode>0%</c:formatCode>
                <c:ptCount val="3"/>
                <c:pt idx="0">
                  <c:v>0.1</c:v>
                </c:pt>
                <c:pt idx="1">
                  <c:v>0.09</c:v>
                </c:pt>
                <c:pt idx="2">
                  <c:v>0.11</c:v>
                </c:pt>
              </c:numCache>
            </c:numRef>
          </c:val>
          <c:smooth val="0"/>
          <c:extLst>
            <c:ext xmlns:c16="http://schemas.microsoft.com/office/drawing/2014/chart" uri="{C3380CC4-5D6E-409C-BE32-E72D297353CC}">
              <c16:uniqueId val="{0000000D-8B45-E345-AD7F-0A19F2EAA70A}"/>
            </c:ext>
          </c:extLst>
        </c:ser>
        <c:ser>
          <c:idx val="5"/>
          <c:order val="5"/>
          <c:tx>
            <c:strRef>
              <c:f>Hoja1!$G$1</c:f>
              <c:strCache>
                <c:ptCount val="1"/>
                <c:pt idx="0">
                  <c:v>Falta de instalaciones cercanas</c:v>
                </c:pt>
              </c:strCache>
            </c:strRef>
          </c:tx>
          <c:spPr>
            <a:ln>
              <a:solidFill>
                <a:schemeClr val="bg1">
                  <a:lumMod val="50000"/>
                </a:schemeClr>
              </a:solidFill>
              <a:prstDash val="sysDot"/>
            </a:ln>
          </c:spPr>
          <c:marker>
            <c:symbol val="none"/>
          </c:marker>
          <c:dLbls>
            <c:dLbl>
              <c:idx val="2"/>
              <c:layout>
                <c:manualLayout>
                  <c:x val="-5.8777342390056372E-4"/>
                  <c:y val="0"/>
                </c:manualLayout>
              </c:layout>
              <c:tx>
                <c:rich>
                  <a:bodyPr/>
                  <a:lstStyle/>
                  <a:p>
                    <a:fld id="{4E76DEA5-40CC-4C00-A3D2-94B5FF40930F}" type="VALUE">
                      <a:rPr lang="en-US" sz="750"/>
                      <a:pPr/>
                      <a:t>[VALOR]</a:t>
                    </a:fld>
                    <a:r>
                      <a:rPr lang="en-US" sz="750"/>
                      <a:t> Falta de instalaciones</a:t>
                    </a:r>
                    <a:r>
                      <a:rPr lang="en-US" sz="750" baseline="0"/>
                      <a:t> cercanas</a:t>
                    </a:r>
                  </a:p>
                </c:rich>
              </c:tx>
              <c:showLegendKey val="0"/>
              <c:showVal val="1"/>
              <c:showCatName val="0"/>
              <c:showSerName val="0"/>
              <c:showPercent val="0"/>
              <c:showBubbleSize val="0"/>
              <c:extLst>
                <c:ext xmlns:c15="http://schemas.microsoft.com/office/drawing/2012/chart" uri="{CE6537A1-D6FC-4f65-9D91-7224C49458BB}">
                  <c15:layout>
                    <c:manualLayout>
                      <c:w val="0.24073395752624055"/>
                      <c:h val="7.8966789667896678E-2"/>
                    </c:manualLayout>
                  </c15:layout>
                  <c15:dlblFieldTable/>
                  <c15:showDataLabelsRange val="0"/>
                </c:ext>
                <c:ext xmlns:c16="http://schemas.microsoft.com/office/drawing/2014/chart" uri="{C3380CC4-5D6E-409C-BE32-E72D297353CC}">
                  <c16:uniqueId val="{0000000E-8B45-E345-AD7F-0A19F2EAA70A}"/>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B45-E345-AD7F-0A19F2EAA70A}"/>
                </c:ext>
              </c:extLst>
            </c:dLbl>
            <c:spPr>
              <a:noFill/>
              <a:ln>
                <a:noFill/>
              </a:ln>
              <a:effectLst/>
            </c:spPr>
            <c:txPr>
              <a:bodyPr wrap="square" lIns="38100" tIns="19050" rIns="38100" bIns="19050" anchor="ctr">
                <a:spAutoFit/>
              </a:bodyPr>
              <a:lstStyle/>
              <a:p>
                <a:pPr>
                  <a:defRPr sz="75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Hoja1!$A$2:$A$4</c:f>
              <c:numCache>
                <c:formatCode>General</c:formatCode>
                <c:ptCount val="3"/>
                <c:pt idx="0">
                  <c:v>2000</c:v>
                </c:pt>
                <c:pt idx="1">
                  <c:v>2010</c:v>
                </c:pt>
                <c:pt idx="2">
                  <c:v>2022</c:v>
                </c:pt>
              </c:numCache>
            </c:numRef>
          </c:cat>
          <c:val>
            <c:numRef>
              <c:f>Hoja1!$G$2:$G$4</c:f>
              <c:numCache>
                <c:formatCode>0%</c:formatCode>
                <c:ptCount val="3"/>
                <c:pt idx="0">
                  <c:v>7.0000000000000007E-2</c:v>
                </c:pt>
                <c:pt idx="1">
                  <c:v>0.04</c:v>
                </c:pt>
                <c:pt idx="2">
                  <c:v>7.0000000000000007E-2</c:v>
                </c:pt>
              </c:numCache>
            </c:numRef>
          </c:val>
          <c:smooth val="0"/>
          <c:extLst>
            <c:ext xmlns:c16="http://schemas.microsoft.com/office/drawing/2014/chart" uri="{C3380CC4-5D6E-409C-BE32-E72D297353CC}">
              <c16:uniqueId val="{00000010-8B45-E345-AD7F-0A19F2EAA70A}"/>
            </c:ext>
          </c:extLst>
        </c:ser>
        <c:ser>
          <c:idx val="6"/>
          <c:order val="6"/>
          <c:tx>
            <c:strRef>
              <c:f>Hoja1!$H$1</c:f>
              <c:strCache>
                <c:ptCount val="1"/>
                <c:pt idx="0">
                  <c:v>Motivos económicos</c:v>
                </c:pt>
              </c:strCache>
            </c:strRef>
          </c:tx>
          <c:spPr>
            <a:ln>
              <a:solidFill>
                <a:schemeClr val="bg1">
                  <a:lumMod val="50000"/>
                </a:schemeClr>
              </a:solidFill>
              <a:prstDash val="lgDash"/>
            </a:ln>
          </c:spPr>
          <c:marker>
            <c:symbol val="none"/>
          </c:marker>
          <c:dLbls>
            <c:dLbl>
              <c:idx val="2"/>
              <c:layout>
                <c:manualLayout>
                  <c:x val="0"/>
                  <c:y val="3.2537989946828466E-2"/>
                </c:manualLayout>
              </c:layout>
              <c:tx>
                <c:rich>
                  <a:bodyPr/>
                  <a:lstStyle/>
                  <a:p>
                    <a:fld id="{317FDE6D-3BE9-4B66-BBD8-3C40464C2C1E}" type="VALUE">
                      <a:rPr lang="en-US"/>
                      <a:pPr/>
                      <a:t>[VALOR]</a:t>
                    </a:fld>
                    <a:r>
                      <a:rPr lang="en-US"/>
                      <a:t> Motivos económicos</a:t>
                    </a:r>
                  </a:p>
                </c:rich>
              </c:tx>
              <c:showLegendKey val="0"/>
              <c:showVal val="1"/>
              <c:showCatName val="0"/>
              <c:showSerName val="0"/>
              <c:showPercent val="0"/>
              <c:showBubbleSize val="0"/>
              <c:extLst>
                <c:ext xmlns:c15="http://schemas.microsoft.com/office/drawing/2012/chart" uri="{CE6537A1-D6FC-4f65-9D91-7224C49458BB}">
                  <c15:layout>
                    <c:manualLayout>
                      <c:w val="0.2139339708594751"/>
                      <c:h val="7.8966789667896678E-2"/>
                    </c:manualLayout>
                  </c15:layout>
                  <c15:dlblFieldTable/>
                  <c15:showDataLabelsRange val="0"/>
                </c:ext>
                <c:ext xmlns:c16="http://schemas.microsoft.com/office/drawing/2014/chart" uri="{C3380CC4-5D6E-409C-BE32-E72D297353CC}">
                  <c16:uniqueId val="{00000011-8B45-E345-AD7F-0A19F2EAA70A}"/>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B45-E345-AD7F-0A19F2EAA70A}"/>
                </c:ext>
              </c:extLst>
            </c:dLbl>
            <c:spPr>
              <a:noFill/>
              <a:ln>
                <a:noFill/>
              </a:ln>
              <a:effectLst/>
            </c:spPr>
            <c:txPr>
              <a:bodyPr wrap="square" lIns="38100" tIns="19050" rIns="38100" bIns="19050" anchor="ctr">
                <a:spAutoFit/>
              </a:bodyPr>
              <a:lstStyle/>
              <a:p>
                <a:pPr>
                  <a:defRPr sz="75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Hoja1!$H$2:$H$4</c:f>
              <c:numCache>
                <c:formatCode>0%</c:formatCode>
                <c:ptCount val="3"/>
                <c:pt idx="0">
                  <c:v>0.01</c:v>
                </c:pt>
                <c:pt idx="1">
                  <c:v>0.02</c:v>
                </c:pt>
                <c:pt idx="2">
                  <c:v>0.06</c:v>
                </c:pt>
              </c:numCache>
            </c:numRef>
          </c:val>
          <c:smooth val="0"/>
          <c:extLst>
            <c:ext xmlns:c16="http://schemas.microsoft.com/office/drawing/2014/chart" uri="{C3380CC4-5D6E-409C-BE32-E72D297353CC}">
              <c16:uniqueId val="{00000013-8B45-E345-AD7F-0A19F2EAA70A}"/>
            </c:ext>
          </c:extLst>
        </c:ser>
        <c:ser>
          <c:idx val="7"/>
          <c:order val="7"/>
          <c:tx>
            <c:strRef>
              <c:f>Hoja1!$B$1</c:f>
              <c:strCache>
                <c:ptCount val="1"/>
                <c:pt idx="0">
                  <c:v>Salir muy cansado o tarde del trabajo</c:v>
                </c:pt>
              </c:strCache>
            </c:strRef>
          </c:tx>
          <c:spPr>
            <a:ln w="19050">
              <a:solidFill>
                <a:schemeClr val="accent1">
                  <a:lumMod val="75000"/>
                </a:schemeClr>
              </a:solidFill>
            </a:ln>
          </c:spPr>
          <c:marker>
            <c:symbol val="none"/>
          </c:marker>
          <c:dLbls>
            <c:dLbl>
              <c:idx val="1"/>
              <c:layout>
                <c:manualLayout>
                  <c:x val="-3.2668276531284952E-3"/>
                  <c:y val="-1.2691954114872705E-2"/>
                </c:manualLayout>
              </c:layout>
              <c:tx>
                <c:rich>
                  <a:bodyPr/>
                  <a:lstStyle/>
                  <a:p>
                    <a:fld id="{C077B1BE-BFBE-443F-A764-3531994749BB}" type="VALUE">
                      <a:rPr lang="en-US" smtClean="0"/>
                      <a:pPr/>
                      <a:t>[VALOR]</a:t>
                    </a:fld>
                    <a:r>
                      <a:rPr lang="en-US"/>
                      <a:t> Salir cansado o tarde del trabajo</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8B45-E345-AD7F-0A19F2EAA70A}"/>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2000</c:v>
                </c:pt>
                <c:pt idx="1">
                  <c:v>2010</c:v>
                </c:pt>
                <c:pt idx="2">
                  <c:v>2022</c:v>
                </c:pt>
              </c:numCache>
            </c:numRef>
          </c:cat>
          <c:val>
            <c:numRef>
              <c:f>Hoja1!$B$2:$B$4</c:f>
              <c:numCache>
                <c:formatCode>0%</c:formatCode>
                <c:ptCount val="3"/>
                <c:pt idx="0">
                  <c:v>0.26</c:v>
                </c:pt>
                <c:pt idx="1">
                  <c:v>0.36</c:v>
                </c:pt>
              </c:numCache>
            </c:numRef>
          </c:val>
          <c:smooth val="0"/>
          <c:extLst>
            <c:ext xmlns:c16="http://schemas.microsoft.com/office/drawing/2014/chart" uri="{C3380CC4-5D6E-409C-BE32-E72D297353CC}">
              <c16:uniqueId val="{00000015-8B45-E345-AD7F-0A19F2EAA70A}"/>
            </c:ext>
          </c:extLst>
        </c:ser>
        <c:dLbls>
          <c:showLegendKey val="0"/>
          <c:showVal val="0"/>
          <c:showCatName val="0"/>
          <c:showSerName val="0"/>
          <c:showPercent val="0"/>
          <c:showBubbleSize val="0"/>
        </c:dLbls>
        <c:smooth val="0"/>
        <c:axId val="-1306845232"/>
        <c:axId val="-1306840880"/>
      </c:lineChart>
      <c:catAx>
        <c:axId val="-1306845232"/>
        <c:scaling>
          <c:orientation val="minMax"/>
        </c:scaling>
        <c:delete val="0"/>
        <c:axPos val="b"/>
        <c:numFmt formatCode="General" sourceLinked="1"/>
        <c:majorTickMark val="out"/>
        <c:minorTickMark val="none"/>
        <c:tickLblPos val="nextTo"/>
        <c:txPr>
          <a:bodyPr/>
          <a:lstStyle/>
          <a:p>
            <a:pPr>
              <a:defRPr sz="800">
                <a:latin typeface="+mn-lt"/>
                <a:cs typeface="Times New Roman" panose="02020603050405020304" pitchFamily="18" charset="0"/>
              </a:defRPr>
            </a:pPr>
            <a:endParaRPr lang="es-ES"/>
          </a:p>
        </c:txPr>
        <c:crossAx val="-1306840880"/>
        <c:crosses val="autoZero"/>
        <c:auto val="1"/>
        <c:lblAlgn val="ctr"/>
        <c:lblOffset val="100"/>
        <c:noMultiLvlLbl val="0"/>
      </c:catAx>
      <c:valAx>
        <c:axId val="-1306840880"/>
        <c:scaling>
          <c:orientation val="minMax"/>
          <c:max val="0.4"/>
        </c:scaling>
        <c:delete val="0"/>
        <c:axPos val="l"/>
        <c:numFmt formatCode="0%" sourceLinked="0"/>
        <c:majorTickMark val="out"/>
        <c:minorTickMark val="none"/>
        <c:tickLblPos val="nextTo"/>
        <c:txPr>
          <a:bodyPr/>
          <a:lstStyle/>
          <a:p>
            <a:pPr>
              <a:defRPr sz="800">
                <a:latin typeface="+mn-lt"/>
                <a:cs typeface="Times New Roman" panose="02020603050405020304" pitchFamily="18" charset="0"/>
              </a:defRPr>
            </a:pPr>
            <a:endParaRPr lang="es-ES"/>
          </a:p>
        </c:txPr>
        <c:crossAx val="-1306845232"/>
        <c:crosses val="autoZero"/>
        <c:crossBetween val="between"/>
      </c:valAx>
    </c:plotArea>
    <c:legend>
      <c:legendPos val="b"/>
      <c:legendEntry>
        <c:idx val="0"/>
        <c:delete val="1"/>
      </c:legendEntry>
      <c:layout>
        <c:manualLayout>
          <c:xMode val="edge"/>
          <c:yMode val="edge"/>
          <c:x val="5.7477166835801216E-2"/>
          <c:y val="0.8466198838115947"/>
          <c:w val="0.92032318279123859"/>
          <c:h val="0.15338011618840533"/>
        </c:manualLayout>
      </c:layout>
      <c:overlay val="0"/>
      <c:txPr>
        <a:bodyPr/>
        <a:lstStyle/>
        <a:p>
          <a:pPr>
            <a:defRPr sz="800">
              <a:solidFill>
                <a:sysClr val="windowText" lastClr="000000"/>
              </a:solidFill>
              <a:latin typeface="+mn-lt"/>
              <a:cs typeface="Times New Roman" panose="02020603050405020304" pitchFamily="18" charset="0"/>
            </a:defRPr>
          </a:pPr>
          <a:endParaRPr lang="es-ES"/>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Hoja1!$B$1</c:f>
              <c:strCache>
                <c:ptCount val="1"/>
                <c:pt idx="0">
                  <c:v>EHDE</c:v>
                </c:pt>
              </c:strCache>
            </c:strRef>
          </c:tx>
          <c:spPr>
            <a:ln w="19050" cap="sq">
              <a:solidFill>
                <a:srgbClr val="4472C4">
                  <a:lumMod val="75000"/>
                </a:srgbClr>
              </a:solidFill>
              <a:prstDash val="solid"/>
              <a:round/>
              <a:tailEnd w="sm" len="sm"/>
            </a:ln>
            <a:effectLst/>
          </c:spPr>
          <c:marker>
            <c:symbol val="circle"/>
            <c:size val="5"/>
            <c:spPr>
              <a:noFill/>
              <a:ln w="19050">
                <a:noFill/>
                <a:prstDash val="solid"/>
              </a:ln>
              <a:effectLst/>
            </c:spPr>
          </c:marker>
          <c:dPt>
            <c:idx val="3"/>
            <c:bubble3D val="0"/>
            <c:spPr>
              <a:ln w="19050" cap="sq">
                <a:solidFill>
                  <a:srgbClr val="4472C4">
                    <a:lumMod val="75000"/>
                  </a:srgbClr>
                </a:solidFill>
                <a:prstDash val="solid"/>
                <a:round/>
                <a:tailEnd w="sm" len="sm"/>
              </a:ln>
              <a:effectLst/>
            </c:spPr>
            <c:extLst>
              <c:ext xmlns:c16="http://schemas.microsoft.com/office/drawing/2014/chart" uri="{C3380CC4-5D6E-409C-BE32-E72D297353CC}">
                <c16:uniqueId val="{0000000B-3F24-4A61-A521-B59BAF8B4DD7}"/>
              </c:ext>
            </c:extLst>
          </c:dPt>
          <c:dPt>
            <c:idx val="4"/>
            <c:bubble3D val="0"/>
            <c:spPr>
              <a:ln w="19050" cap="sq">
                <a:solidFill>
                  <a:srgbClr val="4472C4">
                    <a:lumMod val="75000"/>
                  </a:srgbClr>
                </a:solidFill>
                <a:prstDash val="solid"/>
                <a:round/>
                <a:tailEnd w="sm" len="sm"/>
              </a:ln>
              <a:effectLst/>
            </c:spPr>
            <c:extLst>
              <c:ext xmlns:c16="http://schemas.microsoft.com/office/drawing/2014/chart" uri="{C3380CC4-5D6E-409C-BE32-E72D297353CC}">
                <c16:uniqueId val="{00000001-3F24-4A61-A521-B59BAF8B4DD7}"/>
              </c:ext>
            </c:extLst>
          </c:dPt>
          <c:dPt>
            <c:idx val="5"/>
            <c:bubble3D val="0"/>
            <c:spPr>
              <a:ln w="19050" cap="sq">
                <a:solidFill>
                  <a:srgbClr val="4472C4">
                    <a:lumMod val="75000"/>
                  </a:srgbClr>
                </a:solidFill>
                <a:prstDash val="solid"/>
                <a:round/>
                <a:tailEnd w="sm" len="sm"/>
              </a:ln>
              <a:effectLst/>
            </c:spPr>
            <c:extLst>
              <c:ext xmlns:c16="http://schemas.microsoft.com/office/drawing/2014/chart" uri="{C3380CC4-5D6E-409C-BE32-E72D297353CC}">
                <c16:uniqueId val="{00000003-3F24-4A61-A521-B59BAF8B4DD7}"/>
              </c:ext>
            </c:extLst>
          </c:dPt>
          <c:dPt>
            <c:idx val="6"/>
            <c:bubble3D val="0"/>
            <c:spPr>
              <a:ln w="19050" cap="sq">
                <a:solidFill>
                  <a:srgbClr val="4472C4">
                    <a:lumMod val="75000"/>
                  </a:srgbClr>
                </a:solidFill>
                <a:prstDash val="solid"/>
                <a:round/>
                <a:tailEnd w="sm" len="sm"/>
              </a:ln>
              <a:effectLst/>
            </c:spPr>
            <c:extLst>
              <c:ext xmlns:c16="http://schemas.microsoft.com/office/drawing/2014/chart" uri="{C3380CC4-5D6E-409C-BE32-E72D297353CC}">
                <c16:uniqueId val="{00000005-3F24-4A61-A521-B59BAF8B4DD7}"/>
              </c:ext>
            </c:extLst>
          </c:dPt>
          <c:dPt>
            <c:idx val="7"/>
            <c:bubble3D val="0"/>
            <c:spPr>
              <a:ln w="19050" cap="sq">
                <a:solidFill>
                  <a:srgbClr val="4472C4">
                    <a:lumMod val="75000"/>
                  </a:srgbClr>
                </a:solidFill>
                <a:prstDash val="solid"/>
                <a:round/>
                <a:tailEnd w="sm" len="sm"/>
              </a:ln>
              <a:effectLst/>
            </c:spPr>
            <c:extLst>
              <c:ext xmlns:c16="http://schemas.microsoft.com/office/drawing/2014/chart" uri="{C3380CC4-5D6E-409C-BE32-E72D297353CC}">
                <c16:uniqueId val="{00000007-3F24-4A61-A521-B59BAF8B4DD7}"/>
              </c:ext>
            </c:extLst>
          </c:dPt>
          <c:dLbls>
            <c:dLbl>
              <c:idx val="0"/>
              <c:layout>
                <c:manualLayout>
                  <c:x val="-4.8011345792936783E-2"/>
                  <c:y val="-3.6397207131261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F24-4A61-A521-B59BAF8B4DD7}"/>
                </c:ext>
              </c:extLst>
            </c:dLbl>
            <c:dLbl>
              <c:idx val="1"/>
              <c:layout>
                <c:manualLayout>
                  <c:x val="-5.91015534058347E-2"/>
                  <c:y val="-2.9315324036632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F24-4A61-A521-B59BAF8B4DD7}"/>
                </c:ext>
              </c:extLst>
            </c:dLbl>
            <c:dLbl>
              <c:idx val="2"/>
              <c:layout>
                <c:manualLayout>
                  <c:x val="-3.8788743646883547E-2"/>
                  <c:y val="-3.75740166357381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F24-4A61-A521-B59BAF8B4DD7}"/>
                </c:ext>
              </c:extLst>
            </c:dLbl>
            <c:dLbl>
              <c:idx val="3"/>
              <c:layout>
                <c:manualLayout>
                  <c:x val="-4.3377812708897213E-2"/>
                  <c:y val="-3.4943590528385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F24-4A61-A521-B59BAF8B4DD7}"/>
                </c:ext>
              </c:extLst>
            </c:dLbl>
            <c:dLbl>
              <c:idx val="4"/>
              <c:layout>
                <c:manualLayout>
                  <c:x val="-5.4338510491183267E-2"/>
                  <c:y val="-1.67662297941114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24-4A61-A521-B59BAF8B4DD7}"/>
                </c:ext>
              </c:extLst>
            </c:dLbl>
            <c:dLbl>
              <c:idx val="5"/>
              <c:layout>
                <c:manualLayout>
                  <c:x val="-2.8340866209585636E-2"/>
                  <c:y val="-4.1542307591429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24-4A61-A521-B59BAF8B4DD7}"/>
                </c:ext>
              </c:extLst>
            </c:dLbl>
            <c:dLbl>
              <c:idx val="6"/>
              <c:layout>
                <c:manualLayout>
                  <c:x val="-3.2237508542499932E-2"/>
                  <c:y val="-3.53886061689615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24-4A61-A521-B59BAF8B4DD7}"/>
                </c:ext>
              </c:extLst>
            </c:dLbl>
            <c:dLbl>
              <c:idx val="7"/>
              <c:layout>
                <c:manualLayout>
                  <c:x val="-5.8089279029628196E-2"/>
                  <c:y val="-1.9519127327146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F24-4A61-A521-B59BAF8B4DD7}"/>
                </c:ext>
              </c:extLst>
            </c:dLbl>
            <c:dLbl>
              <c:idx val="8"/>
              <c:layout>
                <c:manualLayout>
                  <c:x val="-3.3880635913474164E-2"/>
                  <c:y val="-3.5304501323918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0A-9C4A-99F6-AE3D75B59844}"/>
                </c:ext>
              </c:extLst>
            </c:dLbl>
            <c:dLbl>
              <c:idx val="9"/>
              <c:layout>
                <c:manualLayout>
                  <c:x val="-3.0311557081950491E-2"/>
                  <c:y val="-4.1293462995529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0A-9C4A-99F6-AE3D75B598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a:effectLst/>
                  </c:spPr>
                </c15:leaderLines>
              </c:ext>
            </c:extLst>
          </c:dLbls>
          <c:cat>
            <c:numRef>
              <c:f>Hoja1!$A$2:$A$8</c:f>
              <c:numCache>
                <c:formatCode>General</c:formatCode>
                <c:ptCount val="7"/>
                <c:pt idx="0">
                  <c:v>1975</c:v>
                </c:pt>
                <c:pt idx="1">
                  <c:v>1980</c:v>
                </c:pt>
                <c:pt idx="2">
                  <c:v>1990</c:v>
                </c:pt>
                <c:pt idx="3">
                  <c:v>2000</c:v>
                </c:pt>
                <c:pt idx="4">
                  <c:v>2010</c:v>
                </c:pt>
                <c:pt idx="5">
                  <c:v>2020</c:v>
                </c:pt>
                <c:pt idx="6">
                  <c:v>2022</c:v>
                </c:pt>
              </c:numCache>
            </c:numRef>
          </c:cat>
          <c:val>
            <c:numRef>
              <c:f>Hoja1!$B$2:$B$8</c:f>
              <c:numCache>
                <c:formatCode>0%</c:formatCode>
                <c:ptCount val="7"/>
                <c:pt idx="0">
                  <c:v>0.22</c:v>
                </c:pt>
                <c:pt idx="1">
                  <c:v>0.25</c:v>
                </c:pt>
                <c:pt idx="2">
                  <c:v>0.35</c:v>
                </c:pt>
                <c:pt idx="3">
                  <c:v>0.37</c:v>
                </c:pt>
                <c:pt idx="4">
                  <c:v>0.4</c:v>
                </c:pt>
                <c:pt idx="5">
                  <c:v>0.6</c:v>
                </c:pt>
                <c:pt idx="6">
                  <c:v>0.56999999999999995</c:v>
                </c:pt>
              </c:numCache>
            </c:numRef>
          </c:val>
          <c:smooth val="1"/>
          <c:extLst>
            <c:ext xmlns:c16="http://schemas.microsoft.com/office/drawing/2014/chart" uri="{C3380CC4-5D6E-409C-BE32-E72D297353CC}">
              <c16:uniqueId val="{0000000C-3F24-4A61-A521-B59BAF8B4DD7}"/>
            </c:ext>
          </c:extLst>
        </c:ser>
        <c:dLbls>
          <c:showLegendKey val="0"/>
          <c:showVal val="0"/>
          <c:showCatName val="0"/>
          <c:showSerName val="0"/>
          <c:showPercent val="0"/>
          <c:showBubbleSize val="0"/>
        </c:dLbls>
        <c:marker val="1"/>
        <c:smooth val="0"/>
        <c:axId val="-1306846864"/>
        <c:axId val="-1306842512"/>
      </c:lineChart>
      <c:catAx>
        <c:axId val="-130684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42512"/>
        <c:crosses val="autoZero"/>
        <c:auto val="1"/>
        <c:lblAlgn val="ctr"/>
        <c:lblOffset val="100"/>
        <c:noMultiLvlLbl val="0"/>
      </c:catAx>
      <c:valAx>
        <c:axId val="-1306842512"/>
        <c:scaling>
          <c:orientation val="minMax"/>
          <c:max val="0.65000000000000013"/>
          <c:min val="0.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46864"/>
        <c:crosses val="autoZero"/>
        <c:crossBetween val="between"/>
        <c:minorUnit val="2.0000000000000004E-2"/>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140350877193027E-2"/>
          <c:y val="7.0287539936102414E-2"/>
          <c:w val="0.89912280701754388"/>
          <c:h val="0.73412997288316262"/>
        </c:manualLayout>
      </c:layout>
      <c:barChart>
        <c:barDir val="col"/>
        <c:grouping val="clustered"/>
        <c:varyColors val="0"/>
        <c:ser>
          <c:idx val="1"/>
          <c:order val="0"/>
          <c:tx>
            <c:strRef>
              <c:f>Sheet1!$A$2</c:f>
              <c:strCache>
                <c:ptCount val="1"/>
                <c:pt idx="0">
                  <c:v>Mayor Nivel de Desarrollo</c:v>
                </c:pt>
              </c:strCache>
            </c:strRef>
          </c:tx>
          <c:spPr>
            <a:solidFill>
              <a:srgbClr val="44546A">
                <a:lumMod val="75000"/>
              </a:srgbClr>
            </a:solidFill>
            <a:ln w="23970">
              <a:noFill/>
            </a:ln>
          </c:spPr>
          <c:invertIfNegative val="0"/>
          <c:dLbls>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Sheet1!$B$1:$D$1</c:f>
              <c:strCache>
                <c:ptCount val="3"/>
                <c:pt idx="0">
                  <c:v>Deporte Espectáculo</c:v>
                </c:pt>
                <c:pt idx="1">
                  <c:v>Deporte Federado</c:v>
                </c:pt>
                <c:pt idx="2">
                  <c:v>Deporte Popular</c:v>
                </c:pt>
              </c:strCache>
            </c:strRef>
          </c:cat>
          <c:val>
            <c:numRef>
              <c:f>Sheet1!$B$2:$D$2</c:f>
              <c:numCache>
                <c:formatCode>0%</c:formatCode>
                <c:ptCount val="3"/>
                <c:pt idx="0">
                  <c:v>0.6</c:v>
                </c:pt>
                <c:pt idx="1">
                  <c:v>0.17</c:v>
                </c:pt>
                <c:pt idx="2">
                  <c:v>7.0000000000000007E-2</c:v>
                </c:pt>
              </c:numCache>
            </c:numRef>
          </c:val>
          <c:extLst>
            <c:ext xmlns:c16="http://schemas.microsoft.com/office/drawing/2014/chart" uri="{C3380CC4-5D6E-409C-BE32-E72D297353CC}">
              <c16:uniqueId val="{00000000-E8FB-7843-BFC1-B8B28F58C3E5}"/>
            </c:ext>
          </c:extLst>
        </c:ser>
        <c:ser>
          <c:idx val="0"/>
          <c:order val="1"/>
          <c:tx>
            <c:strRef>
              <c:f>Sheet1!$A$3</c:f>
              <c:strCache>
                <c:ptCount val="1"/>
                <c:pt idx="0">
                  <c:v>Mayor Apoyo Oficial</c:v>
                </c:pt>
              </c:strCache>
            </c:strRef>
          </c:tx>
          <c:spPr>
            <a:solidFill>
              <a:srgbClr val="44546A">
                <a:lumMod val="60000"/>
                <a:lumOff val="40000"/>
              </a:srgbClr>
            </a:solidFill>
            <a:ln w="11984">
              <a:noFill/>
              <a:prstDash val="solid"/>
            </a:ln>
          </c:spPr>
          <c:invertIfNegative val="0"/>
          <c:dLbls>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Sheet1!$B$1:$D$1</c:f>
              <c:strCache>
                <c:ptCount val="3"/>
                <c:pt idx="0">
                  <c:v>Deporte Espectáculo</c:v>
                </c:pt>
                <c:pt idx="1">
                  <c:v>Deporte Federado</c:v>
                </c:pt>
                <c:pt idx="2">
                  <c:v>Deporte Popular</c:v>
                </c:pt>
              </c:strCache>
            </c:strRef>
          </c:cat>
          <c:val>
            <c:numRef>
              <c:f>Sheet1!$B$3:$D$3</c:f>
              <c:numCache>
                <c:formatCode>0%</c:formatCode>
                <c:ptCount val="3"/>
                <c:pt idx="0">
                  <c:v>0.55000000000000004</c:v>
                </c:pt>
                <c:pt idx="1">
                  <c:v>0.21</c:v>
                </c:pt>
                <c:pt idx="2">
                  <c:v>0.05</c:v>
                </c:pt>
              </c:numCache>
            </c:numRef>
          </c:val>
          <c:extLst>
            <c:ext xmlns:c16="http://schemas.microsoft.com/office/drawing/2014/chart" uri="{C3380CC4-5D6E-409C-BE32-E72D297353CC}">
              <c16:uniqueId val="{00000001-E8FB-7843-BFC1-B8B28F58C3E5}"/>
            </c:ext>
          </c:extLst>
        </c:ser>
        <c:ser>
          <c:idx val="2"/>
          <c:order val="2"/>
          <c:tx>
            <c:strRef>
              <c:f>Sheet1!$A$4</c:f>
              <c:strCache>
                <c:ptCount val="1"/>
                <c:pt idx="0">
                  <c:v>Mayor Interés</c:v>
                </c:pt>
              </c:strCache>
            </c:strRef>
          </c:tx>
          <c:spPr>
            <a:solidFill>
              <a:srgbClr val="4472C4">
                <a:lumMod val="60000"/>
                <a:lumOff val="40000"/>
              </a:srgbClr>
            </a:solidFill>
            <a:ln w="23970">
              <a:noFill/>
            </a:ln>
          </c:spPr>
          <c:invertIfNegative val="0"/>
          <c:dLbls>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Sheet1!$B$1:$D$1</c:f>
              <c:strCache>
                <c:ptCount val="3"/>
                <c:pt idx="0">
                  <c:v>Deporte Espectáculo</c:v>
                </c:pt>
                <c:pt idx="1">
                  <c:v>Deporte Federado</c:v>
                </c:pt>
                <c:pt idx="2">
                  <c:v>Deporte Popular</c:v>
                </c:pt>
              </c:strCache>
            </c:strRef>
          </c:cat>
          <c:val>
            <c:numRef>
              <c:f>Sheet1!$B$4:$D$4</c:f>
              <c:numCache>
                <c:formatCode>0%</c:formatCode>
                <c:ptCount val="3"/>
                <c:pt idx="0">
                  <c:v>0.28000000000000003</c:v>
                </c:pt>
                <c:pt idx="1">
                  <c:v>0.14000000000000001</c:v>
                </c:pt>
                <c:pt idx="2">
                  <c:v>0.38</c:v>
                </c:pt>
              </c:numCache>
            </c:numRef>
          </c:val>
          <c:extLst>
            <c:ext xmlns:c16="http://schemas.microsoft.com/office/drawing/2014/chart" uri="{C3380CC4-5D6E-409C-BE32-E72D297353CC}">
              <c16:uniqueId val="{00000002-E8FB-7843-BFC1-B8B28F58C3E5}"/>
            </c:ext>
          </c:extLst>
        </c:ser>
        <c:ser>
          <c:idx val="3"/>
          <c:order val="3"/>
          <c:tx>
            <c:strRef>
              <c:f>Sheet1!$A$5</c:f>
              <c:strCache>
                <c:ptCount val="1"/>
                <c:pt idx="0">
                  <c:v>Se debería apoyar más</c:v>
                </c:pt>
              </c:strCache>
            </c:strRef>
          </c:tx>
          <c:spPr>
            <a:solidFill>
              <a:srgbClr val="4472C4">
                <a:lumMod val="40000"/>
                <a:lumOff val="60000"/>
              </a:srgbClr>
            </a:solidFill>
            <a:ln w="23970">
              <a:noFill/>
            </a:ln>
          </c:spPr>
          <c:invertIfNegative val="0"/>
          <c:dLbls>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Sheet1!$B$1:$D$1</c:f>
              <c:strCache>
                <c:ptCount val="3"/>
                <c:pt idx="0">
                  <c:v>Deporte Espectáculo</c:v>
                </c:pt>
                <c:pt idx="1">
                  <c:v>Deporte Federado</c:v>
                </c:pt>
                <c:pt idx="2">
                  <c:v>Deporte Popular</c:v>
                </c:pt>
              </c:strCache>
            </c:strRef>
          </c:cat>
          <c:val>
            <c:numRef>
              <c:f>Sheet1!$B$5:$D$5</c:f>
              <c:numCache>
                <c:formatCode>0%</c:formatCode>
                <c:ptCount val="3"/>
                <c:pt idx="0">
                  <c:v>0.04</c:v>
                </c:pt>
                <c:pt idx="1">
                  <c:v>0.19</c:v>
                </c:pt>
                <c:pt idx="2">
                  <c:v>0.61</c:v>
                </c:pt>
              </c:numCache>
            </c:numRef>
          </c:val>
          <c:extLst>
            <c:ext xmlns:c16="http://schemas.microsoft.com/office/drawing/2014/chart" uri="{C3380CC4-5D6E-409C-BE32-E72D297353CC}">
              <c16:uniqueId val="{00000003-E8FB-7843-BFC1-B8B28F58C3E5}"/>
            </c:ext>
          </c:extLst>
        </c:ser>
        <c:dLbls>
          <c:showLegendKey val="0"/>
          <c:showVal val="0"/>
          <c:showCatName val="0"/>
          <c:showSerName val="0"/>
          <c:showPercent val="0"/>
          <c:showBubbleSize val="0"/>
        </c:dLbls>
        <c:gapWidth val="150"/>
        <c:axId val="-1306825104"/>
        <c:axId val="-1306840336"/>
      </c:barChart>
      <c:catAx>
        <c:axId val="-1306825104"/>
        <c:scaling>
          <c:orientation val="minMax"/>
        </c:scaling>
        <c:delete val="0"/>
        <c:axPos val="b"/>
        <c:numFmt formatCode="General" sourceLinked="1"/>
        <c:majorTickMark val="cross"/>
        <c:minorTickMark val="none"/>
        <c:tickLblPos val="nextTo"/>
        <c:spPr>
          <a:ln w="2996">
            <a:solidFill>
              <a:srgbClr val="000000"/>
            </a:solidFill>
            <a:prstDash val="solid"/>
          </a:ln>
        </c:spPr>
        <c:txPr>
          <a:bodyPr rot="0" vert="horz"/>
          <a:lstStyle/>
          <a:p>
            <a:pPr>
              <a:defRPr sz="800" b="0" i="0" u="none" strike="noStrike" baseline="0">
                <a:solidFill>
                  <a:srgbClr val="000000"/>
                </a:solidFill>
                <a:latin typeface="+mn-lt"/>
                <a:ea typeface="Times New Roman"/>
                <a:cs typeface="Times New Roman" panose="02020603050405020304" pitchFamily="18" charset="0"/>
              </a:defRPr>
            </a:pPr>
            <a:endParaRPr lang="es-ES"/>
          </a:p>
        </c:txPr>
        <c:crossAx val="-1306840336"/>
        <c:crosses val="autoZero"/>
        <c:auto val="0"/>
        <c:lblAlgn val="ctr"/>
        <c:lblOffset val="100"/>
        <c:tickLblSkip val="1"/>
        <c:tickMarkSkip val="1"/>
        <c:noMultiLvlLbl val="0"/>
      </c:catAx>
      <c:valAx>
        <c:axId val="-1306840336"/>
        <c:scaling>
          <c:orientation val="minMax"/>
        </c:scaling>
        <c:delete val="0"/>
        <c:axPos val="l"/>
        <c:numFmt formatCode="0%" sourceLinked="0"/>
        <c:majorTickMark val="cross"/>
        <c:minorTickMark val="none"/>
        <c:tickLblPos val="nextTo"/>
        <c:spPr>
          <a:ln w="2996">
            <a:solidFill>
              <a:srgbClr val="000000"/>
            </a:solidFill>
            <a:prstDash val="solid"/>
          </a:ln>
        </c:spPr>
        <c:txPr>
          <a:bodyPr rot="0" vert="horz"/>
          <a:lstStyle/>
          <a:p>
            <a:pPr>
              <a:defRPr sz="800" b="0" i="0" u="none" strike="noStrike" baseline="0">
                <a:solidFill>
                  <a:srgbClr val="000000"/>
                </a:solidFill>
                <a:latin typeface="+mn-lt"/>
                <a:ea typeface="Times New Roman"/>
                <a:cs typeface="Times New Roman" panose="02020603050405020304" pitchFamily="18" charset="0"/>
              </a:defRPr>
            </a:pPr>
            <a:endParaRPr lang="es-ES"/>
          </a:p>
        </c:txPr>
        <c:crossAx val="-1306825104"/>
        <c:crosses val="autoZero"/>
        <c:crossBetween val="between"/>
      </c:valAx>
      <c:spPr>
        <a:noFill/>
        <a:ln w="11984">
          <a:noFill/>
          <a:prstDash val="solid"/>
        </a:ln>
      </c:spPr>
    </c:plotArea>
    <c:legend>
      <c:legendPos val="r"/>
      <c:layout>
        <c:manualLayout>
          <c:xMode val="edge"/>
          <c:yMode val="edge"/>
          <c:x val="3.441295546558705E-2"/>
          <c:y val="0.89623572996979828"/>
          <c:w val="0.92307692307692257"/>
          <c:h val="7.8714327841975879E-2"/>
        </c:manualLayout>
      </c:layout>
      <c:overlay val="0"/>
      <c:spPr>
        <a:noFill/>
        <a:ln w="2996">
          <a:noFill/>
          <a:prstDash val="solid"/>
        </a:ln>
      </c:spPr>
      <c:txPr>
        <a:bodyPr/>
        <a:lstStyle/>
        <a:p>
          <a:pPr>
            <a:defRPr sz="800" b="0" i="0" u="none" strike="noStrike" baseline="0">
              <a:solidFill>
                <a:srgbClr val="000000"/>
              </a:solidFill>
              <a:latin typeface="+mn-lt"/>
              <a:ea typeface="Times New Roman"/>
              <a:cs typeface="Times New Roman" panose="02020603050405020304" pitchFamily="18" charset="0"/>
            </a:defRPr>
          </a:pPr>
          <a:endParaRPr lang="es-ES"/>
        </a:p>
      </c:txPr>
    </c:legend>
    <c:plotVisOnly val="1"/>
    <c:dispBlanksAs val="gap"/>
    <c:showDLblsOverMax val="0"/>
  </c:chart>
  <c:spPr>
    <a:noFill/>
    <a:ln>
      <a:noFill/>
    </a:ln>
  </c:spPr>
  <c:txPr>
    <a:bodyPr/>
    <a:lstStyle/>
    <a:p>
      <a:pPr>
        <a:defRPr sz="849" b="0" i="0" u="none" strike="noStrike" baseline="0">
          <a:solidFill>
            <a:srgbClr val="000000"/>
          </a:solidFill>
          <a:latin typeface="Arial"/>
          <a:ea typeface="Arial"/>
          <a:cs typeface="Arial"/>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532988644528575E-2"/>
          <c:y val="2.4601974138437288E-2"/>
          <c:w val="0.86867285820041729"/>
          <c:h val="0.75228430651446776"/>
        </c:manualLayout>
      </c:layout>
      <c:lineChart>
        <c:grouping val="standard"/>
        <c:varyColors val="0"/>
        <c:ser>
          <c:idx val="0"/>
          <c:order val="0"/>
          <c:tx>
            <c:strRef>
              <c:f>Hoja1!$B$1</c:f>
              <c:strCache>
                <c:ptCount val="1"/>
                <c:pt idx="0">
                  <c:v>Hacer ejercicio Físico</c:v>
                </c:pt>
              </c:strCache>
            </c:strRef>
          </c:tx>
          <c:spPr>
            <a:ln w="19050">
              <a:solidFill>
                <a:srgbClr val="4472C4">
                  <a:lumMod val="75000"/>
                </a:srgbClr>
              </a:solidFill>
            </a:ln>
          </c:spPr>
          <c:marker>
            <c:symbol val="none"/>
          </c:marker>
          <c:dLbls>
            <c:dLbl>
              <c:idx val="0"/>
              <c:layout>
                <c:manualLayout>
                  <c:x val="-8.8495575221239214E-3"/>
                  <c:y val="-2.648471321122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18-FA4D-AEA7-5C5F84799EF8}"/>
                </c:ext>
              </c:extLst>
            </c:dLbl>
            <c:dLbl>
              <c:idx val="1"/>
              <c:layout>
                <c:manualLayout>
                  <c:x val="-1.0324483775811209E-2"/>
                  <c:y val="-2.648471321122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18-FA4D-AEA7-5C5F84799EF8}"/>
                </c:ext>
              </c:extLst>
            </c:dLbl>
            <c:dLbl>
              <c:idx val="2"/>
              <c:layout>
                <c:manualLayout>
                  <c:x val="-3.834808259587015E-2"/>
                  <c:y val="-2.913318453234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18-FA4D-AEA7-5C5F84799EF8}"/>
                </c:ext>
              </c:extLst>
            </c:dLbl>
            <c:dLbl>
              <c:idx val="3"/>
              <c:layout>
                <c:manualLayout>
                  <c:x val="-3.0973451327433735E-2"/>
                  <c:y val="-2.648471321122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18-FA4D-AEA7-5C5F84799EF8}"/>
                </c:ext>
              </c:extLst>
            </c:dLbl>
            <c:dLbl>
              <c:idx val="4"/>
              <c:layout>
                <c:manualLayout>
                  <c:x val="-1.6343397456315138E-3"/>
                  <c:y val="-2.3863455618170441E-2"/>
                </c:manualLayout>
              </c:layout>
              <c:tx>
                <c:rich>
                  <a:bodyPr wrap="square" lIns="38100" tIns="19050" rIns="38100" bIns="19050" anchor="ctr">
                    <a:noAutofit/>
                  </a:bodyPr>
                  <a:lstStyle/>
                  <a:p>
                    <a:pPr>
                      <a:defRPr sz="800" b="0">
                        <a:latin typeface="+mn-lt"/>
                        <a:cs typeface="Times New Roman" panose="02020603050405020304" pitchFamily="18" charset="0"/>
                      </a:defRPr>
                    </a:pPr>
                    <a:fld id="{47157B3A-7D56-46BF-84B3-5C4738356EAA}" type="VALUE">
                      <a:rPr lang="en-US" b="0" smtClean="0">
                        <a:latin typeface="+mn-lt"/>
                      </a:rPr>
                      <a:pPr>
                        <a:defRPr sz="800" b="0">
                          <a:latin typeface="+mn-lt"/>
                          <a:cs typeface="Times New Roman" panose="02020603050405020304" pitchFamily="18" charset="0"/>
                        </a:defRPr>
                      </a:pPr>
                      <a:t>[VALOR]</a:t>
                    </a:fld>
                    <a:r>
                      <a:rPr lang="en-US" b="0" dirty="0">
                        <a:latin typeface="+mn-lt"/>
                      </a:rPr>
                      <a:t> </a:t>
                    </a:r>
                    <a:r>
                      <a:rPr lang="en-US" sz="800" b="0" dirty="0" err="1">
                        <a:latin typeface="+mn-lt"/>
                      </a:rPr>
                      <a:t>Hacer</a:t>
                    </a:r>
                    <a:endParaRPr lang="en-US" sz="800" b="0" dirty="0">
                      <a:latin typeface="+mn-lt"/>
                    </a:endParaRPr>
                  </a:p>
                  <a:p>
                    <a:pPr>
                      <a:defRPr sz="800" b="0">
                        <a:latin typeface="+mn-lt"/>
                        <a:cs typeface="Times New Roman" panose="02020603050405020304" pitchFamily="18" charset="0"/>
                      </a:defRPr>
                    </a:pPr>
                    <a:r>
                      <a:rPr lang="en-US" sz="800" b="0" dirty="0" err="1">
                        <a:latin typeface="+mn-lt"/>
                      </a:rPr>
                      <a:t>Ejercicio</a:t>
                    </a:r>
                    <a:r>
                      <a:rPr lang="en-US" sz="800" b="0" dirty="0">
                        <a:latin typeface="+mn-lt"/>
                      </a:rPr>
                      <a:t> </a:t>
                    </a:r>
                    <a:r>
                      <a:rPr lang="en-US" sz="800" b="0" dirty="0" err="1">
                        <a:latin typeface="+mn-lt"/>
                      </a:rPr>
                      <a:t>Físico</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4811742135243441"/>
                      <c:h val="0.11357818048843574"/>
                    </c:manualLayout>
                  </c15:layout>
                  <c15:dlblFieldTable/>
                  <c15:showDataLabelsRange val="0"/>
                </c:ext>
                <c:ext xmlns:c16="http://schemas.microsoft.com/office/drawing/2014/chart" uri="{C3380CC4-5D6E-409C-BE32-E72D297353CC}">
                  <c16:uniqueId val="{00000004-0B18-FA4D-AEA7-5C5F84799EF8}"/>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2014</c:v>
                </c:pt>
              </c:numCache>
            </c:numRef>
          </c:cat>
          <c:val>
            <c:numRef>
              <c:f>Hoja1!$B$2:$B$6</c:f>
              <c:numCache>
                <c:formatCode>0%</c:formatCode>
                <c:ptCount val="5"/>
                <c:pt idx="0">
                  <c:v>0.57999999999999996</c:v>
                </c:pt>
                <c:pt idx="1">
                  <c:v>0.57999999999999996</c:v>
                </c:pt>
                <c:pt idx="2">
                  <c:v>0.57999999999999996</c:v>
                </c:pt>
                <c:pt idx="3">
                  <c:v>0.7</c:v>
                </c:pt>
                <c:pt idx="4">
                  <c:v>0.72</c:v>
                </c:pt>
              </c:numCache>
            </c:numRef>
          </c:val>
          <c:smooth val="0"/>
          <c:extLst>
            <c:ext xmlns:c16="http://schemas.microsoft.com/office/drawing/2014/chart" uri="{C3380CC4-5D6E-409C-BE32-E72D297353CC}">
              <c16:uniqueId val="{00000005-0B18-FA4D-AEA7-5C5F84799EF8}"/>
            </c:ext>
          </c:extLst>
        </c:ser>
        <c:ser>
          <c:idx val="1"/>
          <c:order val="1"/>
          <c:tx>
            <c:strRef>
              <c:f>Hoja1!$C$1</c:f>
              <c:strCache>
                <c:ptCount val="1"/>
                <c:pt idx="0">
                  <c:v>Diversión y pasar el tiempo</c:v>
                </c:pt>
              </c:strCache>
            </c:strRef>
          </c:tx>
          <c:spPr>
            <a:ln w="19050">
              <a:solidFill>
                <a:srgbClr val="4472C4">
                  <a:lumMod val="40000"/>
                  <a:lumOff val="60000"/>
                </a:srgbClr>
              </a:solidFill>
            </a:ln>
          </c:spPr>
          <c:marker>
            <c:symbol val="none"/>
          </c:marker>
          <c:dLbls>
            <c:dLbl>
              <c:idx val="0"/>
              <c:layout>
                <c:manualLayout>
                  <c:x val="-1.7699115044247787E-2"/>
                  <c:y val="-2.1187770568977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18-FA4D-AEA7-5C5F84799EF8}"/>
                </c:ext>
              </c:extLst>
            </c:dLbl>
            <c:dLbl>
              <c:idx val="1"/>
              <c:layout>
                <c:manualLayout>
                  <c:x val="-1.0324483775811209E-2"/>
                  <c:y val="-3.4430127174587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18-FA4D-AEA7-5C5F84799EF8}"/>
                </c:ext>
              </c:extLst>
            </c:dLbl>
            <c:dLbl>
              <c:idx val="2"/>
              <c:layout>
                <c:manualLayout>
                  <c:x val="-2.949852507374642E-2"/>
                  <c:y val="-3.7078598495709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B18-FA4D-AEA7-5C5F84799EF8}"/>
                </c:ext>
              </c:extLst>
            </c:dLbl>
            <c:dLbl>
              <c:idx val="3"/>
              <c:layout>
                <c:manualLayout>
                  <c:x val="-2.2123893805309734E-2"/>
                  <c:y val="-3.1781655853465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18-FA4D-AEA7-5C5F84799EF8}"/>
                </c:ext>
              </c:extLst>
            </c:dLbl>
            <c:dLbl>
              <c:idx val="4"/>
              <c:layout>
                <c:manualLayout>
                  <c:x val="-1.4749262536873156E-3"/>
                  <c:y val="-1.8539299247854999E-2"/>
                </c:manualLayout>
              </c:layout>
              <c:tx>
                <c:rich>
                  <a:bodyPr/>
                  <a:lstStyle/>
                  <a:p>
                    <a:fld id="{494AF788-33D1-41E8-AD31-39015CF75BCB}" type="VALUE">
                      <a:rPr lang="en-US" smtClean="0"/>
                      <a:pPr/>
                      <a:t>[VALOR]</a:t>
                    </a:fld>
                    <a:r>
                      <a:rPr lang="en-US" dirty="0"/>
                      <a:t> </a:t>
                    </a:r>
                    <a:r>
                      <a:rPr lang="en-US" sz="800" dirty="0" err="1"/>
                      <a:t>Diversión</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0B18-FA4D-AEA7-5C5F84799EF8}"/>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Hoja1!$A$2:$A$6</c:f>
              <c:numCache>
                <c:formatCode>General</c:formatCode>
                <c:ptCount val="5"/>
                <c:pt idx="0">
                  <c:v>1980</c:v>
                </c:pt>
                <c:pt idx="1">
                  <c:v>1990</c:v>
                </c:pt>
                <c:pt idx="2">
                  <c:v>2000</c:v>
                </c:pt>
                <c:pt idx="3">
                  <c:v>2010</c:v>
                </c:pt>
                <c:pt idx="4">
                  <c:v>2014</c:v>
                </c:pt>
              </c:numCache>
            </c:numRef>
          </c:cat>
          <c:val>
            <c:numRef>
              <c:f>Hoja1!$C$2:$C$6</c:f>
              <c:numCache>
                <c:formatCode>0%</c:formatCode>
                <c:ptCount val="5"/>
                <c:pt idx="0">
                  <c:v>0.51</c:v>
                </c:pt>
                <c:pt idx="1">
                  <c:v>0.46</c:v>
                </c:pt>
                <c:pt idx="2">
                  <c:v>0.44</c:v>
                </c:pt>
                <c:pt idx="3">
                  <c:v>0.5</c:v>
                </c:pt>
                <c:pt idx="4">
                  <c:v>0.53</c:v>
                </c:pt>
              </c:numCache>
            </c:numRef>
          </c:val>
          <c:smooth val="0"/>
          <c:extLst>
            <c:ext xmlns:c16="http://schemas.microsoft.com/office/drawing/2014/chart" uri="{C3380CC4-5D6E-409C-BE32-E72D297353CC}">
              <c16:uniqueId val="{0000000B-0B18-FA4D-AEA7-5C5F84799EF8}"/>
            </c:ext>
          </c:extLst>
        </c:ser>
        <c:ser>
          <c:idx val="2"/>
          <c:order val="2"/>
          <c:tx>
            <c:strRef>
              <c:f>Hoja1!$D$1</c:f>
              <c:strCache>
                <c:ptCount val="1"/>
                <c:pt idx="0">
                  <c:v>Gustar el deporte</c:v>
                </c:pt>
              </c:strCache>
            </c:strRef>
          </c:tx>
          <c:spPr>
            <a:ln w="19050">
              <a:solidFill>
                <a:srgbClr val="4472C4">
                  <a:lumMod val="60000"/>
                  <a:lumOff val="40000"/>
                </a:srgbClr>
              </a:solidFill>
              <a:prstDash val="sysDot"/>
            </a:ln>
          </c:spPr>
          <c:marker>
            <c:symbol val="none"/>
          </c:marker>
          <c:dLbls>
            <c:dLbl>
              <c:idx val="0"/>
              <c:layout>
                <c:manualLayout>
                  <c:x val="-2.8023598820059024E-2"/>
                  <c:y val="3.4430127174587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18-FA4D-AEA7-5C5F84799EF8}"/>
                </c:ext>
              </c:extLst>
            </c:dLbl>
            <c:dLbl>
              <c:idx val="2"/>
              <c:layout>
                <c:manualLayout>
                  <c:x val="-2.949852507374642E-2"/>
                  <c:y val="-3.17816558534657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B18-FA4D-AEA7-5C5F84799EF8}"/>
                </c:ext>
              </c:extLst>
            </c:dLbl>
            <c:dLbl>
              <c:idx val="4"/>
              <c:layout>
                <c:manualLayout>
                  <c:x val="-2.3518344308560675E-3"/>
                  <c:y val="-1.7751245319368118E-2"/>
                </c:manualLayout>
              </c:layout>
              <c:tx>
                <c:rich>
                  <a:bodyPr/>
                  <a:lstStyle/>
                  <a:p>
                    <a:fld id="{6BB32F4B-E79C-452E-B4DC-E65B12298DDC}" type="VALUE">
                      <a:rPr lang="en-US" smtClean="0"/>
                      <a:pPr/>
                      <a:t>[VALOR]</a:t>
                    </a:fld>
                    <a:r>
                      <a:rPr lang="en-US" dirty="0"/>
                      <a:t> </a:t>
                    </a:r>
                    <a:r>
                      <a:rPr lang="en-US" sz="800" dirty="0" err="1"/>
                      <a:t>Gustar</a:t>
                    </a:r>
                    <a:endParaRPr lang="en-US" sz="800" dirty="0"/>
                  </a:p>
                  <a:p>
                    <a:r>
                      <a:rPr lang="en-US" sz="800" dirty="0"/>
                      <a:t>el </a:t>
                    </a:r>
                    <a:r>
                      <a:rPr lang="en-US" sz="800" dirty="0" err="1"/>
                      <a:t>deporte</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0B18-FA4D-AEA7-5C5F84799EF8}"/>
                </c:ext>
              </c:extLst>
            </c:dLbl>
            <c:dLbl>
              <c:idx val="6"/>
              <c:layout>
                <c:manualLayout>
                  <c:x val="-4.7036688617121351E-3"/>
                  <c:y val="8.06289054626079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B18-FA4D-AEA7-5C5F84799EF8}"/>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Hoja1!$A$2:$A$6</c:f>
              <c:numCache>
                <c:formatCode>General</c:formatCode>
                <c:ptCount val="5"/>
                <c:pt idx="0">
                  <c:v>1980</c:v>
                </c:pt>
                <c:pt idx="1">
                  <c:v>1990</c:v>
                </c:pt>
                <c:pt idx="2">
                  <c:v>2000</c:v>
                </c:pt>
                <c:pt idx="3">
                  <c:v>2010</c:v>
                </c:pt>
                <c:pt idx="4">
                  <c:v>2014</c:v>
                </c:pt>
              </c:numCache>
            </c:numRef>
          </c:cat>
          <c:val>
            <c:numRef>
              <c:f>Hoja1!$D$2:$D$6</c:f>
              <c:numCache>
                <c:formatCode>0%</c:formatCode>
                <c:ptCount val="5"/>
                <c:pt idx="0">
                  <c:v>0.47</c:v>
                </c:pt>
                <c:pt idx="1">
                  <c:v>0.46</c:v>
                </c:pt>
                <c:pt idx="2">
                  <c:v>0.34</c:v>
                </c:pt>
                <c:pt idx="3">
                  <c:v>0.48</c:v>
                </c:pt>
                <c:pt idx="4">
                  <c:v>0.34</c:v>
                </c:pt>
              </c:numCache>
            </c:numRef>
          </c:val>
          <c:smooth val="0"/>
          <c:extLst>
            <c:ext xmlns:c16="http://schemas.microsoft.com/office/drawing/2014/chart" uri="{C3380CC4-5D6E-409C-BE32-E72D297353CC}">
              <c16:uniqueId val="{00000010-0B18-FA4D-AEA7-5C5F84799EF8}"/>
            </c:ext>
          </c:extLst>
        </c:ser>
        <c:ser>
          <c:idx val="3"/>
          <c:order val="3"/>
          <c:tx>
            <c:strRef>
              <c:f>Hoja1!$E$1</c:f>
              <c:strCache>
                <c:ptCount val="1"/>
                <c:pt idx="0">
                  <c:v>Mejorar la salud</c:v>
                </c:pt>
              </c:strCache>
            </c:strRef>
          </c:tx>
          <c:spPr>
            <a:ln w="19050">
              <a:solidFill>
                <a:srgbClr val="4472C4">
                  <a:lumMod val="60000"/>
                  <a:lumOff val="40000"/>
                </a:srgbClr>
              </a:solidFill>
              <a:prstDash val="sysDash"/>
            </a:ln>
          </c:spPr>
          <c:marker>
            <c:symbol val="none"/>
          </c:marker>
          <c:dLbls>
            <c:dLbl>
              <c:idx val="2"/>
              <c:layout>
                <c:manualLayout>
                  <c:x val="-2.949852507374642E-2"/>
                  <c:y val="-3.1781655853465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B18-FA4D-AEA7-5C5F84799EF8}"/>
                </c:ext>
              </c:extLst>
            </c:dLbl>
            <c:dLbl>
              <c:idx val="3"/>
              <c:layout>
                <c:manualLayout>
                  <c:x val="-3.0973451327433735E-2"/>
                  <c:y val="-1.5890827926732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B18-FA4D-AEA7-5C5F84799EF8}"/>
                </c:ext>
              </c:extLst>
            </c:dLbl>
            <c:dLbl>
              <c:idx val="4"/>
              <c:layout>
                <c:manualLayout>
                  <c:x val="-7.3740505888091426E-4"/>
                  <c:y val="-6.621074032280903E-3"/>
                </c:manualLayout>
              </c:layout>
              <c:tx>
                <c:rich>
                  <a:bodyPr wrap="square" lIns="38100" tIns="19050" rIns="38100" bIns="19050" anchor="ctr">
                    <a:noAutofit/>
                  </a:bodyPr>
                  <a:lstStyle/>
                  <a:p>
                    <a:pPr>
                      <a:defRPr sz="800" b="0">
                        <a:latin typeface="+mn-lt"/>
                        <a:cs typeface="Times New Roman" panose="02020603050405020304" pitchFamily="18" charset="0"/>
                      </a:defRPr>
                    </a:pPr>
                    <a:fld id="{E01B5163-C5FA-4D0F-9E20-61B9187956EC}" type="VALUE">
                      <a:rPr lang="en-US" sz="800" b="0" smtClean="0">
                        <a:latin typeface="+mn-lt"/>
                        <a:cs typeface="Times New Roman" panose="02020603050405020304" pitchFamily="18" charset="0"/>
                      </a:rPr>
                      <a:pPr>
                        <a:defRPr sz="800" b="0">
                          <a:latin typeface="+mn-lt"/>
                          <a:cs typeface="Times New Roman" panose="02020603050405020304" pitchFamily="18" charset="0"/>
                        </a:defRPr>
                      </a:pPr>
                      <a:t>[VALOR]</a:t>
                    </a:fld>
                    <a:r>
                      <a:rPr lang="en-US" sz="800" b="0" dirty="0">
                        <a:latin typeface="+mn-lt"/>
                        <a:cs typeface="Times New Roman" panose="02020603050405020304" pitchFamily="18" charset="0"/>
                      </a:rPr>
                      <a:t> </a:t>
                    </a:r>
                    <a:r>
                      <a:rPr lang="en-US" sz="800" b="0" dirty="0" err="1">
                        <a:latin typeface="+mn-lt"/>
                        <a:cs typeface="Times New Roman" panose="02020603050405020304" pitchFamily="18" charset="0"/>
                      </a:rPr>
                      <a:t>Mejorar</a:t>
                    </a:r>
                    <a:r>
                      <a:rPr lang="en-US" sz="800" b="0" dirty="0">
                        <a:latin typeface="+mn-lt"/>
                        <a:cs typeface="Times New Roman" panose="02020603050405020304" pitchFamily="18" charset="0"/>
                      </a:rPr>
                      <a:t> la </a:t>
                    </a:r>
                    <a:r>
                      <a:rPr lang="en-US" sz="800" b="0" dirty="0" err="1">
                        <a:latin typeface="+mn-lt"/>
                        <a:cs typeface="Times New Roman" panose="02020603050405020304" pitchFamily="18" charset="0"/>
                      </a:rPr>
                      <a:t>Salud</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498746893363993"/>
                      <c:h val="9.5609814692509329E-2"/>
                    </c:manualLayout>
                  </c15:layout>
                  <c15:dlblFieldTable/>
                  <c15:showDataLabelsRange val="0"/>
                </c:ext>
                <c:ext xmlns:c16="http://schemas.microsoft.com/office/drawing/2014/chart" uri="{C3380CC4-5D6E-409C-BE32-E72D297353CC}">
                  <c16:uniqueId val="{00000013-0B18-FA4D-AEA7-5C5F84799EF8}"/>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2014</c:v>
                </c:pt>
              </c:numCache>
            </c:numRef>
          </c:cat>
          <c:val>
            <c:numRef>
              <c:f>Hoja1!$E$2:$E$6</c:f>
              <c:numCache>
                <c:formatCode>General</c:formatCode>
                <c:ptCount val="5"/>
                <c:pt idx="2" formatCode="0%">
                  <c:v>0.27</c:v>
                </c:pt>
                <c:pt idx="3" formatCode="0%">
                  <c:v>0.41</c:v>
                </c:pt>
                <c:pt idx="4" formatCode="0%">
                  <c:v>0.45</c:v>
                </c:pt>
              </c:numCache>
            </c:numRef>
          </c:val>
          <c:smooth val="0"/>
          <c:extLst>
            <c:ext xmlns:c16="http://schemas.microsoft.com/office/drawing/2014/chart" uri="{C3380CC4-5D6E-409C-BE32-E72D297353CC}">
              <c16:uniqueId val="{00000014-0B18-FA4D-AEA7-5C5F84799EF8}"/>
            </c:ext>
          </c:extLst>
        </c:ser>
        <c:ser>
          <c:idx val="4"/>
          <c:order val="4"/>
          <c:tx>
            <c:strRef>
              <c:f>Hoja1!$F$1</c:f>
              <c:strCache>
                <c:ptCount val="1"/>
                <c:pt idx="0">
                  <c:v>Estar con amigos</c:v>
                </c:pt>
              </c:strCache>
            </c:strRef>
          </c:tx>
          <c:spPr>
            <a:ln>
              <a:solidFill>
                <a:prstClr val="white">
                  <a:lumMod val="65000"/>
                </a:prstClr>
              </a:solidFill>
              <a:prstDash val="dash"/>
            </a:ln>
          </c:spPr>
          <c:marker>
            <c:symbol val="none"/>
          </c:marker>
          <c:dLbls>
            <c:dLbl>
              <c:idx val="4"/>
              <c:layout>
                <c:manualLayout>
                  <c:x val="-7.0555032925682035E-3"/>
                  <c:y val="0"/>
                </c:manualLayout>
              </c:layout>
              <c:tx>
                <c:rich>
                  <a:bodyPr/>
                  <a:lstStyle/>
                  <a:p>
                    <a:fld id="{A2D3382B-8822-4C99-8168-17CF16CC0002}" type="VALUE">
                      <a:rPr lang="en-US" sz="800"/>
                      <a:pPr/>
                      <a:t>[VALOR]</a:t>
                    </a:fld>
                    <a:r>
                      <a:rPr lang="en-US" sz="800"/>
                      <a:t> Estar con amigos/as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0B18-FA4D-AEA7-5C5F84799EF8}"/>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B18-FA4D-AEA7-5C5F84799EF8}"/>
                </c:ext>
              </c:extLst>
            </c:dLbl>
            <c:spPr>
              <a:noFill/>
              <a:ln>
                <a:noFill/>
              </a:ln>
              <a:effectLst/>
            </c:spPr>
            <c:txPr>
              <a:bodyPr wrap="square" lIns="38100" tIns="19050" rIns="38100" bIns="19050" anchor="ctr">
                <a:spAutoFit/>
              </a:bodyPr>
              <a:lstStyle/>
              <a:p>
                <a:pPr>
                  <a:defRPr sz="70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2014</c:v>
                </c:pt>
              </c:numCache>
            </c:numRef>
          </c:cat>
          <c:val>
            <c:numRef>
              <c:f>Hoja1!$F$2:$F$6</c:f>
              <c:numCache>
                <c:formatCode>0%</c:formatCode>
                <c:ptCount val="5"/>
                <c:pt idx="0">
                  <c:v>0.25</c:v>
                </c:pt>
                <c:pt idx="1">
                  <c:v>0.28000000000000003</c:v>
                </c:pt>
                <c:pt idx="2">
                  <c:v>0.24</c:v>
                </c:pt>
                <c:pt idx="3">
                  <c:v>0.28000000000000003</c:v>
                </c:pt>
                <c:pt idx="4">
                  <c:v>0.28000000000000003</c:v>
                </c:pt>
              </c:numCache>
            </c:numRef>
          </c:val>
          <c:smooth val="0"/>
          <c:extLst>
            <c:ext xmlns:c16="http://schemas.microsoft.com/office/drawing/2014/chart" uri="{C3380CC4-5D6E-409C-BE32-E72D297353CC}">
              <c16:uniqueId val="{00000017-0B18-FA4D-AEA7-5C5F84799EF8}"/>
            </c:ext>
          </c:extLst>
        </c:ser>
        <c:ser>
          <c:idx val="5"/>
          <c:order val="5"/>
          <c:tx>
            <c:strRef>
              <c:f>Hoja1!$G$1</c:f>
              <c:strCache>
                <c:ptCount val="1"/>
                <c:pt idx="0">
                  <c:v>Mantener la línea</c:v>
                </c:pt>
              </c:strCache>
            </c:strRef>
          </c:tx>
          <c:spPr>
            <a:ln>
              <a:solidFill>
                <a:schemeClr val="bg1">
                  <a:lumMod val="50000"/>
                </a:schemeClr>
              </a:solidFill>
              <a:prstDash val="sysDot"/>
            </a:ln>
          </c:spPr>
          <c:marker>
            <c:symbol val="none"/>
          </c:marker>
          <c:dLbls>
            <c:dLbl>
              <c:idx val="4"/>
              <c:layout>
                <c:manualLayout>
                  <c:x val="0"/>
                  <c:y val="4.1532943175382225E-2"/>
                </c:manualLayout>
              </c:layout>
              <c:tx>
                <c:rich>
                  <a:bodyPr/>
                  <a:lstStyle/>
                  <a:p>
                    <a:fld id="{DFA416EE-C750-49B8-A457-0BC4DD6D3B3D}" type="VALUE">
                      <a:rPr lang="en-US" sz="700">
                        <a:latin typeface="+mn-lt"/>
                        <a:cs typeface="Times New Roman" panose="02020603050405020304" pitchFamily="18" charset="0"/>
                      </a:rPr>
                      <a:pPr/>
                      <a:t>[VALOR]</a:t>
                    </a:fld>
                    <a:r>
                      <a:rPr lang="en-US" sz="700">
                        <a:latin typeface="+mn-lt"/>
                        <a:cs typeface="Times New Roman" panose="02020603050405020304" pitchFamily="18" charset="0"/>
                      </a:rPr>
                      <a:t> </a:t>
                    </a:r>
                    <a:r>
                      <a:rPr lang="en-US" sz="800">
                        <a:latin typeface="+mn-lt"/>
                        <a:cs typeface="Times New Roman" panose="02020603050405020304" pitchFamily="18" charset="0"/>
                      </a:rPr>
                      <a:t>Mantener la línea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0B18-FA4D-AEA7-5C5F84799EF8}"/>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0B18-FA4D-AEA7-5C5F84799EF8}"/>
                </c:ext>
              </c:extLst>
            </c:dLbl>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Hoja1!$A$2:$A$6</c:f>
              <c:numCache>
                <c:formatCode>General</c:formatCode>
                <c:ptCount val="5"/>
                <c:pt idx="0">
                  <c:v>1980</c:v>
                </c:pt>
                <c:pt idx="1">
                  <c:v>1990</c:v>
                </c:pt>
                <c:pt idx="2">
                  <c:v>2000</c:v>
                </c:pt>
                <c:pt idx="3">
                  <c:v>2010</c:v>
                </c:pt>
                <c:pt idx="4">
                  <c:v>2014</c:v>
                </c:pt>
              </c:numCache>
            </c:numRef>
          </c:cat>
          <c:val>
            <c:numRef>
              <c:f>Hoja1!$G$2:$G$6</c:f>
              <c:numCache>
                <c:formatCode>0%</c:formatCode>
                <c:ptCount val="5"/>
                <c:pt idx="0">
                  <c:v>0.15</c:v>
                </c:pt>
                <c:pt idx="1">
                  <c:v>0.15</c:v>
                </c:pt>
                <c:pt idx="2">
                  <c:v>0.13</c:v>
                </c:pt>
                <c:pt idx="3">
                  <c:v>0.23</c:v>
                </c:pt>
                <c:pt idx="4">
                  <c:v>0.27</c:v>
                </c:pt>
              </c:numCache>
            </c:numRef>
          </c:val>
          <c:smooth val="0"/>
          <c:extLst>
            <c:ext xmlns:c16="http://schemas.microsoft.com/office/drawing/2014/chart" uri="{C3380CC4-5D6E-409C-BE32-E72D297353CC}">
              <c16:uniqueId val="{0000001A-0B18-FA4D-AEA7-5C5F84799EF8}"/>
            </c:ext>
          </c:extLst>
        </c:ser>
        <c:ser>
          <c:idx val="6"/>
          <c:order val="6"/>
          <c:tx>
            <c:strRef>
              <c:f>Hoja1!$H$1</c:f>
              <c:strCache>
                <c:ptCount val="1"/>
                <c:pt idx="0">
                  <c:v>Evasión</c:v>
                </c:pt>
              </c:strCache>
            </c:strRef>
          </c:tx>
          <c:spPr>
            <a:ln>
              <a:solidFill>
                <a:schemeClr val="bg1">
                  <a:lumMod val="50000"/>
                </a:schemeClr>
              </a:solidFill>
              <a:prstDash val="lgDash"/>
            </a:ln>
          </c:spPr>
          <c:marker>
            <c:symbol val="none"/>
          </c:marker>
          <c:dLbls>
            <c:dLbl>
              <c:idx val="4"/>
              <c:tx>
                <c:rich>
                  <a:bodyPr/>
                  <a:lstStyle/>
                  <a:p>
                    <a:fld id="{892279E5-E8D4-4CDF-A16A-033F8C5EC47B}" type="VALUE">
                      <a:rPr lang="en-US"/>
                      <a:pPr/>
                      <a:t>[VALOR]</a:t>
                    </a:fld>
                    <a:r>
                      <a:rPr lang="en-US"/>
                      <a:t> Evasión</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0B18-FA4D-AEA7-5C5F84799EF8}"/>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0B18-FA4D-AEA7-5C5F84799EF8}"/>
                </c:ext>
              </c:extLst>
            </c:dLbl>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2014</c:v>
                </c:pt>
              </c:numCache>
            </c:numRef>
          </c:cat>
          <c:val>
            <c:numRef>
              <c:f>Hoja1!$H$2:$H$6</c:f>
              <c:numCache>
                <c:formatCode>0%</c:formatCode>
                <c:ptCount val="5"/>
                <c:pt idx="0">
                  <c:v>0.14000000000000001</c:v>
                </c:pt>
                <c:pt idx="1">
                  <c:v>0.08</c:v>
                </c:pt>
                <c:pt idx="2">
                  <c:v>0.08</c:v>
                </c:pt>
                <c:pt idx="3">
                  <c:v>0.15</c:v>
                </c:pt>
                <c:pt idx="4">
                  <c:v>0.18</c:v>
                </c:pt>
              </c:numCache>
            </c:numRef>
          </c:val>
          <c:smooth val="0"/>
          <c:extLst>
            <c:ext xmlns:c16="http://schemas.microsoft.com/office/drawing/2014/chart" uri="{C3380CC4-5D6E-409C-BE32-E72D297353CC}">
              <c16:uniqueId val="{0000001D-0B18-FA4D-AEA7-5C5F84799EF8}"/>
            </c:ext>
          </c:extLst>
        </c:ser>
        <c:ser>
          <c:idx val="7"/>
          <c:order val="7"/>
          <c:tx>
            <c:strRef>
              <c:f>Hoja1!$I$1</c:f>
              <c:strCache>
                <c:ptCount val="1"/>
                <c:pt idx="0">
                  <c:v>Competir</c:v>
                </c:pt>
              </c:strCache>
            </c:strRef>
          </c:tx>
          <c:spPr>
            <a:ln>
              <a:solidFill>
                <a:schemeClr val="tx1"/>
              </a:solidFill>
              <a:prstDash val="sysDash"/>
            </a:ln>
          </c:spPr>
          <c:marker>
            <c:symbol val="none"/>
          </c:marker>
          <c:dLbls>
            <c:dLbl>
              <c:idx val="4"/>
              <c:layout>
                <c:manualLayout>
                  <c:x val="1.4245014245014246E-3"/>
                  <c:y val="-5.2969426422442853E-3"/>
                </c:manualLayout>
              </c:layout>
              <c:tx>
                <c:rich>
                  <a:bodyPr/>
                  <a:lstStyle/>
                  <a:p>
                    <a:fld id="{24D37D59-0793-4F2A-A0B1-29C2C96D6EB8}" type="VALUE">
                      <a:rPr lang="en-US" smtClean="0"/>
                      <a:pPr/>
                      <a:t>[VALOR]</a:t>
                    </a:fld>
                    <a:r>
                      <a:rPr lang="en-US" dirty="0"/>
                      <a:t> </a:t>
                    </a:r>
                    <a:r>
                      <a:rPr lang="en-US" sz="800" b="0" dirty="0" err="1">
                        <a:latin typeface="Times New Roman" panose="02020603050405020304" pitchFamily="18" charset="0"/>
                        <a:cs typeface="Times New Roman" panose="02020603050405020304" pitchFamily="18" charset="0"/>
                      </a:rPr>
                      <a:t>Competir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E-0B18-FA4D-AEA7-5C5F84799EF8}"/>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Hoja1!$A$2:$A$6</c:f>
              <c:numCache>
                <c:formatCode>General</c:formatCode>
                <c:ptCount val="5"/>
                <c:pt idx="0">
                  <c:v>1980</c:v>
                </c:pt>
                <c:pt idx="1">
                  <c:v>1990</c:v>
                </c:pt>
                <c:pt idx="2">
                  <c:v>2000</c:v>
                </c:pt>
                <c:pt idx="3">
                  <c:v>2010</c:v>
                </c:pt>
                <c:pt idx="4">
                  <c:v>2014</c:v>
                </c:pt>
              </c:numCache>
            </c:numRef>
          </c:cat>
          <c:val>
            <c:numRef>
              <c:f>Hoja1!$I$2:$I$6</c:f>
              <c:numCache>
                <c:formatCode>0%</c:formatCode>
                <c:ptCount val="5"/>
                <c:pt idx="0">
                  <c:v>0.04</c:v>
                </c:pt>
                <c:pt idx="1">
                  <c:v>0.04</c:v>
                </c:pt>
                <c:pt idx="2">
                  <c:v>0.04</c:v>
                </c:pt>
                <c:pt idx="3">
                  <c:v>0.05</c:v>
                </c:pt>
                <c:pt idx="4">
                  <c:v>0.05</c:v>
                </c:pt>
              </c:numCache>
            </c:numRef>
          </c:val>
          <c:smooth val="0"/>
          <c:extLst>
            <c:ext xmlns:c16="http://schemas.microsoft.com/office/drawing/2014/chart" uri="{C3380CC4-5D6E-409C-BE32-E72D297353CC}">
              <c16:uniqueId val="{0000001F-0B18-FA4D-AEA7-5C5F84799EF8}"/>
            </c:ext>
          </c:extLst>
        </c:ser>
        <c:dLbls>
          <c:showLegendKey val="0"/>
          <c:showVal val="0"/>
          <c:showCatName val="0"/>
          <c:showSerName val="0"/>
          <c:showPercent val="0"/>
          <c:showBubbleSize val="0"/>
        </c:dLbls>
        <c:smooth val="0"/>
        <c:axId val="-1306848496"/>
        <c:axId val="-1306824560"/>
      </c:lineChart>
      <c:catAx>
        <c:axId val="-1306848496"/>
        <c:scaling>
          <c:orientation val="minMax"/>
        </c:scaling>
        <c:delete val="0"/>
        <c:axPos val="b"/>
        <c:numFmt formatCode="General" sourceLinked="1"/>
        <c:majorTickMark val="out"/>
        <c:minorTickMark val="none"/>
        <c:tickLblPos val="nextTo"/>
        <c:txPr>
          <a:bodyPr/>
          <a:lstStyle/>
          <a:p>
            <a:pPr>
              <a:defRPr sz="800">
                <a:latin typeface="+mn-lt"/>
                <a:cs typeface="Times New Roman" panose="02020603050405020304" pitchFamily="18" charset="0"/>
              </a:defRPr>
            </a:pPr>
            <a:endParaRPr lang="es-ES"/>
          </a:p>
        </c:txPr>
        <c:crossAx val="-1306824560"/>
        <c:crosses val="autoZero"/>
        <c:auto val="1"/>
        <c:lblAlgn val="ctr"/>
        <c:lblOffset val="100"/>
        <c:noMultiLvlLbl val="0"/>
      </c:catAx>
      <c:valAx>
        <c:axId val="-1306824560"/>
        <c:scaling>
          <c:orientation val="minMax"/>
        </c:scaling>
        <c:delete val="0"/>
        <c:axPos val="l"/>
        <c:numFmt formatCode="0%" sourceLinked="1"/>
        <c:majorTickMark val="out"/>
        <c:minorTickMark val="none"/>
        <c:tickLblPos val="nextTo"/>
        <c:txPr>
          <a:bodyPr/>
          <a:lstStyle/>
          <a:p>
            <a:pPr>
              <a:defRPr sz="800">
                <a:latin typeface="+mn-lt"/>
                <a:cs typeface="Times New Roman" panose="02020603050405020304" pitchFamily="18" charset="0"/>
              </a:defRPr>
            </a:pPr>
            <a:endParaRPr lang="es-ES"/>
          </a:p>
        </c:txPr>
        <c:crossAx val="-1306848496"/>
        <c:crosses val="autoZero"/>
        <c:crossBetween val="between"/>
      </c:valAx>
    </c:plotArea>
    <c:legend>
      <c:legendPos val="b"/>
      <c:layout>
        <c:manualLayout>
          <c:xMode val="edge"/>
          <c:yMode val="edge"/>
          <c:x val="7.6923076923076927E-2"/>
          <c:y val="0.85611460081385216"/>
          <c:w val="0.86324786324786318"/>
          <c:h val="9.7788824159864646E-2"/>
        </c:manualLayout>
      </c:layout>
      <c:overlay val="0"/>
      <c:txPr>
        <a:bodyPr/>
        <a:lstStyle/>
        <a:p>
          <a:pPr>
            <a:defRPr sz="800">
              <a:solidFill>
                <a:sysClr val="windowText" lastClr="000000"/>
              </a:solidFill>
              <a:latin typeface="+mn-lt"/>
              <a:cs typeface="Times New Roman" panose="02020603050405020304" pitchFamily="18" charset="0"/>
            </a:defRPr>
          </a:pPr>
          <a:endParaRPr lang="es-ES"/>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843352841952869E-3"/>
          <c:y val="1.2424649779635801E-3"/>
          <c:w val="0.98753132874869387"/>
          <c:h val="0.80063776163220168"/>
        </c:manualLayout>
      </c:layout>
      <c:barChart>
        <c:barDir val="col"/>
        <c:grouping val="clustered"/>
        <c:varyColors val="0"/>
        <c:ser>
          <c:idx val="0"/>
          <c:order val="0"/>
          <c:tx>
            <c:strRef>
              <c:f>Sheet1!$A$2</c:f>
              <c:strCache>
                <c:ptCount val="1"/>
                <c:pt idx="0">
                  <c:v>1980</c:v>
                </c:pt>
              </c:strCache>
            </c:strRef>
          </c:tx>
          <c:spPr>
            <a:solidFill>
              <a:srgbClr val="44546A">
                <a:lumMod val="75000"/>
              </a:srgbClr>
            </a:solidFill>
            <a:ln w="25349">
              <a:noFill/>
            </a:ln>
          </c:spPr>
          <c:invertIfNegative val="0"/>
          <c:dLbls>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Sheet1!$B$1:$L$1</c:f>
              <c:strCache>
                <c:ptCount val="11"/>
                <c:pt idx="0">
                  <c:v>Ginmasia, Aerobic, Danza, Relajación</c:v>
                </c:pt>
                <c:pt idx="1">
                  <c:v>Senderismo Montañismo</c:v>
                </c:pt>
                <c:pt idx="2">
                  <c:v>Ciclismo</c:v>
                </c:pt>
                <c:pt idx="3">
                  <c:v>Pádel</c:v>
                </c:pt>
                <c:pt idx="4">
                  <c:v>Musculación</c:v>
                </c:pt>
                <c:pt idx="5">
                  <c:v>Natación</c:v>
                </c:pt>
                <c:pt idx="6">
                  <c:v>Fútbol</c:v>
                </c:pt>
                <c:pt idx="7">
                  <c:v>Carrera a pie Running</c:v>
                </c:pt>
                <c:pt idx="8">
                  <c:v>Tenis</c:v>
                </c:pt>
                <c:pt idx="9">
                  <c:v>Baloncesto</c:v>
                </c:pt>
                <c:pt idx="10">
                  <c:v>Balonmano</c:v>
                </c:pt>
              </c:strCache>
            </c:strRef>
          </c:cat>
          <c:val>
            <c:numRef>
              <c:f>Sheet1!$B$2:$L$2</c:f>
              <c:numCache>
                <c:formatCode>0%</c:formatCode>
                <c:ptCount val="11"/>
                <c:pt idx="0">
                  <c:v>0.18</c:v>
                </c:pt>
                <c:pt idx="1">
                  <c:v>0.01</c:v>
                </c:pt>
                <c:pt idx="2">
                  <c:v>0.14000000000000001</c:v>
                </c:pt>
                <c:pt idx="3">
                  <c:v>0</c:v>
                </c:pt>
                <c:pt idx="4">
                  <c:v>0</c:v>
                </c:pt>
                <c:pt idx="5">
                  <c:v>0.32</c:v>
                </c:pt>
                <c:pt idx="6">
                  <c:v>0.42</c:v>
                </c:pt>
                <c:pt idx="7">
                  <c:v>0.24</c:v>
                </c:pt>
                <c:pt idx="8">
                  <c:v>0.21</c:v>
                </c:pt>
                <c:pt idx="9">
                  <c:v>0.23</c:v>
                </c:pt>
                <c:pt idx="10">
                  <c:v>0.09</c:v>
                </c:pt>
              </c:numCache>
            </c:numRef>
          </c:val>
          <c:extLst>
            <c:ext xmlns:c16="http://schemas.microsoft.com/office/drawing/2014/chart" uri="{C3380CC4-5D6E-409C-BE32-E72D297353CC}">
              <c16:uniqueId val="{00000000-E7DC-7948-AD7A-08B717D35540}"/>
            </c:ext>
          </c:extLst>
        </c:ser>
        <c:ser>
          <c:idx val="2"/>
          <c:order val="1"/>
          <c:tx>
            <c:strRef>
              <c:f>Sheet1!$A$3</c:f>
              <c:strCache>
                <c:ptCount val="1"/>
                <c:pt idx="0">
                  <c:v>2022</c:v>
                </c:pt>
              </c:strCache>
            </c:strRef>
          </c:tx>
          <c:spPr>
            <a:solidFill>
              <a:srgbClr val="4472C4">
                <a:lumMod val="60000"/>
                <a:lumOff val="40000"/>
              </a:srgbClr>
            </a:solidFill>
            <a:ln w="25349">
              <a:noFill/>
            </a:ln>
          </c:spPr>
          <c:invertIfNegative val="0"/>
          <c:dLbls>
            <c:dLbl>
              <c:idx val="5"/>
              <c:layout>
                <c:manualLayout>
                  <c:x val="4.1071978642570357E-3"/>
                  <c:y val="-8.401980544247841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DC-7948-AD7A-08B717D35540}"/>
                </c:ext>
              </c:extLst>
            </c:dLbl>
            <c:dLbl>
              <c:idx val="6"/>
              <c:layout>
                <c:manualLayout>
                  <c:x val="6.1607967963856662E-3"/>
                  <c:y val="4.58295142071494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DC-7948-AD7A-08B717D35540}"/>
                </c:ext>
              </c:extLst>
            </c:dLbl>
            <c:dLbl>
              <c:idx val="7"/>
              <c:layout>
                <c:manualLayout>
                  <c:x val="6.1607967963856662E-3"/>
                  <c:y val="9.16590284142979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DC-7948-AD7A-08B717D35540}"/>
                </c:ext>
              </c:extLst>
            </c:dLbl>
            <c:dLbl>
              <c:idx val="9"/>
              <c:layout>
                <c:manualLayout>
                  <c:x val="6.1607967963856662E-3"/>
                  <c:y val="4.58295142071494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DC-7948-AD7A-08B717D35540}"/>
                </c:ext>
              </c:extLst>
            </c:dLbl>
            <c:dLbl>
              <c:idx val="10"/>
              <c:layout>
                <c:manualLayout>
                  <c:x val="6.1607967963855153E-3"/>
                  <c:y val="4.58295142071485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DC-7948-AD7A-08B717D35540}"/>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Sheet1!$B$1:$L$1</c:f>
              <c:strCache>
                <c:ptCount val="11"/>
                <c:pt idx="0">
                  <c:v>Ginmasia, Aerobic, Danza, Relajación</c:v>
                </c:pt>
                <c:pt idx="1">
                  <c:v>Senderismo Montañismo</c:v>
                </c:pt>
                <c:pt idx="2">
                  <c:v>Ciclismo</c:v>
                </c:pt>
                <c:pt idx="3">
                  <c:v>Pádel</c:v>
                </c:pt>
                <c:pt idx="4">
                  <c:v>Musculación</c:v>
                </c:pt>
                <c:pt idx="5">
                  <c:v>Natación</c:v>
                </c:pt>
                <c:pt idx="6">
                  <c:v>Fútbol</c:v>
                </c:pt>
                <c:pt idx="7">
                  <c:v>Carrera a pie Running</c:v>
                </c:pt>
                <c:pt idx="8">
                  <c:v>Tenis</c:v>
                </c:pt>
                <c:pt idx="9">
                  <c:v>Baloncesto</c:v>
                </c:pt>
                <c:pt idx="10">
                  <c:v>Balonmano</c:v>
                </c:pt>
              </c:strCache>
            </c:strRef>
          </c:cat>
          <c:val>
            <c:numRef>
              <c:f>Sheet1!$B$3:$L$3</c:f>
              <c:numCache>
                <c:formatCode>0%</c:formatCode>
                <c:ptCount val="11"/>
                <c:pt idx="0">
                  <c:v>0.61</c:v>
                </c:pt>
                <c:pt idx="1">
                  <c:v>0.31</c:v>
                </c:pt>
                <c:pt idx="2">
                  <c:v>0.28000000000000003</c:v>
                </c:pt>
                <c:pt idx="3">
                  <c:v>0.16</c:v>
                </c:pt>
                <c:pt idx="4">
                  <c:v>0.17</c:v>
                </c:pt>
                <c:pt idx="5">
                  <c:v>0.27</c:v>
                </c:pt>
                <c:pt idx="6">
                  <c:v>0.23</c:v>
                </c:pt>
                <c:pt idx="7">
                  <c:v>0.19</c:v>
                </c:pt>
                <c:pt idx="8">
                  <c:v>0.08</c:v>
                </c:pt>
                <c:pt idx="9">
                  <c:v>0.1</c:v>
                </c:pt>
                <c:pt idx="10">
                  <c:v>0.03</c:v>
                </c:pt>
              </c:numCache>
            </c:numRef>
          </c:val>
          <c:extLst>
            <c:ext xmlns:c16="http://schemas.microsoft.com/office/drawing/2014/chart" uri="{C3380CC4-5D6E-409C-BE32-E72D297353CC}">
              <c16:uniqueId val="{00000006-E7DC-7948-AD7A-08B717D35540}"/>
            </c:ext>
          </c:extLst>
        </c:ser>
        <c:dLbls>
          <c:showLegendKey val="0"/>
          <c:showVal val="0"/>
          <c:showCatName val="0"/>
          <c:showSerName val="0"/>
          <c:showPercent val="0"/>
          <c:showBubbleSize val="0"/>
        </c:dLbls>
        <c:gapWidth val="150"/>
        <c:axId val="-1306833808"/>
        <c:axId val="-1306846320"/>
      </c:barChart>
      <c:catAx>
        <c:axId val="-1306833808"/>
        <c:scaling>
          <c:orientation val="minMax"/>
        </c:scaling>
        <c:delete val="0"/>
        <c:axPos val="b"/>
        <c:numFmt formatCode="General" sourceLinked="1"/>
        <c:majorTickMark val="out"/>
        <c:minorTickMark val="none"/>
        <c:tickLblPos val="nextTo"/>
        <c:spPr>
          <a:ln w="3169">
            <a:solidFill>
              <a:srgbClr val="000000"/>
            </a:solidFill>
            <a:prstDash val="solid"/>
          </a:ln>
        </c:spPr>
        <c:txPr>
          <a:bodyPr rot="0" vert="horz"/>
          <a:lstStyle/>
          <a:p>
            <a:pPr>
              <a:defRPr sz="798" b="0" i="0" u="none" strike="noStrike" baseline="0">
                <a:solidFill>
                  <a:srgbClr val="000000"/>
                </a:solidFill>
                <a:latin typeface="+mn-lt"/>
                <a:ea typeface="Arial"/>
                <a:cs typeface="Times New Roman" panose="02020603050405020304" pitchFamily="18" charset="0"/>
              </a:defRPr>
            </a:pPr>
            <a:endParaRPr lang="es-ES"/>
          </a:p>
        </c:txPr>
        <c:crossAx val="-1306846320"/>
        <c:crosses val="autoZero"/>
        <c:auto val="0"/>
        <c:lblAlgn val="ctr"/>
        <c:lblOffset val="100"/>
        <c:tickLblSkip val="1"/>
        <c:tickMarkSkip val="1"/>
        <c:noMultiLvlLbl val="0"/>
      </c:catAx>
      <c:valAx>
        <c:axId val="-1306846320"/>
        <c:scaling>
          <c:orientation val="minMax"/>
        </c:scaling>
        <c:delete val="1"/>
        <c:axPos val="l"/>
        <c:numFmt formatCode="0%" sourceLinked="0"/>
        <c:majorTickMark val="out"/>
        <c:minorTickMark val="none"/>
        <c:tickLblPos val="nextTo"/>
        <c:crossAx val="-1306833808"/>
        <c:crosses val="autoZero"/>
        <c:crossBetween val="between"/>
      </c:valAx>
      <c:spPr>
        <a:noFill/>
        <a:ln w="12674">
          <a:noFill/>
          <a:prstDash val="solid"/>
        </a:ln>
      </c:spPr>
    </c:plotArea>
    <c:legend>
      <c:legendPos val="b"/>
      <c:layout>
        <c:manualLayout>
          <c:xMode val="edge"/>
          <c:yMode val="edge"/>
          <c:x val="0.41617074440219792"/>
          <c:y val="0.95031412740074173"/>
          <c:w val="0.16174524658943626"/>
          <c:h val="4.9107142857142856E-2"/>
        </c:manualLayout>
      </c:layout>
      <c:overlay val="0"/>
      <c:spPr>
        <a:noFill/>
        <a:ln w="3169">
          <a:noFill/>
          <a:prstDash val="solid"/>
        </a:ln>
      </c:spPr>
      <c:txPr>
        <a:bodyPr/>
        <a:lstStyle/>
        <a:p>
          <a:pPr>
            <a:defRPr sz="900" b="0" i="0" u="none" strike="noStrike" baseline="0">
              <a:solidFill>
                <a:srgbClr val="000000"/>
              </a:solidFill>
              <a:latin typeface="+mn-lt"/>
              <a:ea typeface="Arial"/>
              <a:cs typeface="Times New Roman" panose="02020603050405020304" pitchFamily="18" charset="0"/>
            </a:defRPr>
          </a:pPr>
          <a:endParaRPr lang="es-ES"/>
        </a:p>
      </c:txPr>
    </c:legend>
    <c:plotVisOnly val="1"/>
    <c:dispBlanksAs val="gap"/>
    <c:showDLblsOverMax val="0"/>
  </c:chart>
  <c:spPr>
    <a:noFill/>
    <a:ln>
      <a:noFill/>
    </a:ln>
  </c:spPr>
  <c:txPr>
    <a:bodyPr/>
    <a:lstStyle/>
    <a:p>
      <a:pPr>
        <a:defRPr sz="998" b="0" i="0" u="none" strike="noStrike" baseline="0">
          <a:solidFill>
            <a:srgbClr val="000000"/>
          </a:solidFill>
          <a:latin typeface="Arial"/>
          <a:ea typeface="Arial"/>
          <a:cs typeface="Arial"/>
        </a:defRPr>
      </a:pPr>
      <a:endParaRPr lang="es-E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6829319782816407E-2"/>
          <c:y val="6.5316107331243795E-2"/>
          <c:w val="0.89616854689965264"/>
          <c:h val="0.79703904456352603"/>
        </c:manualLayout>
      </c:layout>
      <c:lineChart>
        <c:grouping val="standard"/>
        <c:varyColors val="0"/>
        <c:ser>
          <c:idx val="0"/>
          <c:order val="0"/>
          <c:tx>
            <c:strRef>
              <c:f>Hoja1!$B$1</c:f>
              <c:strCache>
                <c:ptCount val="1"/>
                <c:pt idx="0">
                  <c:v>Instalaciones públicas</c:v>
                </c:pt>
              </c:strCache>
            </c:strRef>
          </c:tx>
          <c:spPr>
            <a:ln w="19050">
              <a:solidFill>
                <a:srgbClr val="44546A">
                  <a:lumMod val="75000"/>
                </a:srgbClr>
              </a:solidFill>
            </a:ln>
          </c:spPr>
          <c:marker>
            <c:symbol val="none"/>
          </c:marker>
          <c:dLbls>
            <c:dLbl>
              <c:idx val="0"/>
              <c:layout>
                <c:manualLayout>
                  <c:x val="-3.2925682031984947E-2"/>
                  <c:y val="-1.50914921712885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1E-D348-BCFF-131341B95EF3}"/>
                </c:ext>
              </c:extLst>
            </c:dLbl>
            <c:dLbl>
              <c:idx val="1"/>
              <c:layout>
                <c:manualLayout>
                  <c:x val="-4.2333019755409221E-2"/>
                  <c:y val="-1.88643652141105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1E-D348-BCFF-131341B95EF3}"/>
                </c:ext>
              </c:extLst>
            </c:dLbl>
            <c:dLbl>
              <c:idx val="2"/>
              <c:layout>
                <c:manualLayout>
                  <c:x val="-3.7629350893697081E-2"/>
                  <c:y val="-2.26372382569326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A1E-D348-BCFF-131341B95EF3}"/>
                </c:ext>
              </c:extLst>
            </c:dLbl>
            <c:dLbl>
              <c:idx val="3"/>
              <c:layout>
                <c:manualLayout>
                  <c:x val="-3.9981185324553241E-2"/>
                  <c:y val="-3.4596842009217997E-2"/>
                </c:manualLayout>
              </c:layout>
              <c:tx>
                <c:rich>
                  <a:bodyPr/>
                  <a:lstStyle/>
                  <a:p>
                    <a:fld id="{D6F72D79-38B8-4403-9B5E-CDFA1D0CCB94}" type="VALUE">
                      <a:rPr lang="en-US"/>
                      <a:pPr/>
                      <a:t>[VALOR]</a:t>
                    </a:fld>
                    <a:r>
                      <a:rPr lang="en-US"/>
                      <a:t> Instalaciones Públicas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A1E-D348-BCFF-131341B95EF3}"/>
                </c:ext>
              </c:extLst>
            </c:dLbl>
            <c:spPr>
              <a:noFill/>
              <a:ln>
                <a:noFill/>
              </a:ln>
              <a:effectLst/>
            </c:spPr>
            <c:txPr>
              <a:bodyPr wrap="square" lIns="38100" tIns="19050" rIns="38100" bIns="19050" anchor="ctr">
                <a:spAutoFit/>
              </a:bodyPr>
              <a:lstStyle/>
              <a:p>
                <a:pPr>
                  <a:defRPr sz="800"/>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Hoja1!$B$2:$B$6</c:f>
              <c:numCache>
                <c:formatCode>0%</c:formatCode>
                <c:ptCount val="5"/>
                <c:pt idx="0">
                  <c:v>0.33</c:v>
                </c:pt>
                <c:pt idx="1">
                  <c:v>0.4</c:v>
                </c:pt>
                <c:pt idx="2">
                  <c:v>0.54</c:v>
                </c:pt>
                <c:pt idx="3">
                  <c:v>0.51</c:v>
                </c:pt>
              </c:numCache>
            </c:numRef>
          </c:val>
          <c:smooth val="0"/>
          <c:extLst>
            <c:ext xmlns:c16="http://schemas.microsoft.com/office/drawing/2014/chart" uri="{C3380CC4-5D6E-409C-BE32-E72D297353CC}">
              <c16:uniqueId val="{00000004-CA1E-D348-BCFF-131341B95EF3}"/>
            </c:ext>
          </c:extLst>
        </c:ser>
        <c:ser>
          <c:idx val="1"/>
          <c:order val="1"/>
          <c:tx>
            <c:strRef>
              <c:f>Hoja1!$C$1</c:f>
              <c:strCache>
                <c:ptCount val="1"/>
                <c:pt idx="0">
                  <c:v>Lugares públicos aire libre</c:v>
                </c:pt>
              </c:strCache>
            </c:strRef>
          </c:tx>
          <c:spPr>
            <a:ln w="19050">
              <a:solidFill>
                <a:srgbClr val="5B9BD5">
                  <a:lumMod val="75000"/>
                </a:srgbClr>
              </a:solidFill>
            </a:ln>
          </c:spPr>
          <c:marker>
            <c:symbol val="none"/>
          </c:marker>
          <c:dLbls>
            <c:dLbl>
              <c:idx val="0"/>
              <c:layout>
                <c:manualLayout>
                  <c:x val="-3.2925682031984947E-2"/>
                  <c:y val="-1.88643652141105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A1E-D348-BCFF-131341B95EF3}"/>
                </c:ext>
              </c:extLst>
            </c:dLbl>
            <c:dLbl>
              <c:idx val="1"/>
              <c:delete val="1"/>
              <c:extLst>
                <c:ext xmlns:c15="http://schemas.microsoft.com/office/drawing/2012/chart" uri="{CE6537A1-D6FC-4f65-9D91-7224C49458BB}"/>
                <c:ext xmlns:c16="http://schemas.microsoft.com/office/drawing/2014/chart" uri="{C3380CC4-5D6E-409C-BE32-E72D297353CC}">
                  <c16:uniqueId val="{00000006-CA1E-D348-BCFF-131341B95EF3}"/>
                </c:ext>
              </c:extLst>
            </c:dLbl>
            <c:dLbl>
              <c:idx val="4"/>
              <c:layout>
                <c:manualLayout>
                  <c:x val="0"/>
                  <c:y val="-2.818651338205418E-2"/>
                </c:manualLayout>
              </c:layout>
              <c:tx>
                <c:rich>
                  <a:bodyPr wrap="square" lIns="38100" tIns="19050" rIns="38100" bIns="19050" anchor="ctr">
                    <a:noAutofit/>
                  </a:bodyPr>
                  <a:lstStyle/>
                  <a:p>
                    <a:pPr>
                      <a:defRPr sz="800"/>
                    </a:pPr>
                    <a:fld id="{F0D22549-DB68-48C6-A4BF-7666032C0960}" type="VALUE">
                      <a:rPr lang="en-US"/>
                      <a:pPr>
                        <a:defRPr sz="800"/>
                      </a:pPr>
                      <a:t>[VALOR]</a:t>
                    </a:fld>
                    <a:r>
                      <a:rPr lang="en-US"/>
                      <a:t> Espacios públicos al aire libre</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7624647224835371"/>
                      <c:h val="7.2475469222783112E-2"/>
                    </c:manualLayout>
                  </c15:layout>
                  <c15:dlblFieldTable/>
                  <c15:showDataLabelsRange val="0"/>
                </c:ext>
                <c:ext xmlns:c16="http://schemas.microsoft.com/office/drawing/2014/chart" uri="{C3380CC4-5D6E-409C-BE32-E72D297353CC}">
                  <c16:uniqueId val="{00000007-CA1E-D348-BCFF-131341B95EF3}"/>
                </c:ext>
              </c:extLst>
            </c:dLbl>
            <c:spPr>
              <a:noFill/>
              <a:ln>
                <a:noFill/>
              </a:ln>
              <a:effectLst/>
            </c:spPr>
            <c:txPr>
              <a:bodyPr wrap="square" lIns="38100" tIns="19050" rIns="38100" bIns="19050" anchor="ctr">
                <a:spAutoFit/>
              </a:bodyPr>
              <a:lstStyle/>
              <a:p>
                <a:pPr>
                  <a:defRPr sz="800"/>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Hoja1!$C$2:$C$6</c:f>
              <c:numCache>
                <c:formatCode>0%</c:formatCode>
                <c:ptCount val="5"/>
                <c:pt idx="0">
                  <c:v>0.43</c:v>
                </c:pt>
                <c:pt idx="1">
                  <c:v>0.4</c:v>
                </c:pt>
                <c:pt idx="2">
                  <c:v>0.38</c:v>
                </c:pt>
                <c:pt idx="3">
                  <c:v>0.45</c:v>
                </c:pt>
                <c:pt idx="4">
                  <c:v>0.7</c:v>
                </c:pt>
              </c:numCache>
            </c:numRef>
          </c:val>
          <c:smooth val="0"/>
          <c:extLst>
            <c:ext xmlns:c16="http://schemas.microsoft.com/office/drawing/2014/chart" uri="{C3380CC4-5D6E-409C-BE32-E72D297353CC}">
              <c16:uniqueId val="{00000008-CA1E-D348-BCFF-131341B95EF3}"/>
            </c:ext>
          </c:extLst>
        </c:ser>
        <c:ser>
          <c:idx val="2"/>
          <c:order val="2"/>
          <c:tx>
            <c:strRef>
              <c:f>Hoja1!$D$1</c:f>
              <c:strCache>
                <c:ptCount val="1"/>
                <c:pt idx="0">
                  <c:v>Clubes privados</c:v>
                </c:pt>
              </c:strCache>
            </c:strRef>
          </c:tx>
          <c:spPr>
            <a:ln w="19050">
              <a:solidFill>
                <a:srgbClr val="5B9BD5">
                  <a:lumMod val="50000"/>
                </a:srgbClr>
              </a:solidFill>
              <a:prstDash val="sysDot"/>
            </a:ln>
          </c:spPr>
          <c:marker>
            <c:symbol val="none"/>
          </c:marker>
          <c:dLbls>
            <c:dLbl>
              <c:idx val="0"/>
              <c:layout>
                <c:manualLayout>
                  <c:x val="-3.0573847601128881E-2"/>
                  <c:y val="-1.5091492171288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A1E-D348-BCFF-131341B95EF3}"/>
                </c:ext>
              </c:extLst>
            </c:dLbl>
            <c:dLbl>
              <c:idx val="1"/>
              <c:layout>
                <c:manualLayout>
                  <c:x val="-3.5277516462841017E-2"/>
                  <c:y val="-1.5091492171288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A1E-D348-BCFF-131341B95EF3}"/>
                </c:ext>
              </c:extLst>
            </c:dLbl>
            <c:dLbl>
              <c:idx val="2"/>
              <c:layout>
                <c:manualLayout>
                  <c:x val="-3.5277516462841017E-2"/>
                  <c:y val="1.5091492171288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A1E-D348-BCFF-131341B95EF3}"/>
                </c:ext>
              </c:extLst>
            </c:dLbl>
            <c:dLbl>
              <c:idx val="3"/>
              <c:layout>
                <c:manualLayout>
                  <c:x val="-4.9388523047977508E-2"/>
                  <c:y val="-2.2563876195713671E-2"/>
                </c:manualLayout>
              </c:layout>
              <c:tx>
                <c:rich>
                  <a:bodyPr/>
                  <a:lstStyle/>
                  <a:p>
                    <a:fld id="{1B4A2026-D423-4B31-9096-B4650DFB88D4}" type="VALUE">
                      <a:rPr lang="en-US"/>
                      <a:pPr/>
                      <a:t>[VALOR]</a:t>
                    </a:fld>
                    <a:r>
                      <a:rPr lang="en-US"/>
                      <a:t> Clubes privados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CA1E-D348-BCFF-131341B95EF3}"/>
                </c:ext>
              </c:extLst>
            </c:dLbl>
            <c:spPr>
              <a:noFill/>
              <a:ln>
                <a:noFill/>
              </a:ln>
              <a:effectLst/>
            </c:spPr>
            <c:txPr>
              <a:bodyPr wrap="square" lIns="38100" tIns="19050" rIns="38100" bIns="19050" anchor="ctr">
                <a:spAutoFit/>
              </a:bodyPr>
              <a:lstStyle/>
              <a:p>
                <a:pPr>
                  <a:defRPr sz="800"/>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Hoja1!$D$2:$D$6</c:f>
              <c:numCache>
                <c:formatCode>0%</c:formatCode>
                <c:ptCount val="5"/>
                <c:pt idx="0">
                  <c:v>0.25</c:v>
                </c:pt>
                <c:pt idx="1">
                  <c:v>0.25</c:v>
                </c:pt>
                <c:pt idx="2">
                  <c:v>0.17</c:v>
                </c:pt>
                <c:pt idx="3">
                  <c:v>0.18</c:v>
                </c:pt>
              </c:numCache>
            </c:numRef>
          </c:val>
          <c:smooth val="0"/>
          <c:extLst>
            <c:ext xmlns:c16="http://schemas.microsoft.com/office/drawing/2014/chart" uri="{C3380CC4-5D6E-409C-BE32-E72D297353CC}">
              <c16:uniqueId val="{0000000D-CA1E-D348-BCFF-131341B95EF3}"/>
            </c:ext>
          </c:extLst>
        </c:ser>
        <c:ser>
          <c:idx val="3"/>
          <c:order val="3"/>
          <c:tx>
            <c:strRef>
              <c:f>Hoja1!$E$1</c:f>
              <c:strCache>
                <c:ptCount val="1"/>
                <c:pt idx="0">
                  <c:v>Centros de enseñanza</c:v>
                </c:pt>
              </c:strCache>
            </c:strRef>
          </c:tx>
          <c:spPr>
            <a:ln>
              <a:solidFill>
                <a:srgbClr val="5B9BD5">
                  <a:lumMod val="75000"/>
                </a:srgbClr>
              </a:solidFill>
              <a:prstDash val="dash"/>
            </a:ln>
          </c:spPr>
          <c:marker>
            <c:symbol val="none"/>
          </c:marker>
          <c:dLbls>
            <c:dLbl>
              <c:idx val="0"/>
              <c:layout>
                <c:manualLayout>
                  <c:x val="-2.3518344308560677E-2"/>
                  <c:y val="-1.5091492171288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A1E-D348-BCFF-131341B95EF3}"/>
                </c:ext>
              </c:extLst>
            </c:dLbl>
            <c:dLbl>
              <c:idx val="1"/>
              <c:layout>
                <c:manualLayout>
                  <c:x val="-1.881467544684854E-2"/>
                  <c:y val="-1.5091492171288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A1E-D348-BCFF-131341B95EF3}"/>
                </c:ext>
              </c:extLst>
            </c:dLbl>
            <c:dLbl>
              <c:idx val="2"/>
              <c:layout>
                <c:manualLayout>
                  <c:x val="-3.0573847601128881E-2"/>
                  <c:y val="-1.5091492171288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A1E-D348-BCFF-131341B95EF3}"/>
                </c:ext>
              </c:extLst>
            </c:dLbl>
            <c:dLbl>
              <c:idx val="3"/>
              <c:layout>
                <c:manualLayout>
                  <c:x val="-5.1740357478833578E-2"/>
                  <c:y val="-7.54574608564421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A1E-D348-BCFF-131341B95EF3}"/>
                </c:ext>
              </c:extLst>
            </c:dLbl>
            <c:dLbl>
              <c:idx val="4"/>
              <c:layout>
                <c:manualLayout>
                  <c:x val="0"/>
                  <c:y val="-8.7546330432466696E-3"/>
                </c:manualLayout>
              </c:layout>
              <c:tx>
                <c:rich>
                  <a:bodyPr/>
                  <a:lstStyle/>
                  <a:p>
                    <a:fld id="{AB7859C6-B9AE-47B8-A8E7-FB19307412CB}" type="VALUE">
                      <a:rPr lang="en-US"/>
                      <a:pPr/>
                      <a:t>[VALOR]</a:t>
                    </a:fld>
                    <a:r>
                      <a:rPr lang="en-US"/>
                      <a:t> Centros de Enseñanza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CA1E-D348-BCFF-131341B95EF3}"/>
                </c:ext>
              </c:extLst>
            </c:dLbl>
            <c:spPr>
              <a:noFill/>
              <a:ln>
                <a:noFill/>
              </a:ln>
              <a:effectLst/>
            </c:spPr>
            <c:txPr>
              <a:bodyPr wrap="square" lIns="38100" tIns="19050" rIns="38100" bIns="19050" anchor="ctr">
                <a:spAutoFit/>
              </a:bodyPr>
              <a:lstStyle/>
              <a:p>
                <a:pPr>
                  <a:defRPr sz="800"/>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Hoja1!$E$2:$E$6</c:f>
              <c:numCache>
                <c:formatCode>0%</c:formatCode>
                <c:ptCount val="5"/>
                <c:pt idx="0">
                  <c:v>0.11</c:v>
                </c:pt>
                <c:pt idx="1">
                  <c:v>0.11</c:v>
                </c:pt>
                <c:pt idx="2">
                  <c:v>0.1</c:v>
                </c:pt>
                <c:pt idx="3">
                  <c:v>0.15</c:v>
                </c:pt>
                <c:pt idx="4">
                  <c:v>0.16</c:v>
                </c:pt>
              </c:numCache>
            </c:numRef>
          </c:val>
          <c:smooth val="0"/>
          <c:extLst>
            <c:ext xmlns:c16="http://schemas.microsoft.com/office/drawing/2014/chart" uri="{C3380CC4-5D6E-409C-BE32-E72D297353CC}">
              <c16:uniqueId val="{00000013-CA1E-D348-BCFF-131341B95EF3}"/>
            </c:ext>
          </c:extLst>
        </c:ser>
        <c:ser>
          <c:idx val="4"/>
          <c:order val="4"/>
          <c:tx>
            <c:strRef>
              <c:f>Hoja1!$F$1</c:f>
              <c:strCache>
                <c:ptCount val="1"/>
                <c:pt idx="0">
                  <c:v>Gimnasios privados</c:v>
                </c:pt>
              </c:strCache>
            </c:strRef>
          </c:tx>
          <c:spPr>
            <a:ln w="19050">
              <a:solidFill>
                <a:srgbClr val="44546A">
                  <a:lumMod val="40000"/>
                  <a:lumOff val="60000"/>
                </a:srgbClr>
              </a:solidFill>
              <a:prstDash val="solid"/>
            </a:ln>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A1E-D348-BCFF-131341B95EF3}"/>
                </c:ext>
              </c:extLst>
            </c:dLbl>
            <c:dLbl>
              <c:idx val="1"/>
              <c:layout>
                <c:manualLayout>
                  <c:x val="-2.5870178739416744E-2"/>
                  <c:y val="2.6410111299754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A1E-D348-BCFF-131341B95EF3}"/>
                </c:ext>
              </c:extLst>
            </c:dLbl>
            <c:dLbl>
              <c:idx val="2"/>
              <c:layout>
                <c:manualLayout>
                  <c:x val="-3.0573847601128881E-2"/>
                  <c:y val="-7.54574608564421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A1E-D348-BCFF-131341B95EF3}"/>
                </c:ext>
              </c:extLst>
            </c:dLbl>
            <c:dLbl>
              <c:idx val="3"/>
              <c:layout>
                <c:manualLayout>
                  <c:x val="-1.7428759786964541E-2"/>
                  <c:y val="-1.5696244984722979E-3"/>
                </c:manualLayout>
              </c:layout>
              <c:tx>
                <c:rich>
                  <a:bodyPr/>
                  <a:lstStyle/>
                  <a:p>
                    <a:fld id="{19881B99-0F5D-4E02-8BFE-F8B2FCB7116B}" type="VALUE">
                      <a:rPr lang="en-US"/>
                      <a:pPr/>
                      <a:t>[VALOR]</a:t>
                    </a:fld>
                    <a:r>
                      <a:rPr lang="en-US"/>
                      <a:t> Gimnasios privados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CA1E-D348-BCFF-131341B95EF3}"/>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CA1E-D348-BCFF-131341B95EF3}"/>
                </c:ext>
              </c:extLst>
            </c:dLbl>
            <c:spPr>
              <a:noFill/>
              <a:ln>
                <a:noFill/>
              </a:ln>
              <a:effectLst/>
            </c:spPr>
            <c:txPr>
              <a:bodyPr wrap="square" lIns="38100" tIns="19050" rIns="38100" bIns="19050" anchor="ctr">
                <a:spAutoFit/>
              </a:bodyPr>
              <a:lstStyle/>
              <a:p>
                <a:pPr>
                  <a:defRPr sz="800" b="0">
                    <a:latin typeface="+mn-lt"/>
                    <a:cs typeface="Times New Roman" panose="02020603050405020304" pitchFamily="18" charset="0"/>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Hoja1!$F$2:$F$6</c:f>
              <c:numCache>
                <c:formatCode>0%</c:formatCode>
                <c:ptCount val="5"/>
                <c:pt idx="0">
                  <c:v>0</c:v>
                </c:pt>
                <c:pt idx="1">
                  <c:v>7.0000000000000007E-2</c:v>
                </c:pt>
                <c:pt idx="2">
                  <c:v>0.08</c:v>
                </c:pt>
                <c:pt idx="3">
                  <c:v>0.13</c:v>
                </c:pt>
              </c:numCache>
            </c:numRef>
          </c:val>
          <c:smooth val="0"/>
          <c:extLst>
            <c:ext xmlns:c16="http://schemas.microsoft.com/office/drawing/2014/chart" uri="{C3380CC4-5D6E-409C-BE32-E72D297353CC}">
              <c16:uniqueId val="{00000019-CA1E-D348-BCFF-131341B95EF3}"/>
            </c:ext>
          </c:extLst>
        </c:ser>
        <c:ser>
          <c:idx val="5"/>
          <c:order val="5"/>
          <c:tx>
            <c:strRef>
              <c:f>Hoja1!$G$1</c:f>
              <c:strCache>
                <c:ptCount val="1"/>
                <c:pt idx="0">
                  <c:v>Casa particular</c:v>
                </c:pt>
              </c:strCache>
            </c:strRef>
          </c:tx>
          <c:spPr>
            <a:ln w="19050">
              <a:solidFill>
                <a:srgbClr val="5B9BD5">
                  <a:lumMod val="40000"/>
                  <a:lumOff val="60000"/>
                </a:srgbClr>
              </a:solidFill>
              <a:prstDash val="solid"/>
            </a:ln>
          </c:spPr>
          <c:marker>
            <c:symbol val="none"/>
          </c:marker>
          <c:dLbls>
            <c:dLbl>
              <c:idx val="0"/>
              <c:layout>
                <c:manualLayout>
                  <c:x val="-2.1166509877704631E-2"/>
                  <c:y val="1.88643652141105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CA1E-D348-BCFF-131341B95EF3}"/>
                </c:ext>
              </c:extLst>
            </c:dLbl>
            <c:dLbl>
              <c:idx val="2"/>
              <c:layout>
                <c:manualLayout>
                  <c:x val="-1.881467544684854E-2"/>
                  <c:y val="1.8864365214110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A1E-D348-BCFF-131341B95EF3}"/>
                </c:ext>
              </c:extLst>
            </c:dLbl>
            <c:dLbl>
              <c:idx val="3"/>
              <c:layout>
                <c:manualLayout>
                  <c:x val="-2.1166509877704697E-2"/>
                  <c:y val="2.2637238256932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CA1E-D348-BCFF-131341B95EF3}"/>
                </c:ext>
              </c:extLst>
            </c:dLbl>
            <c:dLbl>
              <c:idx val="4"/>
              <c:layout>
                <c:manualLayout>
                  <c:x val="0"/>
                  <c:y val="-1.252740369558409E-2"/>
                </c:manualLayout>
              </c:layout>
              <c:tx>
                <c:rich>
                  <a:bodyPr/>
                  <a:lstStyle/>
                  <a:p>
                    <a:fld id="{758E4C7F-5BFF-4816-A3A0-7F2A9424C793}" type="VALUE">
                      <a:rPr lang="en-US"/>
                      <a:pPr/>
                      <a:t>[VALOR]</a:t>
                    </a:fld>
                    <a:r>
                      <a:rPr lang="en-US"/>
                      <a:t> Casa particular</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CA1E-D348-BCFF-131341B95EF3}"/>
                </c:ext>
              </c:extLst>
            </c:dLbl>
            <c:spPr>
              <a:noFill/>
              <a:ln>
                <a:noFill/>
              </a:ln>
              <a:effectLst/>
            </c:spPr>
            <c:txPr>
              <a:bodyPr wrap="square" lIns="38100" tIns="19050" rIns="38100" bIns="19050" anchor="ctr">
                <a:spAutoFit/>
              </a:bodyPr>
              <a:lstStyle/>
              <a:p>
                <a:pPr>
                  <a:defRPr sz="800"/>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Hoja1!$A$2:$A$6</c:f>
              <c:numCache>
                <c:formatCode>General</c:formatCode>
                <c:ptCount val="5"/>
                <c:pt idx="0">
                  <c:v>1980</c:v>
                </c:pt>
                <c:pt idx="1">
                  <c:v>1990</c:v>
                </c:pt>
                <c:pt idx="2">
                  <c:v>2000</c:v>
                </c:pt>
                <c:pt idx="3">
                  <c:v>2010</c:v>
                </c:pt>
                <c:pt idx="4">
                  <c:v>2022</c:v>
                </c:pt>
              </c:numCache>
            </c:numRef>
          </c:cat>
          <c:val>
            <c:numRef>
              <c:f>Hoja1!$G$2:$G$6</c:f>
              <c:numCache>
                <c:formatCode>0%</c:formatCode>
                <c:ptCount val="5"/>
                <c:pt idx="0">
                  <c:v>0.09</c:v>
                </c:pt>
                <c:pt idx="1">
                  <c:v>0.09</c:v>
                </c:pt>
                <c:pt idx="2">
                  <c:v>7.0000000000000007E-2</c:v>
                </c:pt>
                <c:pt idx="3">
                  <c:v>0.11</c:v>
                </c:pt>
                <c:pt idx="4">
                  <c:v>0.27</c:v>
                </c:pt>
              </c:numCache>
            </c:numRef>
          </c:val>
          <c:smooth val="0"/>
          <c:extLst>
            <c:ext xmlns:c16="http://schemas.microsoft.com/office/drawing/2014/chart" uri="{C3380CC4-5D6E-409C-BE32-E72D297353CC}">
              <c16:uniqueId val="{0000001E-CA1E-D348-BCFF-131341B95EF3}"/>
            </c:ext>
          </c:extLst>
        </c:ser>
        <c:dLbls>
          <c:showLegendKey val="0"/>
          <c:showVal val="0"/>
          <c:showCatName val="0"/>
          <c:showSerName val="0"/>
          <c:showPercent val="0"/>
          <c:showBubbleSize val="0"/>
        </c:dLbls>
        <c:smooth val="0"/>
        <c:axId val="-1306833264"/>
        <c:axId val="-1306832720"/>
      </c:lineChart>
      <c:catAx>
        <c:axId val="-1306833264"/>
        <c:scaling>
          <c:orientation val="minMax"/>
        </c:scaling>
        <c:delete val="0"/>
        <c:axPos val="b"/>
        <c:numFmt formatCode="General" sourceLinked="1"/>
        <c:majorTickMark val="out"/>
        <c:minorTickMark val="none"/>
        <c:tickLblPos val="nextTo"/>
        <c:txPr>
          <a:bodyPr/>
          <a:lstStyle/>
          <a:p>
            <a:pPr>
              <a:defRPr sz="800">
                <a:latin typeface="+mn-lt"/>
                <a:cs typeface="Times New Roman" panose="02020603050405020304" pitchFamily="18" charset="0"/>
              </a:defRPr>
            </a:pPr>
            <a:endParaRPr lang="es-ES"/>
          </a:p>
        </c:txPr>
        <c:crossAx val="-1306832720"/>
        <c:crosses val="autoZero"/>
        <c:auto val="1"/>
        <c:lblAlgn val="ctr"/>
        <c:lblOffset val="100"/>
        <c:noMultiLvlLbl val="0"/>
      </c:catAx>
      <c:valAx>
        <c:axId val="-1306832720"/>
        <c:scaling>
          <c:orientation val="minMax"/>
          <c:max val="0.70000000000000007"/>
        </c:scaling>
        <c:delete val="0"/>
        <c:axPos val="l"/>
        <c:numFmt formatCode="0%" sourceLinked="1"/>
        <c:majorTickMark val="out"/>
        <c:minorTickMark val="none"/>
        <c:tickLblPos val="nextTo"/>
        <c:txPr>
          <a:bodyPr/>
          <a:lstStyle/>
          <a:p>
            <a:pPr>
              <a:defRPr sz="800">
                <a:latin typeface="+mn-lt"/>
                <a:cs typeface="Times New Roman" panose="02020603050405020304" pitchFamily="18" charset="0"/>
              </a:defRPr>
            </a:pPr>
            <a:endParaRPr lang="es-ES"/>
          </a:p>
        </c:txPr>
        <c:crossAx val="-1306833264"/>
        <c:crosses val="autoZero"/>
        <c:crossBetween val="between"/>
      </c:valAx>
    </c:plotArea>
    <c:legend>
      <c:legendPos val="b"/>
      <c:layout>
        <c:manualLayout>
          <c:xMode val="edge"/>
          <c:yMode val="edge"/>
          <c:x val="6.4548292486882847E-2"/>
          <c:y val="0.91424129061850357"/>
          <c:w val="0.90757586980837179"/>
          <c:h val="8.5758709381496434E-2"/>
        </c:manualLayout>
      </c:layout>
      <c:overlay val="0"/>
      <c:txPr>
        <a:bodyPr/>
        <a:lstStyle/>
        <a:p>
          <a:pPr>
            <a:defRPr sz="800">
              <a:latin typeface="+mn-lt"/>
              <a:cs typeface="Times New Roman" panose="02020603050405020304" pitchFamily="18" charset="0"/>
            </a:defRPr>
          </a:pPr>
          <a:endParaRPr lang="es-ES"/>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950732728190884E-2"/>
          <c:y val="4.5987261671147528E-2"/>
          <c:w val="0.88208389756628214"/>
          <c:h val="0.89302673713795333"/>
        </c:manualLayout>
      </c:layout>
      <c:lineChart>
        <c:grouping val="standard"/>
        <c:varyColors val="0"/>
        <c:ser>
          <c:idx val="0"/>
          <c:order val="0"/>
          <c:tx>
            <c:strRef>
              <c:f>Hoja1!$B$1</c:f>
              <c:strCache>
                <c:ptCount val="1"/>
                <c:pt idx="0">
                  <c:v>Hombres</c:v>
                </c:pt>
              </c:strCache>
            </c:strRef>
          </c:tx>
          <c:spPr>
            <a:ln w="19050" cap="sq">
              <a:solidFill>
                <a:srgbClr val="5B9BD5">
                  <a:lumMod val="50000"/>
                </a:srgbClr>
              </a:solidFill>
              <a:prstDash val="solid"/>
              <a:round/>
              <a:tailEnd w="sm" len="sm"/>
            </a:ln>
            <a:effectLst/>
          </c:spPr>
          <c:marker>
            <c:symbol val="circle"/>
            <c:size val="5"/>
            <c:spPr>
              <a:noFill/>
              <a:ln w="19050">
                <a:noFill/>
                <a:prstDash val="solid"/>
              </a:ln>
              <a:effectLst/>
            </c:spPr>
          </c:marker>
          <c:dPt>
            <c:idx val="4"/>
            <c:bubble3D val="0"/>
            <c:spPr>
              <a:ln w="19050" cap="sq">
                <a:solidFill>
                  <a:srgbClr val="5B9BD5">
                    <a:lumMod val="50000"/>
                  </a:srgbClr>
                </a:solidFill>
                <a:prstDash val="solid"/>
                <a:round/>
                <a:tailEnd w="sm" len="sm"/>
              </a:ln>
              <a:effectLst/>
            </c:spPr>
            <c:extLst>
              <c:ext xmlns:c16="http://schemas.microsoft.com/office/drawing/2014/chart" uri="{C3380CC4-5D6E-409C-BE32-E72D297353CC}">
                <c16:uniqueId val="{00000001-3F24-4A61-A521-B59BAF8B4DD7}"/>
              </c:ext>
            </c:extLst>
          </c:dPt>
          <c:dPt>
            <c:idx val="5"/>
            <c:bubble3D val="0"/>
            <c:spPr>
              <a:ln w="19050" cap="sq">
                <a:solidFill>
                  <a:srgbClr val="5B9BD5">
                    <a:lumMod val="50000"/>
                  </a:srgbClr>
                </a:solidFill>
                <a:prstDash val="solid"/>
                <a:round/>
                <a:tailEnd w="sm" len="sm"/>
              </a:ln>
              <a:effectLst/>
            </c:spPr>
            <c:extLst>
              <c:ext xmlns:c16="http://schemas.microsoft.com/office/drawing/2014/chart" uri="{C3380CC4-5D6E-409C-BE32-E72D297353CC}">
                <c16:uniqueId val="{00000003-3F24-4A61-A521-B59BAF8B4DD7}"/>
              </c:ext>
            </c:extLst>
          </c:dPt>
          <c:dPt>
            <c:idx val="6"/>
            <c:bubble3D val="0"/>
            <c:spPr>
              <a:ln w="19050" cap="sq">
                <a:solidFill>
                  <a:srgbClr val="5B9BD5">
                    <a:lumMod val="50000"/>
                  </a:srgbClr>
                </a:solidFill>
                <a:prstDash val="solid"/>
                <a:round/>
                <a:tailEnd w="sm" len="sm"/>
              </a:ln>
              <a:effectLst/>
            </c:spPr>
            <c:extLst>
              <c:ext xmlns:c16="http://schemas.microsoft.com/office/drawing/2014/chart" uri="{C3380CC4-5D6E-409C-BE32-E72D297353CC}">
                <c16:uniqueId val="{00000005-3F24-4A61-A521-B59BAF8B4DD7}"/>
              </c:ext>
            </c:extLst>
          </c:dPt>
          <c:dPt>
            <c:idx val="7"/>
            <c:bubble3D val="0"/>
            <c:spPr>
              <a:ln w="19050" cap="sq">
                <a:solidFill>
                  <a:srgbClr val="5B9BD5">
                    <a:lumMod val="50000"/>
                  </a:srgbClr>
                </a:solidFill>
                <a:prstDash val="solid"/>
                <a:round/>
                <a:tailEnd w="sm" len="sm"/>
              </a:ln>
              <a:effectLst/>
            </c:spPr>
            <c:extLst>
              <c:ext xmlns:c16="http://schemas.microsoft.com/office/drawing/2014/chart" uri="{C3380CC4-5D6E-409C-BE32-E72D297353CC}">
                <c16:uniqueId val="{00000007-3F24-4A61-A521-B59BAF8B4DD7}"/>
              </c:ext>
            </c:extLst>
          </c:dPt>
          <c:dLbls>
            <c:dLbl>
              <c:idx val="0"/>
              <c:layout>
                <c:manualLayout>
                  <c:x val="-4.8011345792936783E-2"/>
                  <c:y val="-3.6397207131261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F24-4A61-A521-B59BAF8B4DD7}"/>
                </c:ext>
              </c:extLst>
            </c:dLbl>
            <c:dLbl>
              <c:idx val="1"/>
              <c:layout>
                <c:manualLayout>
                  <c:x val="-4.3731173043441124E-2"/>
                  <c:y val="-3.48211191027029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F24-4A61-A521-B59BAF8B4DD7}"/>
                </c:ext>
              </c:extLst>
            </c:dLbl>
            <c:dLbl>
              <c:idx val="2"/>
              <c:layout>
                <c:manualLayout>
                  <c:x val="-3.8788743646883547E-2"/>
                  <c:y val="-3.75740166357381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F24-4A61-A521-B59BAF8B4DD7}"/>
                </c:ext>
              </c:extLst>
            </c:dLbl>
            <c:dLbl>
              <c:idx val="3"/>
              <c:layout>
                <c:manualLayout>
                  <c:x val="-3.6085575819090374E-2"/>
                  <c:y val="-4.320228312749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F24-4A61-A521-B59BAF8B4DD7}"/>
                </c:ext>
              </c:extLst>
            </c:dLbl>
            <c:dLbl>
              <c:idx val="4"/>
              <c:layout>
                <c:manualLayout>
                  <c:x val="-4.0735809364375077E-2"/>
                  <c:y val="-3.878924316319065E-2"/>
                </c:manualLayout>
              </c:layout>
              <c:tx>
                <c:rich>
                  <a:bodyPr/>
                  <a:lstStyle/>
                  <a:p>
                    <a:fld id="{BF0326B1-DC28-4858-AE90-6AF9B0000E50}" type="VALUE">
                      <a:rPr lang="en-US" smtClean="0"/>
                      <a:pPr/>
                      <a:t>[VALOR]</a:t>
                    </a:fld>
                    <a:r>
                      <a:rPr lang="en-US" dirty="0"/>
                      <a:t> Hombres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F24-4A61-A521-B59BAF8B4DD7}"/>
                </c:ext>
              </c:extLst>
            </c:dLbl>
            <c:dLbl>
              <c:idx val="5"/>
              <c:layout>
                <c:manualLayout>
                  <c:x val="-2.8340866209585636E-2"/>
                  <c:y val="-4.1542307591429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24-4A61-A521-B59BAF8B4DD7}"/>
                </c:ext>
              </c:extLst>
            </c:dLbl>
            <c:dLbl>
              <c:idx val="6"/>
              <c:layout>
                <c:manualLayout>
                  <c:x val="-4.6821964112055713E-2"/>
                  <c:y val="-3.2635814609669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24-4A61-A521-B59BAF8B4DD7}"/>
                </c:ext>
              </c:extLst>
            </c:dLbl>
            <c:dLbl>
              <c:idx val="7"/>
              <c:layout>
                <c:manualLayout>
                  <c:x val="-5.8089279029628196E-2"/>
                  <c:y val="-1.9519127327146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F24-4A61-A521-B59BAF8B4DD7}"/>
                </c:ext>
              </c:extLst>
            </c:dLbl>
            <c:dLbl>
              <c:idx val="8"/>
              <c:layout>
                <c:manualLayout>
                  <c:x val="-3.3880635913474164E-2"/>
                  <c:y val="-3.5304501323918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12-6245-BB74-0FA45ED56A1F}"/>
                </c:ext>
              </c:extLst>
            </c:dLbl>
            <c:dLbl>
              <c:idx val="9"/>
              <c:layout>
                <c:manualLayout>
                  <c:x val="-3.0311557081950491E-2"/>
                  <c:y val="-4.1293462995529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312-6245-BB74-0FA45ED56A1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a:effectLst/>
                  </c:spPr>
                </c15:leaderLines>
              </c:ext>
            </c:extLst>
          </c:dLbls>
          <c:cat>
            <c:numRef>
              <c:f>Hoja1!$A$2:$A$6</c:f>
              <c:numCache>
                <c:formatCode>General</c:formatCode>
                <c:ptCount val="5"/>
                <c:pt idx="0">
                  <c:v>1980</c:v>
                </c:pt>
                <c:pt idx="1">
                  <c:v>1990</c:v>
                </c:pt>
                <c:pt idx="2">
                  <c:v>2000</c:v>
                </c:pt>
                <c:pt idx="3">
                  <c:v>2010</c:v>
                </c:pt>
                <c:pt idx="4">
                  <c:v>2022</c:v>
                </c:pt>
              </c:numCache>
            </c:numRef>
          </c:cat>
          <c:val>
            <c:numRef>
              <c:f>Hoja1!$B$2:$B$6</c:f>
              <c:numCache>
                <c:formatCode>0%</c:formatCode>
                <c:ptCount val="5"/>
                <c:pt idx="0">
                  <c:v>0.33</c:v>
                </c:pt>
                <c:pt idx="1">
                  <c:v>0.42</c:v>
                </c:pt>
                <c:pt idx="2">
                  <c:v>0.46</c:v>
                </c:pt>
                <c:pt idx="3">
                  <c:v>0.49</c:v>
                </c:pt>
                <c:pt idx="4">
                  <c:v>0.63</c:v>
                </c:pt>
              </c:numCache>
            </c:numRef>
          </c:val>
          <c:smooth val="1"/>
          <c:extLst>
            <c:ext xmlns:c16="http://schemas.microsoft.com/office/drawing/2014/chart" uri="{C3380CC4-5D6E-409C-BE32-E72D297353CC}">
              <c16:uniqueId val="{0000000C-3F24-4A61-A521-B59BAF8B4DD7}"/>
            </c:ext>
          </c:extLst>
        </c:ser>
        <c:dLbls>
          <c:showLegendKey val="0"/>
          <c:showVal val="0"/>
          <c:showCatName val="0"/>
          <c:showSerName val="0"/>
          <c:showPercent val="0"/>
          <c:showBubbleSize val="0"/>
        </c:dLbls>
        <c:marker val="1"/>
        <c:smooth val="0"/>
        <c:axId val="-1306844144"/>
        <c:axId val="-1306839792"/>
      </c:lineChart>
      <c:lineChart>
        <c:grouping val="standard"/>
        <c:varyColors val="0"/>
        <c:ser>
          <c:idx val="1"/>
          <c:order val="1"/>
          <c:tx>
            <c:strRef>
              <c:f>Hoja1!$C$1</c:f>
              <c:strCache>
                <c:ptCount val="1"/>
                <c:pt idx="0">
                  <c:v>Mujeres</c:v>
                </c:pt>
              </c:strCache>
            </c:strRef>
          </c:tx>
          <c:spPr>
            <a:ln w="19050" cap="flat">
              <a:solidFill>
                <a:srgbClr val="4BACC6">
                  <a:lumMod val="60000"/>
                  <a:lumOff val="40000"/>
                </a:srgbClr>
              </a:solidFill>
              <a:miter lim="800000"/>
              <a:headEnd w="sm" len="sm"/>
            </a:ln>
          </c:spPr>
          <c:marker>
            <c:spPr>
              <a:noFill/>
              <a:ln w="19050">
                <a:noFill/>
              </a:ln>
            </c:spPr>
          </c:marker>
          <c:dLbls>
            <c:dLbl>
              <c:idx val="1"/>
              <c:layout>
                <c:manualLayout>
                  <c:x val="-7.9767255478817075E-3"/>
                  <c:y val="2.7528975330353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312-6245-BB74-0FA45ED56A1F}"/>
                </c:ext>
              </c:extLst>
            </c:dLbl>
            <c:dLbl>
              <c:idx val="2"/>
              <c:layout>
                <c:manualLayout>
                  <c:x val="-1.5953451095762831E-3"/>
                  <c:y val="2.4776077797317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312-6245-BB74-0FA45ED56A1F}"/>
                </c:ext>
              </c:extLst>
            </c:dLbl>
            <c:dLbl>
              <c:idx val="4"/>
              <c:layout>
                <c:manualLayout>
                  <c:x val="-4.8911489544521895E-2"/>
                  <c:y val="-3.8965699541003353E-2"/>
                </c:manualLayout>
              </c:layout>
              <c:tx>
                <c:rich>
                  <a:bodyPr/>
                  <a:lstStyle/>
                  <a:p>
                    <a:fld id="{CE02F7A3-C46C-4B18-9934-5267EA5A79FB}" type="VALUE">
                      <a:rPr lang="en-US" smtClean="0"/>
                      <a:pPr/>
                      <a:t>[VALOR]</a:t>
                    </a:fld>
                    <a:r>
                      <a:rPr lang="en-US" dirty="0"/>
                      <a:t> </a:t>
                    </a:r>
                    <a:r>
                      <a:rPr lang="en-US" dirty="0" err="1"/>
                      <a:t>Mujeres</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2312-6245-BB74-0FA45ED56A1F}"/>
                </c:ext>
              </c:extLst>
            </c:dLbl>
            <c:spPr>
              <a:noFill/>
              <a:ln>
                <a:noFill/>
              </a:ln>
              <a:effectLst/>
            </c:spPr>
            <c:txPr>
              <a:bodyPr wrap="square" lIns="38100" tIns="19050" rIns="38100" bIns="19050" anchor="ctr">
                <a:spAutoFit/>
              </a:bodyPr>
              <a:lstStyle/>
              <a:p>
                <a:pPr>
                  <a:defRPr sz="800" b="0">
                    <a:latin typeface="+mn-lt"/>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Hoja1!$A$2:$A$6</c:f>
              <c:numCache>
                <c:formatCode>General</c:formatCode>
                <c:ptCount val="5"/>
                <c:pt idx="0">
                  <c:v>1980</c:v>
                </c:pt>
                <c:pt idx="1">
                  <c:v>1990</c:v>
                </c:pt>
                <c:pt idx="2">
                  <c:v>2000</c:v>
                </c:pt>
                <c:pt idx="3">
                  <c:v>2010</c:v>
                </c:pt>
                <c:pt idx="4">
                  <c:v>2022</c:v>
                </c:pt>
              </c:numCache>
            </c:numRef>
          </c:cat>
          <c:val>
            <c:numRef>
              <c:f>Hoja1!$C$2:$C$6</c:f>
              <c:numCache>
                <c:formatCode>0%</c:formatCode>
                <c:ptCount val="5"/>
                <c:pt idx="0">
                  <c:v>0.17</c:v>
                </c:pt>
                <c:pt idx="1">
                  <c:v>0.26</c:v>
                </c:pt>
                <c:pt idx="2">
                  <c:v>0.27</c:v>
                </c:pt>
                <c:pt idx="3">
                  <c:v>0.31</c:v>
                </c:pt>
                <c:pt idx="4">
                  <c:v>0.52</c:v>
                </c:pt>
              </c:numCache>
            </c:numRef>
          </c:val>
          <c:smooth val="1"/>
          <c:extLst>
            <c:ext xmlns:c16="http://schemas.microsoft.com/office/drawing/2014/chart" uri="{C3380CC4-5D6E-409C-BE32-E72D297353CC}">
              <c16:uniqueId val="{0000000D-2312-6245-BB74-0FA45ED56A1F}"/>
            </c:ext>
          </c:extLst>
        </c:ser>
        <c:dLbls>
          <c:showLegendKey val="0"/>
          <c:showVal val="0"/>
          <c:showCatName val="0"/>
          <c:showSerName val="0"/>
          <c:showPercent val="0"/>
          <c:showBubbleSize val="0"/>
        </c:dLbls>
        <c:marker val="1"/>
        <c:smooth val="0"/>
        <c:axId val="-1306838160"/>
        <c:axId val="-1306839248"/>
      </c:lineChart>
      <c:catAx>
        <c:axId val="-130684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crossAx val="-1306839792"/>
        <c:crosses val="autoZero"/>
        <c:auto val="1"/>
        <c:lblAlgn val="ctr"/>
        <c:lblOffset val="100"/>
        <c:noMultiLvlLbl val="0"/>
      </c:catAx>
      <c:valAx>
        <c:axId val="-1306839792"/>
        <c:scaling>
          <c:orientation val="minMax"/>
          <c:max val="0.70000000000000007"/>
          <c:min val="0.1"/>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crossAx val="-1306844144"/>
        <c:crosses val="autoZero"/>
        <c:crossBetween val="between"/>
        <c:minorUnit val="2.0000000000000004E-2"/>
      </c:valAx>
      <c:valAx>
        <c:axId val="-1306839248"/>
        <c:scaling>
          <c:orientation val="minMax"/>
        </c:scaling>
        <c:delete val="1"/>
        <c:axPos val="r"/>
        <c:numFmt formatCode="0%" sourceLinked="1"/>
        <c:majorTickMark val="out"/>
        <c:minorTickMark val="none"/>
        <c:tickLblPos val="nextTo"/>
        <c:crossAx val="-1306838160"/>
        <c:crosses val="max"/>
        <c:crossBetween val="between"/>
      </c:valAx>
      <c:catAx>
        <c:axId val="-1306838160"/>
        <c:scaling>
          <c:orientation val="minMax"/>
        </c:scaling>
        <c:delete val="1"/>
        <c:axPos val="b"/>
        <c:numFmt formatCode="General" sourceLinked="1"/>
        <c:majorTickMark val="out"/>
        <c:minorTickMark val="none"/>
        <c:tickLblPos val="nextTo"/>
        <c:crossAx val="-1306839248"/>
        <c:crosses val="autoZero"/>
        <c:auto val="1"/>
        <c:lblAlgn val="ctr"/>
        <c:lblOffset val="100"/>
        <c:noMultiLvlLbl val="0"/>
      </c:catAx>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Hoja1!$B$1</c:f>
              <c:strCache>
                <c:ptCount val="1"/>
                <c:pt idx="0">
                  <c:v>15-24 años</c:v>
                </c:pt>
              </c:strCache>
            </c:strRef>
          </c:tx>
          <c:spPr>
            <a:ln w="19050" cap="rnd">
              <a:solidFill>
                <a:srgbClr val="5B9BD5">
                  <a:lumMod val="50000"/>
                </a:srgbClr>
              </a:solidFill>
              <a:round/>
            </a:ln>
            <a:effectLst/>
          </c:spPr>
          <c:marker>
            <c:symbol val="circle"/>
            <c:size val="5"/>
            <c:spPr>
              <a:noFill/>
              <a:ln w="19050">
                <a:noFill/>
              </a:ln>
              <a:effectLst/>
            </c:spPr>
          </c:marker>
          <c:dPt>
            <c:idx val="3"/>
            <c:bubble3D val="0"/>
            <c:spPr>
              <a:ln w="19050" cap="rnd">
                <a:solidFill>
                  <a:srgbClr val="5B9BD5">
                    <a:lumMod val="50000"/>
                  </a:srgbClr>
                </a:solidFill>
                <a:round/>
              </a:ln>
              <a:effectLst/>
            </c:spPr>
            <c:extLst>
              <c:ext xmlns:c16="http://schemas.microsoft.com/office/drawing/2014/chart" uri="{C3380CC4-5D6E-409C-BE32-E72D297353CC}">
                <c16:uniqueId val="{00000001-19F7-40EF-BAAA-24B2A1A7FC3B}"/>
              </c:ext>
            </c:extLst>
          </c:dPt>
          <c:dPt>
            <c:idx val="4"/>
            <c:bubble3D val="0"/>
            <c:spPr>
              <a:ln w="19050" cap="rnd">
                <a:solidFill>
                  <a:srgbClr val="5B9BD5">
                    <a:lumMod val="50000"/>
                  </a:srgbClr>
                </a:solidFill>
                <a:prstDash val="solid"/>
                <a:round/>
              </a:ln>
              <a:effectLst/>
            </c:spPr>
            <c:extLst>
              <c:ext xmlns:c16="http://schemas.microsoft.com/office/drawing/2014/chart" uri="{C3380CC4-5D6E-409C-BE32-E72D297353CC}">
                <c16:uniqueId val="{00000003-19F7-40EF-BAAA-24B2A1A7FC3B}"/>
              </c:ext>
            </c:extLst>
          </c:dPt>
          <c:dPt>
            <c:idx val="5"/>
            <c:bubble3D val="0"/>
            <c:spPr>
              <a:ln w="19050" cap="rnd">
                <a:solidFill>
                  <a:srgbClr val="5B9BD5">
                    <a:lumMod val="50000"/>
                  </a:srgbClr>
                </a:solidFill>
                <a:prstDash val="solid"/>
                <a:round/>
              </a:ln>
              <a:effectLst/>
            </c:spPr>
            <c:extLst>
              <c:ext xmlns:c16="http://schemas.microsoft.com/office/drawing/2014/chart" uri="{C3380CC4-5D6E-409C-BE32-E72D297353CC}">
                <c16:uniqueId val="{00000005-19F7-40EF-BAAA-24B2A1A7FC3B}"/>
              </c:ext>
            </c:extLst>
          </c:dPt>
          <c:dPt>
            <c:idx val="6"/>
            <c:bubble3D val="0"/>
            <c:spPr>
              <a:ln w="19050" cap="rnd">
                <a:solidFill>
                  <a:srgbClr val="5B9BD5">
                    <a:lumMod val="50000"/>
                  </a:srgbClr>
                </a:solidFill>
                <a:prstDash val="solid"/>
                <a:round/>
              </a:ln>
              <a:effectLst/>
            </c:spPr>
            <c:extLst>
              <c:ext xmlns:c16="http://schemas.microsoft.com/office/drawing/2014/chart" uri="{C3380CC4-5D6E-409C-BE32-E72D297353CC}">
                <c16:uniqueId val="{00000007-19F7-40EF-BAAA-24B2A1A7FC3B}"/>
              </c:ext>
            </c:extLst>
          </c:dPt>
          <c:dPt>
            <c:idx val="7"/>
            <c:bubble3D val="0"/>
            <c:spPr>
              <a:ln w="19050" cap="rnd">
                <a:solidFill>
                  <a:srgbClr val="5B9BD5">
                    <a:lumMod val="50000"/>
                  </a:srgbClr>
                </a:solidFill>
                <a:prstDash val="solid"/>
                <a:round/>
              </a:ln>
              <a:effectLst/>
            </c:spPr>
            <c:extLst>
              <c:ext xmlns:c16="http://schemas.microsoft.com/office/drawing/2014/chart" uri="{C3380CC4-5D6E-409C-BE32-E72D297353CC}">
                <c16:uniqueId val="{00000009-19F7-40EF-BAAA-24B2A1A7FC3B}"/>
              </c:ext>
            </c:extLst>
          </c:dPt>
          <c:dLbls>
            <c:dLbl>
              <c:idx val="0"/>
              <c:layout>
                <c:manualLayout>
                  <c:x val="-4.4820717131474112E-2"/>
                  <c:y val="-3.089143865842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9F7-40EF-BAAA-24B2A1A7FC3B}"/>
                </c:ext>
              </c:extLst>
            </c:dLbl>
            <c:dLbl>
              <c:idx val="1"/>
              <c:layout>
                <c:manualLayout>
                  <c:x val="-3.2990217505063625E-2"/>
                  <c:y val="-3.2635814609669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9F7-40EF-BAAA-24B2A1A7FC3B}"/>
                </c:ext>
              </c:extLst>
            </c:dLbl>
            <c:dLbl>
              <c:idx val="2"/>
              <c:layout>
                <c:manualLayout>
                  <c:x val="-3.2407413107763405E-2"/>
                  <c:y val="-3.2635814609669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9F7-40EF-BAAA-24B2A1A7FC3B}"/>
                </c:ext>
              </c:extLst>
            </c:dLbl>
            <c:dLbl>
              <c:idx val="3"/>
              <c:layout>
                <c:manualLayout>
                  <c:x val="-5.3428387909681734E-2"/>
                  <c:y val="-2.3364560674399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F7-40EF-BAAA-24B2A1A7FC3B}"/>
                </c:ext>
              </c:extLst>
            </c:dLbl>
            <c:dLbl>
              <c:idx val="4"/>
              <c:layout>
                <c:manualLayout>
                  <c:x val="-3.2814375598949293E-2"/>
                  <c:y val="-2.7906286304375888E-2"/>
                </c:manualLayout>
              </c:layout>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9F7-40EF-BAAA-24B2A1A7FC3B}"/>
                </c:ext>
              </c:extLst>
            </c:dLbl>
            <c:dLbl>
              <c:idx val="5"/>
              <c:layout>
                <c:manualLayout>
                  <c:x val="-4.1304178772334811E-2"/>
                  <c:y val="-2.7906286304375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F7-40EF-BAAA-24B2A1A7FC3B}"/>
                </c:ext>
              </c:extLst>
            </c:dLbl>
            <c:dLbl>
              <c:idx val="6"/>
              <c:layout>
                <c:manualLayout>
                  <c:x val="-4.6821964112055713E-2"/>
                  <c:y val="-3.2635814609669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9F7-40EF-BAAA-24B2A1A7FC3B}"/>
                </c:ext>
              </c:extLst>
            </c:dLbl>
            <c:dLbl>
              <c:idx val="7"/>
              <c:layout>
                <c:manualLayout>
                  <c:x val="-2.2565406454763914E-2"/>
                  <c:y val="-2.7777623339889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9F7-40EF-BAAA-24B2A1A7FC3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1995</c:v>
                </c:pt>
                <c:pt idx="1">
                  <c:v>2000</c:v>
                </c:pt>
                <c:pt idx="2">
                  <c:v>2005</c:v>
                </c:pt>
                <c:pt idx="3">
                  <c:v>2010</c:v>
                </c:pt>
                <c:pt idx="4">
                  <c:v>2015</c:v>
                </c:pt>
                <c:pt idx="5">
                  <c:v>2020</c:v>
                </c:pt>
              </c:numCache>
            </c:numRef>
          </c:cat>
          <c:val>
            <c:numRef>
              <c:f>Hoja1!$B$2:$B$7</c:f>
              <c:numCache>
                <c:formatCode>0%</c:formatCode>
                <c:ptCount val="6"/>
                <c:pt idx="0">
                  <c:v>0.6</c:v>
                </c:pt>
                <c:pt idx="1">
                  <c:v>0.57999999999999996</c:v>
                </c:pt>
                <c:pt idx="2">
                  <c:v>0.57999999999999996</c:v>
                </c:pt>
                <c:pt idx="3">
                  <c:v>0.6</c:v>
                </c:pt>
                <c:pt idx="4">
                  <c:v>0.83</c:v>
                </c:pt>
                <c:pt idx="5">
                  <c:v>0.83</c:v>
                </c:pt>
              </c:numCache>
            </c:numRef>
          </c:val>
          <c:smooth val="1"/>
          <c:extLst>
            <c:ext xmlns:c16="http://schemas.microsoft.com/office/drawing/2014/chart" uri="{C3380CC4-5D6E-409C-BE32-E72D297353CC}">
              <c16:uniqueId val="{0000000D-19F7-40EF-BAAA-24B2A1A7FC3B}"/>
            </c:ext>
          </c:extLst>
        </c:ser>
        <c:ser>
          <c:idx val="1"/>
          <c:order val="1"/>
          <c:tx>
            <c:strRef>
              <c:f>Hoja1!$C$1</c:f>
              <c:strCache>
                <c:ptCount val="1"/>
                <c:pt idx="0">
                  <c:v>25-44</c:v>
                </c:pt>
              </c:strCache>
            </c:strRef>
          </c:tx>
          <c:spPr>
            <a:ln w="19050" cap="rnd">
              <a:solidFill>
                <a:srgbClr val="5B9BD5">
                  <a:lumMod val="75000"/>
                </a:srgbClr>
              </a:solidFill>
              <a:prstDash val="solid"/>
              <a:round/>
            </a:ln>
            <a:effectLst/>
          </c:spPr>
          <c:marker>
            <c:symbol val="circle"/>
            <c:size val="5"/>
            <c:spPr>
              <a:noFill/>
              <a:ln w="19050">
                <a:noFill/>
              </a:ln>
              <a:effectLst/>
            </c:spPr>
          </c:marker>
          <c:dPt>
            <c:idx val="3"/>
            <c:bubble3D val="0"/>
            <c:extLst>
              <c:ext xmlns:c16="http://schemas.microsoft.com/office/drawing/2014/chart" uri="{C3380CC4-5D6E-409C-BE32-E72D297353CC}">
                <c16:uniqueId val="{0000000F-19F7-40EF-BAAA-24B2A1A7FC3B}"/>
              </c:ext>
            </c:extLst>
          </c:dPt>
          <c:dPt>
            <c:idx val="6"/>
            <c:bubble3D val="0"/>
            <c:extLst>
              <c:ext xmlns:c16="http://schemas.microsoft.com/office/drawing/2014/chart" uri="{C3380CC4-5D6E-409C-BE32-E72D297353CC}">
                <c16:uniqueId val="{00000011-19F7-40EF-BAAA-24B2A1A7FC3B}"/>
              </c:ext>
            </c:extLst>
          </c:dPt>
          <c:dPt>
            <c:idx val="7"/>
            <c:bubble3D val="0"/>
            <c:extLst>
              <c:ext xmlns:c16="http://schemas.microsoft.com/office/drawing/2014/chart" uri="{C3380CC4-5D6E-409C-BE32-E72D297353CC}">
                <c16:uniqueId val="{00000013-19F7-40EF-BAAA-24B2A1A7FC3B}"/>
              </c:ext>
            </c:extLst>
          </c:dPt>
          <c:dLbls>
            <c:dLbl>
              <c:idx val="0"/>
              <c:layout>
                <c:manualLayout>
                  <c:x val="-4.1699244201198853E-2"/>
                  <c:y val="-3.5304501323918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9F7-40EF-BAAA-24B2A1A7FC3B}"/>
                </c:ext>
              </c:extLst>
            </c:dLbl>
            <c:dLbl>
              <c:idx val="1"/>
              <c:layout>
                <c:manualLayout>
                  <c:x val="-3.6486838676048995E-2"/>
                  <c:y val="-3.9717563989408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9F7-40EF-BAAA-24B2A1A7FC3B}"/>
                </c:ext>
              </c:extLst>
            </c:dLbl>
            <c:dLbl>
              <c:idx val="2"/>
              <c:layout>
                <c:manualLayout>
                  <c:x val="-3.9093041438623924E-2"/>
                  <c:y val="-3.9717563989408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19F7-40EF-BAAA-24B2A1A7FC3B}"/>
                </c:ext>
              </c:extLst>
            </c:dLbl>
            <c:dLbl>
              <c:idx val="3"/>
              <c:layout>
                <c:manualLayout>
                  <c:x val="-5.7336460776648328E-2"/>
                  <c:y val="-3.089143865842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9F7-40EF-BAAA-24B2A1A7FC3B}"/>
                </c:ext>
              </c:extLst>
            </c:dLbl>
            <c:dLbl>
              <c:idx val="4"/>
              <c:layout>
                <c:manualLayout>
                  <c:x val="-2.3455824863174546E-2"/>
                  <c:y val="-3.089143865842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19F7-40EF-BAAA-24B2A1A7FC3B}"/>
                </c:ext>
              </c:extLst>
            </c:dLbl>
            <c:dLbl>
              <c:idx val="5"/>
              <c:layout>
                <c:manualLayout>
                  <c:x val="-3.5643140595701409E-2"/>
                  <c:y val="-3.27868852459016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370-DC43-A618-B51137FEC9E2}"/>
                </c:ext>
              </c:extLst>
            </c:dLbl>
            <c:dLbl>
              <c:idx val="7"/>
              <c:layout>
                <c:manualLayout>
                  <c:x val="-3.0092592592592591E-2"/>
                  <c:y val="-2.7777777777777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9F7-40EF-BAAA-24B2A1A7FC3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1995</c:v>
                </c:pt>
                <c:pt idx="1">
                  <c:v>2000</c:v>
                </c:pt>
                <c:pt idx="2">
                  <c:v>2005</c:v>
                </c:pt>
                <c:pt idx="3">
                  <c:v>2010</c:v>
                </c:pt>
                <c:pt idx="4">
                  <c:v>2015</c:v>
                </c:pt>
                <c:pt idx="5">
                  <c:v>2020</c:v>
                </c:pt>
              </c:numCache>
            </c:numRef>
          </c:cat>
          <c:val>
            <c:numRef>
              <c:f>Hoja1!$C$2:$C$7</c:f>
              <c:numCache>
                <c:formatCode>0%</c:formatCode>
                <c:ptCount val="6"/>
                <c:pt idx="0">
                  <c:v>0.42</c:v>
                </c:pt>
                <c:pt idx="1">
                  <c:v>0.39</c:v>
                </c:pt>
                <c:pt idx="2">
                  <c:v>0.41</c:v>
                </c:pt>
                <c:pt idx="3">
                  <c:v>0.49</c:v>
                </c:pt>
                <c:pt idx="4">
                  <c:v>0.68</c:v>
                </c:pt>
                <c:pt idx="5">
                  <c:v>0.72</c:v>
                </c:pt>
              </c:numCache>
            </c:numRef>
          </c:val>
          <c:smooth val="1"/>
          <c:extLst>
            <c:ext xmlns:c16="http://schemas.microsoft.com/office/drawing/2014/chart" uri="{C3380CC4-5D6E-409C-BE32-E72D297353CC}">
              <c16:uniqueId val="{00000018-19F7-40EF-BAAA-24B2A1A7FC3B}"/>
            </c:ext>
          </c:extLst>
        </c:ser>
        <c:ser>
          <c:idx val="2"/>
          <c:order val="2"/>
          <c:tx>
            <c:strRef>
              <c:f>Hoja1!$D$1</c:f>
              <c:strCache>
                <c:ptCount val="1"/>
                <c:pt idx="0">
                  <c:v>45-64</c:v>
                </c:pt>
              </c:strCache>
            </c:strRef>
          </c:tx>
          <c:spPr>
            <a:ln w="19050" cap="rnd">
              <a:solidFill>
                <a:srgbClr val="5B9BD5">
                  <a:lumMod val="60000"/>
                  <a:lumOff val="40000"/>
                </a:srgbClr>
              </a:solidFill>
              <a:round/>
            </a:ln>
            <a:effectLst/>
          </c:spPr>
          <c:marker>
            <c:symbol val="circle"/>
            <c:size val="5"/>
            <c:spPr>
              <a:noFill/>
              <a:ln w="19050">
                <a:noFill/>
              </a:ln>
              <a:effectLst/>
            </c:spPr>
          </c:marker>
          <c:dLbls>
            <c:dLbl>
              <c:idx val="0"/>
              <c:layout>
                <c:manualLayout>
                  <c:x val="-3.3880635913474094E-2"/>
                  <c:y val="-3.5304501323918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19F7-40EF-BAAA-24B2A1A7FC3B}"/>
                </c:ext>
              </c:extLst>
            </c:dLbl>
            <c:dLbl>
              <c:idx val="1"/>
              <c:layout>
                <c:manualLayout>
                  <c:x val="-4.9517852488923639E-2"/>
                  <c:y val="-2.2065313327449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19F7-40EF-BAAA-24B2A1A7FC3B}"/>
                </c:ext>
              </c:extLst>
            </c:dLbl>
            <c:dLbl>
              <c:idx val="2"/>
              <c:layout>
                <c:manualLayout>
                  <c:x val="-5.2124055251498665E-2"/>
                  <c:y val="-3.089143865842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19F7-40EF-BAAA-24B2A1A7FC3B}"/>
                </c:ext>
              </c:extLst>
            </c:dLbl>
            <c:dLbl>
              <c:idx val="3"/>
              <c:layout>
                <c:manualLayout>
                  <c:x val="-5.9942663539223257E-2"/>
                  <c:y val="-2.6478375992939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19F7-40EF-BAAA-24B2A1A7FC3B}"/>
                </c:ext>
              </c:extLst>
            </c:dLbl>
            <c:dLbl>
              <c:idx val="4"/>
              <c:layout>
                <c:manualLayout>
                  <c:x val="-2.6062027625749284E-2"/>
                  <c:y val="-2.6478375992939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19F7-40EF-BAAA-24B2A1A7FC3B}"/>
                </c:ext>
              </c:extLst>
            </c:dLbl>
            <c:dLbl>
              <c:idx val="5"/>
              <c:layout>
                <c:manualLayout>
                  <c:x val="-3.5643140595701409E-2"/>
                  <c:y val="-3.0054644808743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370-DC43-A618-B51137FEC9E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1995</c:v>
                </c:pt>
                <c:pt idx="1">
                  <c:v>2000</c:v>
                </c:pt>
                <c:pt idx="2">
                  <c:v>2005</c:v>
                </c:pt>
                <c:pt idx="3">
                  <c:v>2010</c:v>
                </c:pt>
                <c:pt idx="4">
                  <c:v>2015</c:v>
                </c:pt>
                <c:pt idx="5">
                  <c:v>2020</c:v>
                </c:pt>
              </c:numCache>
            </c:numRef>
          </c:cat>
          <c:val>
            <c:numRef>
              <c:f>Hoja1!$D$2:$D$7</c:f>
              <c:numCache>
                <c:formatCode>0%</c:formatCode>
                <c:ptCount val="6"/>
                <c:pt idx="0">
                  <c:v>0.22</c:v>
                </c:pt>
                <c:pt idx="1">
                  <c:v>0.26</c:v>
                </c:pt>
                <c:pt idx="2">
                  <c:v>0.27</c:v>
                </c:pt>
                <c:pt idx="3">
                  <c:v>0.32</c:v>
                </c:pt>
                <c:pt idx="4">
                  <c:v>0.49</c:v>
                </c:pt>
                <c:pt idx="5">
                  <c:v>0.55000000000000004</c:v>
                </c:pt>
              </c:numCache>
            </c:numRef>
          </c:val>
          <c:smooth val="1"/>
          <c:extLst>
            <c:ext xmlns:c16="http://schemas.microsoft.com/office/drawing/2014/chart" uri="{C3380CC4-5D6E-409C-BE32-E72D297353CC}">
              <c16:uniqueId val="{0000001E-19F7-40EF-BAAA-24B2A1A7FC3B}"/>
            </c:ext>
          </c:extLst>
        </c:ser>
        <c:ser>
          <c:idx val="3"/>
          <c:order val="3"/>
          <c:tx>
            <c:strRef>
              <c:f>Hoja1!$E$1</c:f>
              <c:strCache>
                <c:ptCount val="1"/>
                <c:pt idx="0">
                  <c:v>65 y más</c:v>
                </c:pt>
              </c:strCache>
            </c:strRef>
          </c:tx>
          <c:spPr>
            <a:ln w="19050" cap="rnd">
              <a:solidFill>
                <a:srgbClr val="5B9BD5">
                  <a:lumMod val="60000"/>
                  <a:lumOff val="40000"/>
                </a:srgbClr>
              </a:solidFill>
              <a:prstDash val="sysDot"/>
              <a:round/>
            </a:ln>
            <a:effectLst/>
          </c:spPr>
          <c:marker>
            <c:symbol val="circle"/>
            <c:size val="5"/>
            <c:spPr>
              <a:noFill/>
              <a:ln w="19050">
                <a:noFill/>
                <a:prstDash val="sysDot"/>
              </a:ln>
              <a:effectLst/>
            </c:spPr>
          </c:marker>
          <c:dLbls>
            <c:dLbl>
              <c:idx val="0"/>
              <c:layout>
                <c:manualLayout>
                  <c:x val="-3.6486838676048995E-2"/>
                  <c:y val="-2.6478375992939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19F7-40EF-BAAA-24B2A1A7FC3B}"/>
                </c:ext>
              </c:extLst>
            </c:dLbl>
            <c:dLbl>
              <c:idx val="1"/>
              <c:layout>
                <c:manualLayout>
                  <c:x val="-4.1699244201198901E-2"/>
                  <c:y val="-2.6478375992939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19F7-40EF-BAAA-24B2A1A7FC3B}"/>
                </c:ext>
              </c:extLst>
            </c:dLbl>
            <c:dLbl>
              <c:idx val="2"/>
              <c:layout>
                <c:manualLayout>
                  <c:x val="-5.2124055251498665E-2"/>
                  <c:y val="-3.089143865842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19F7-40EF-BAAA-24B2A1A7FC3B}"/>
                </c:ext>
              </c:extLst>
            </c:dLbl>
            <c:dLbl>
              <c:idx val="3"/>
              <c:layout>
                <c:manualLayout>
                  <c:x val="-5.7336460776648328E-2"/>
                  <c:y val="-2.20653133274493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19F7-40EF-BAAA-24B2A1A7FC3B}"/>
                </c:ext>
              </c:extLst>
            </c:dLbl>
            <c:dLbl>
              <c:idx val="4"/>
              <c:layout>
                <c:manualLayout>
                  <c:x val="-2.6062027625749284E-2"/>
                  <c:y val="-3.089143865842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19F7-40EF-BAAA-24B2A1A7FC3B}"/>
                </c:ext>
              </c:extLst>
            </c:dLbl>
            <c:dLbl>
              <c:idx val="5"/>
              <c:layout>
                <c:manualLayout>
                  <c:x val="-3.5643140595701409E-2"/>
                  <c:y val="-1.6393442622950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370-DC43-A618-B51137FEC9E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Hoja1!$A$2:$A$7</c:f>
              <c:numCache>
                <c:formatCode>General</c:formatCode>
                <c:ptCount val="6"/>
                <c:pt idx="0">
                  <c:v>1995</c:v>
                </c:pt>
                <c:pt idx="1">
                  <c:v>2000</c:v>
                </c:pt>
                <c:pt idx="2">
                  <c:v>2005</c:v>
                </c:pt>
                <c:pt idx="3">
                  <c:v>2010</c:v>
                </c:pt>
                <c:pt idx="4">
                  <c:v>2015</c:v>
                </c:pt>
                <c:pt idx="5">
                  <c:v>2020</c:v>
                </c:pt>
              </c:numCache>
            </c:numRef>
          </c:cat>
          <c:val>
            <c:numRef>
              <c:f>Hoja1!$E$2:$E$7</c:f>
              <c:numCache>
                <c:formatCode>0%</c:formatCode>
                <c:ptCount val="6"/>
                <c:pt idx="0">
                  <c:v>0.12</c:v>
                </c:pt>
                <c:pt idx="1">
                  <c:v>0.13</c:v>
                </c:pt>
                <c:pt idx="2">
                  <c:v>0.17</c:v>
                </c:pt>
                <c:pt idx="3">
                  <c:v>0.17</c:v>
                </c:pt>
                <c:pt idx="4">
                  <c:v>0.2</c:v>
                </c:pt>
                <c:pt idx="5">
                  <c:v>0.27</c:v>
                </c:pt>
              </c:numCache>
            </c:numRef>
          </c:val>
          <c:smooth val="1"/>
          <c:extLst>
            <c:ext xmlns:c16="http://schemas.microsoft.com/office/drawing/2014/chart" uri="{C3380CC4-5D6E-409C-BE32-E72D297353CC}">
              <c16:uniqueId val="{00000024-19F7-40EF-BAAA-24B2A1A7FC3B}"/>
            </c:ext>
          </c:extLst>
        </c:ser>
        <c:dLbls>
          <c:showLegendKey val="0"/>
          <c:showVal val="0"/>
          <c:showCatName val="0"/>
          <c:showSerName val="0"/>
          <c:showPercent val="0"/>
          <c:showBubbleSize val="0"/>
        </c:dLbls>
        <c:marker val="1"/>
        <c:smooth val="0"/>
        <c:axId val="-1306830544"/>
        <c:axId val="-1306824016"/>
      </c:lineChart>
      <c:catAx>
        <c:axId val="-130683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crossAx val="-1306824016"/>
        <c:crosses val="autoZero"/>
        <c:auto val="1"/>
        <c:lblAlgn val="ctr"/>
        <c:lblOffset val="100"/>
        <c:noMultiLvlLbl val="0"/>
      </c:catAx>
      <c:valAx>
        <c:axId val="-1306824016"/>
        <c:scaling>
          <c:orientation val="minMax"/>
          <c:max val="0.85000000000000009"/>
          <c:min val="0"/>
        </c:scaling>
        <c:delete val="0"/>
        <c:axPos val="l"/>
        <c:numFmt formatCode="0%" sourceLinked="1"/>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ES"/>
          </a:p>
        </c:txPr>
        <c:crossAx val="-1306830544"/>
        <c:crosses val="autoZero"/>
        <c:crossBetween val="between"/>
      </c:valAx>
      <c:spPr>
        <a:noFill/>
        <a:ln>
          <a:noFill/>
        </a:ln>
        <a:effectLst/>
      </c:spPr>
    </c:plotArea>
    <c:legend>
      <c:legendPos val="b"/>
      <c:overlay val="0"/>
      <c:spPr>
        <a:noFill/>
        <a:ln>
          <a:noFill/>
        </a:ln>
        <a:effectLst>
          <a:softEdge rad="965200"/>
        </a:effectLst>
      </c:spPr>
      <c:txPr>
        <a:bodyPr rot="0" spcFirstLastPara="1" vertOverflow="ellipsis" vert="horz" wrap="square" anchor="ctr" anchorCtr="1"/>
        <a:lstStyle/>
        <a:p>
          <a:pPr>
            <a:defRPr sz="800" b="0" i="0" u="none" strike="noStrike" kern="1200" baseline="0">
              <a:ln>
                <a:noFill/>
              </a:ln>
              <a:solidFill>
                <a:sysClr val="windowText" lastClr="000000"/>
              </a:solidFill>
              <a:latin typeface="+mn-lt"/>
              <a:ea typeface="+mn-ea"/>
              <a:cs typeface="Arial" panose="020B0604020202020204" pitchFamily="34" charset="0"/>
            </a:defRPr>
          </a:pPr>
          <a:endParaRPr lang="es-ES"/>
        </a:p>
      </c:txPr>
    </c:legend>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948072790066916"/>
          <c:y val="8.9916376731978276E-2"/>
          <c:w val="0.71006635195630341"/>
          <c:h val="0.74100103766099001"/>
        </c:manualLayout>
      </c:layout>
      <c:barChart>
        <c:barDir val="bar"/>
        <c:grouping val="stacked"/>
        <c:varyColors val="0"/>
        <c:ser>
          <c:idx val="0"/>
          <c:order val="0"/>
          <c:tx>
            <c:strRef>
              <c:f>'[01_02_03_Poblacion_TramosEdad_Sexo_y_1981_2001_2021 (1).xls]2021'!$E$8</c:f>
              <c:strCache>
                <c:ptCount val="1"/>
                <c:pt idx="0">
                  <c:v>% Hombres</c:v>
                </c:pt>
              </c:strCache>
            </c:strRef>
          </c:tx>
          <c:spPr>
            <a:solidFill>
              <a:srgbClr val="4472C4">
                <a:lumMod val="75000"/>
              </a:srgbClr>
            </a:solidFill>
            <a:ln w="25400">
              <a:noFill/>
            </a:ln>
          </c:spPr>
          <c:invertIfNegative val="0"/>
          <c:cat>
            <c:strRef>
              <c:f>'[01_02_03_Poblacion_TramosEdad_Sexo_y_1981_2001_2021 (1).xls]2021'!$A$9:$A$26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(1).xls]2021'!$E$9:$E$26</c:f>
              <c:numCache>
                <c:formatCode>General</c:formatCode>
                <c:ptCount val="18"/>
                <c:pt idx="0">
                  <c:v>-4.2259212819208853</c:v>
                </c:pt>
                <c:pt idx="1">
                  <c:v>-5.0434238845494894</c:v>
                </c:pt>
                <c:pt idx="2">
                  <c:v>-5.5977881861415293</c:v>
                </c:pt>
                <c:pt idx="3">
                  <c:v>-5.356285586265777</c:v>
                </c:pt>
                <c:pt idx="4">
                  <c:v>-5.2444423453943116</c:v>
                </c:pt>
                <c:pt idx="5">
                  <c:v>-5.5453807541448388</c:v>
                </c:pt>
                <c:pt idx="6">
                  <c:v>-6.0034898428985715</c:v>
                </c:pt>
                <c:pt idx="7">
                  <c:v>-7.0005171491750628</c:v>
                </c:pt>
                <c:pt idx="8">
                  <c:v>-8.5372756247674317</c:v>
                </c:pt>
                <c:pt idx="9">
                  <c:v>-8.5930854105649583</c:v>
                </c:pt>
                <c:pt idx="10">
                  <c:v>-7.9579721988552352</c:v>
                </c:pt>
                <c:pt idx="11">
                  <c:v>-7.2479125742178745</c:v>
                </c:pt>
                <c:pt idx="12">
                  <c:v>-6.2744694726063424</c:v>
                </c:pt>
                <c:pt idx="13">
                  <c:v>-5.0843295541398152</c:v>
                </c:pt>
                <c:pt idx="14">
                  <c:v>-4.3797369227778811</c:v>
                </c:pt>
                <c:pt idx="15">
                  <c:v>-3.3746446185537708</c:v>
                </c:pt>
                <c:pt idx="16">
                  <c:v>-2.264999831602843</c:v>
                </c:pt>
                <c:pt idx="17">
                  <c:v>-2.2683247614233815</c:v>
                </c:pt>
              </c:numCache>
            </c:numRef>
          </c:val>
          <c:extLst>
            <c:ext xmlns:c16="http://schemas.microsoft.com/office/drawing/2014/chart" uri="{C3380CC4-5D6E-409C-BE32-E72D297353CC}">
              <c16:uniqueId val="{00000000-4429-6545-998C-9CCAAEBD2851}"/>
            </c:ext>
          </c:extLst>
        </c:ser>
        <c:ser>
          <c:idx val="1"/>
          <c:order val="1"/>
          <c:tx>
            <c:strRef>
              <c:f>'[01_02_03_Poblacion_TramosEdad_Sexo_y_1981_2001_2021 (1).xls]2021'!$F$8</c:f>
              <c:strCache>
                <c:ptCount val="1"/>
                <c:pt idx="0">
                  <c:v>% Mujeres</c:v>
                </c:pt>
              </c:strCache>
            </c:strRef>
          </c:tx>
          <c:spPr>
            <a:solidFill>
              <a:srgbClr val="4472C4">
                <a:lumMod val="60000"/>
                <a:lumOff val="40000"/>
              </a:srgbClr>
            </a:solidFill>
            <a:ln>
              <a:noFill/>
            </a:ln>
            <a:effectLst/>
          </c:spPr>
          <c:invertIfNegative val="0"/>
          <c:cat>
            <c:strRef>
              <c:f>'[01_02_03_Poblacion_TramosEdad_Sexo_y_1981_2001_2021 (1).xls]2021'!$A$9:$A$26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(1).xls]2021'!$F$9:$F$26</c:f>
              <c:numCache>
                <c:formatCode>General</c:formatCode>
                <c:ptCount val="18"/>
                <c:pt idx="0">
                  <c:v>3.8482602010327263</c:v>
                </c:pt>
                <c:pt idx="1">
                  <c:v>4.5709607995333918</c:v>
                </c:pt>
                <c:pt idx="2">
                  <c:v>5.0713419865455664</c:v>
                </c:pt>
                <c:pt idx="3">
                  <c:v>4.8526454353802411</c:v>
                </c:pt>
                <c:pt idx="4">
                  <c:v>4.7914998339487846</c:v>
                </c:pt>
                <c:pt idx="5">
                  <c:v>5.1781107855781343</c:v>
                </c:pt>
                <c:pt idx="6">
                  <c:v>5.7383250634818284</c:v>
                </c:pt>
                <c:pt idx="7">
                  <c:v>6.717213641977847</c:v>
                </c:pt>
                <c:pt idx="8">
                  <c:v>8.0367794436172595</c:v>
                </c:pt>
                <c:pt idx="9">
                  <c:v>8.077251968941777</c:v>
                </c:pt>
                <c:pt idx="10">
                  <c:v>7.6686264477829686</c:v>
                </c:pt>
                <c:pt idx="11">
                  <c:v>7.2017867367456203</c:v>
                </c:pt>
                <c:pt idx="12">
                  <c:v>6.415936577503313</c:v>
                </c:pt>
                <c:pt idx="13">
                  <c:v>5.3810737719114217</c:v>
                </c:pt>
                <c:pt idx="14">
                  <c:v>4.9057213742175811</c:v>
                </c:pt>
                <c:pt idx="15">
                  <c:v>4.0787196621158985</c:v>
                </c:pt>
                <c:pt idx="16">
                  <c:v>3.1823619119875151</c:v>
                </c:pt>
                <c:pt idx="17">
                  <c:v>4.2833843576981252</c:v>
                </c:pt>
              </c:numCache>
            </c:numRef>
          </c:val>
          <c:extLst>
            <c:ext xmlns:c16="http://schemas.microsoft.com/office/drawing/2014/chart" uri="{C3380CC4-5D6E-409C-BE32-E72D297353CC}">
              <c16:uniqueId val="{00000001-4429-6545-998C-9CCAAEBD2851}"/>
            </c:ext>
          </c:extLst>
        </c:ser>
        <c:dLbls>
          <c:showLegendKey val="0"/>
          <c:showVal val="0"/>
          <c:showCatName val="0"/>
          <c:showSerName val="0"/>
          <c:showPercent val="0"/>
          <c:showBubbleSize val="0"/>
        </c:dLbls>
        <c:gapWidth val="4"/>
        <c:overlap val="100"/>
        <c:axId val="-1306866992"/>
        <c:axId val="-1306863728"/>
      </c:barChart>
      <c:catAx>
        <c:axId val="-130686699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63728"/>
        <c:crosses val="autoZero"/>
        <c:auto val="1"/>
        <c:lblAlgn val="ctr"/>
        <c:lblOffset val="100"/>
        <c:noMultiLvlLbl val="0"/>
      </c:catAx>
      <c:valAx>
        <c:axId val="-1306863728"/>
        <c:scaling>
          <c:orientation val="minMax"/>
        </c:scaling>
        <c:delete val="0"/>
        <c:axPos val="b"/>
        <c:minorGridlines/>
        <c:numFmt formatCode="0;0" sourceLinked="0"/>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ln>
                  <a:noFill/>
                </a:ln>
                <a:solidFill>
                  <a:sysClr val="windowText" lastClr="000000"/>
                </a:solidFill>
                <a:latin typeface="+mn-lt"/>
                <a:ea typeface="+mn-ea"/>
                <a:cs typeface="Times New Roman" panose="02020603050405020304" pitchFamily="18" charset="0"/>
              </a:defRPr>
            </a:pPr>
            <a:endParaRPr lang="es-ES"/>
          </a:p>
        </c:txPr>
        <c:crossAx val="-1306866992"/>
        <c:crosses val="autoZero"/>
        <c:crossBetween val="between"/>
        <c:majorUnit val="5"/>
        <c:minorUnit val="1"/>
      </c:valAx>
      <c:spPr>
        <a:noFill/>
        <a:ln w="25400">
          <a:noFill/>
        </a:ln>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49558936711858E-2"/>
          <c:y val="5.7281891804120445E-2"/>
          <c:w val="0.89953086626422152"/>
          <c:h val="0.85961162110188616"/>
        </c:manualLayout>
      </c:layout>
      <c:barChart>
        <c:barDir val="col"/>
        <c:grouping val="clustered"/>
        <c:varyColors val="0"/>
        <c:ser>
          <c:idx val="0"/>
          <c:order val="0"/>
          <c:tx>
            <c:strRef>
              <c:f>Hoja1!$B$1</c:f>
              <c:strCache>
                <c:ptCount val="1"/>
                <c:pt idx="0">
                  <c:v>Práctica</c:v>
                </c:pt>
              </c:strCache>
            </c:strRef>
          </c:tx>
          <c:spPr>
            <a:solidFill>
              <a:schemeClr val="accent1"/>
            </a:solidFill>
            <a:ln w="19050">
              <a:noFill/>
            </a:ln>
            <a:effectLst/>
          </c:spPr>
          <c:invertIfNegative val="0"/>
          <c:dPt>
            <c:idx val="0"/>
            <c:invertIfNegative val="0"/>
            <c:bubble3D val="0"/>
            <c:spPr>
              <a:solidFill>
                <a:srgbClr val="5B9BD5">
                  <a:lumMod val="50000"/>
                </a:srgbClr>
              </a:solidFill>
              <a:ln w="19050">
                <a:solidFill>
                  <a:srgbClr val="5B9BD5">
                    <a:lumMod val="50000"/>
                  </a:srgbClr>
                </a:solidFill>
              </a:ln>
              <a:effectLst/>
            </c:spPr>
            <c:extLst>
              <c:ext xmlns:c16="http://schemas.microsoft.com/office/drawing/2014/chart" uri="{C3380CC4-5D6E-409C-BE32-E72D297353CC}">
                <c16:uniqueId val="{00000001-1433-D648-893E-EE74AF6FC8DF}"/>
              </c:ext>
            </c:extLst>
          </c:dPt>
          <c:dPt>
            <c:idx val="1"/>
            <c:invertIfNegative val="0"/>
            <c:bubble3D val="0"/>
            <c:spPr>
              <a:solidFill>
                <a:srgbClr val="5B9BD5">
                  <a:lumMod val="75000"/>
                </a:srgbClr>
              </a:solidFill>
              <a:ln w="19050">
                <a:noFill/>
              </a:ln>
              <a:effectLst/>
            </c:spPr>
            <c:extLst>
              <c:ext xmlns:c16="http://schemas.microsoft.com/office/drawing/2014/chart" uri="{C3380CC4-5D6E-409C-BE32-E72D297353CC}">
                <c16:uniqueId val="{00000003-1433-D648-893E-EE74AF6FC8DF}"/>
              </c:ext>
            </c:extLst>
          </c:dPt>
          <c:dPt>
            <c:idx val="2"/>
            <c:invertIfNegative val="0"/>
            <c:bubble3D val="0"/>
            <c:spPr>
              <a:solidFill>
                <a:srgbClr val="5B9BD5">
                  <a:lumMod val="60000"/>
                  <a:lumOff val="40000"/>
                </a:srgbClr>
              </a:solidFill>
              <a:ln w="19050">
                <a:noFill/>
              </a:ln>
              <a:effectLst/>
            </c:spPr>
            <c:extLst>
              <c:ext xmlns:c16="http://schemas.microsoft.com/office/drawing/2014/chart" uri="{C3380CC4-5D6E-409C-BE32-E72D297353CC}">
                <c16:uniqueId val="{00000005-1433-D648-893E-EE74AF6FC8D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Estudios Superiores</c:v>
                </c:pt>
                <c:pt idx="1">
                  <c:v>Estudios Secundarios</c:v>
                </c:pt>
                <c:pt idx="2">
                  <c:v>Estudios Primarios</c:v>
                </c:pt>
              </c:strCache>
            </c:strRef>
          </c:cat>
          <c:val>
            <c:numRef>
              <c:f>Hoja1!$B$2:$B$4</c:f>
              <c:numCache>
                <c:formatCode>0%</c:formatCode>
                <c:ptCount val="3"/>
                <c:pt idx="0">
                  <c:v>0.74</c:v>
                </c:pt>
                <c:pt idx="1">
                  <c:v>0.61</c:v>
                </c:pt>
                <c:pt idx="2">
                  <c:v>0.41</c:v>
                </c:pt>
              </c:numCache>
            </c:numRef>
          </c:val>
          <c:extLst>
            <c:ext xmlns:c16="http://schemas.microsoft.com/office/drawing/2014/chart" uri="{C3380CC4-5D6E-409C-BE32-E72D297353CC}">
              <c16:uniqueId val="{00000006-1433-D648-893E-EE74AF6FC8DF}"/>
            </c:ext>
          </c:extLst>
        </c:ser>
        <c:dLbls>
          <c:showLegendKey val="0"/>
          <c:showVal val="0"/>
          <c:showCatName val="0"/>
          <c:showSerName val="0"/>
          <c:showPercent val="0"/>
          <c:showBubbleSize val="0"/>
        </c:dLbls>
        <c:gapWidth val="150"/>
        <c:axId val="-1306830000"/>
        <c:axId val="-1306829456"/>
      </c:barChart>
      <c:catAx>
        <c:axId val="-13068300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ES"/>
          </a:p>
        </c:txPr>
        <c:crossAx val="-1306829456"/>
        <c:crosses val="autoZero"/>
        <c:auto val="1"/>
        <c:lblAlgn val="ctr"/>
        <c:lblOffset val="100"/>
        <c:noMultiLvlLbl val="0"/>
      </c:catAx>
      <c:valAx>
        <c:axId val="-1306829456"/>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ES"/>
          </a:p>
        </c:txPr>
        <c:crossAx val="-1306830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174649438022887E-2"/>
          <c:y val="3.5485116695580021E-2"/>
          <c:w val="0.89183444242110554"/>
          <c:h val="0.87375275555532206"/>
        </c:manualLayout>
      </c:layout>
      <c:barChart>
        <c:barDir val="col"/>
        <c:grouping val="clustered"/>
        <c:varyColors val="0"/>
        <c:ser>
          <c:idx val="0"/>
          <c:order val="0"/>
          <c:tx>
            <c:strRef>
              <c:f>Hoja1!$B$1</c:f>
              <c:strCache>
                <c:ptCount val="1"/>
                <c:pt idx="0">
                  <c:v>Práctica</c:v>
                </c:pt>
              </c:strCache>
            </c:strRef>
          </c:tx>
          <c:spPr>
            <a:solidFill>
              <a:schemeClr val="accent1"/>
            </a:solidFill>
            <a:ln w="19050">
              <a:noFill/>
            </a:ln>
            <a:effectLst/>
          </c:spPr>
          <c:invertIfNegative val="0"/>
          <c:dPt>
            <c:idx val="0"/>
            <c:invertIfNegative val="0"/>
            <c:bubble3D val="0"/>
            <c:spPr>
              <a:solidFill>
                <a:srgbClr val="5B9BD5">
                  <a:lumMod val="50000"/>
                </a:srgbClr>
              </a:solidFill>
              <a:ln w="19050">
                <a:noFill/>
              </a:ln>
              <a:effectLst/>
            </c:spPr>
            <c:extLst>
              <c:ext xmlns:c16="http://schemas.microsoft.com/office/drawing/2014/chart" uri="{C3380CC4-5D6E-409C-BE32-E72D297353CC}">
                <c16:uniqueId val="{00000001-2299-5142-B435-18256C76FD11}"/>
              </c:ext>
            </c:extLst>
          </c:dPt>
          <c:dPt>
            <c:idx val="1"/>
            <c:invertIfNegative val="0"/>
            <c:bubble3D val="0"/>
            <c:spPr>
              <a:solidFill>
                <a:srgbClr val="5B9BD5">
                  <a:lumMod val="75000"/>
                </a:srgbClr>
              </a:solidFill>
              <a:ln w="19050">
                <a:noFill/>
              </a:ln>
              <a:effectLst/>
            </c:spPr>
            <c:extLst>
              <c:ext xmlns:c16="http://schemas.microsoft.com/office/drawing/2014/chart" uri="{C3380CC4-5D6E-409C-BE32-E72D297353CC}">
                <c16:uniqueId val="{00000003-2299-5142-B435-18256C76FD11}"/>
              </c:ext>
            </c:extLst>
          </c:dPt>
          <c:dPt>
            <c:idx val="2"/>
            <c:invertIfNegative val="0"/>
            <c:bubble3D val="0"/>
            <c:spPr>
              <a:solidFill>
                <a:srgbClr val="5B9BD5">
                  <a:lumMod val="60000"/>
                  <a:lumOff val="40000"/>
                </a:srgbClr>
              </a:solidFill>
              <a:ln w="19050">
                <a:noFill/>
              </a:ln>
              <a:effectLst/>
            </c:spPr>
            <c:extLst>
              <c:ext xmlns:c16="http://schemas.microsoft.com/office/drawing/2014/chart" uri="{C3380CC4-5D6E-409C-BE32-E72D297353CC}">
                <c16:uniqueId val="{00000005-2299-5142-B435-18256C76FD11}"/>
              </c:ext>
            </c:extLst>
          </c:dPt>
          <c:dPt>
            <c:idx val="3"/>
            <c:invertIfNegative val="0"/>
            <c:bubble3D val="0"/>
            <c:spPr>
              <a:solidFill>
                <a:srgbClr val="5B9BD5">
                  <a:lumMod val="40000"/>
                  <a:lumOff val="60000"/>
                </a:srgbClr>
              </a:solidFill>
              <a:ln w="19050">
                <a:noFill/>
              </a:ln>
              <a:effectLst/>
            </c:spPr>
            <c:extLst>
              <c:ext xmlns:c16="http://schemas.microsoft.com/office/drawing/2014/chart" uri="{C3380CC4-5D6E-409C-BE32-E72D297353CC}">
                <c16:uniqueId val="{00000007-2299-5142-B435-18256C76FD11}"/>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Media Alta</c:v>
                </c:pt>
                <c:pt idx="1">
                  <c:v>Nuevas Clases Medias</c:v>
                </c:pt>
                <c:pt idx="2">
                  <c:v>Viejas Clases Medias</c:v>
                </c:pt>
                <c:pt idx="3">
                  <c:v>Clases obreras</c:v>
                </c:pt>
              </c:strCache>
            </c:strRef>
          </c:cat>
          <c:val>
            <c:numRef>
              <c:f>Hoja1!$B$2:$B$5</c:f>
              <c:numCache>
                <c:formatCode>0%</c:formatCode>
                <c:ptCount val="4"/>
                <c:pt idx="0">
                  <c:v>0.56999999999999995</c:v>
                </c:pt>
                <c:pt idx="1">
                  <c:v>0.44</c:v>
                </c:pt>
                <c:pt idx="2">
                  <c:v>0.31</c:v>
                </c:pt>
                <c:pt idx="3">
                  <c:v>0.32</c:v>
                </c:pt>
              </c:numCache>
            </c:numRef>
          </c:val>
          <c:extLst>
            <c:ext xmlns:c16="http://schemas.microsoft.com/office/drawing/2014/chart" uri="{C3380CC4-5D6E-409C-BE32-E72D297353CC}">
              <c16:uniqueId val="{00000008-2299-5142-B435-18256C76FD11}"/>
            </c:ext>
          </c:extLst>
        </c:ser>
        <c:dLbls>
          <c:showLegendKey val="0"/>
          <c:showVal val="0"/>
          <c:showCatName val="0"/>
          <c:showSerName val="0"/>
          <c:showPercent val="0"/>
          <c:showBubbleSize val="0"/>
        </c:dLbls>
        <c:gapWidth val="150"/>
        <c:axId val="-1306822384"/>
        <c:axId val="-1306821840"/>
      </c:barChart>
      <c:catAx>
        <c:axId val="-13068223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ES"/>
          </a:p>
        </c:txPr>
        <c:crossAx val="-1306821840"/>
        <c:crosses val="autoZero"/>
        <c:auto val="1"/>
        <c:lblAlgn val="ctr"/>
        <c:lblOffset val="100"/>
        <c:noMultiLvlLbl val="0"/>
      </c:catAx>
      <c:valAx>
        <c:axId val="-1306821840"/>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ES"/>
          </a:p>
        </c:txPr>
        <c:crossAx val="-13068223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'[01_02_03_Poblacion_TramosEdad_Sexo_y_1981_2001_2021 (1).xls]1981'!$E$8</c:f>
              <c:strCache>
                <c:ptCount val="1"/>
                <c:pt idx="0">
                  <c:v>% Hombres</c:v>
                </c:pt>
              </c:strCache>
            </c:strRef>
          </c:tx>
          <c:spPr>
            <a:solidFill>
              <a:srgbClr val="4472C4">
                <a:lumMod val="75000"/>
              </a:srgbClr>
            </a:solidFill>
            <a:ln w="25400">
              <a:noFill/>
            </a:ln>
          </c:spPr>
          <c:invertIfNegative val="0"/>
          <c:cat>
            <c:strRef>
              <c:f>'[01_02_03_Poblacion_TramosEdad_Sexo_y_1981_2001_2021 (1).xls]1981'!$A$9:$A$26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(1).xls]1981'!$E$9:$E$26</c:f>
              <c:numCache>
                <c:formatCode>General</c:formatCode>
                <c:ptCount val="18"/>
                <c:pt idx="0">
                  <c:v>-8.5654995924937509</c:v>
                </c:pt>
                <c:pt idx="1">
                  <c:v>-9.2144866186477525</c:v>
                </c:pt>
                <c:pt idx="2">
                  <c:v>-9.1688338053188172</c:v>
                </c:pt>
                <c:pt idx="3">
                  <c:v>-9.0085406236221885</c:v>
                </c:pt>
                <c:pt idx="4">
                  <c:v>-8.0061958471081773</c:v>
                </c:pt>
                <c:pt idx="5">
                  <c:v>-6.9160334875985985</c:v>
                </c:pt>
                <c:pt idx="6">
                  <c:v>-6.6564635531073035</c:v>
                </c:pt>
                <c:pt idx="7">
                  <c:v>-6.0919034070399318</c:v>
                </c:pt>
                <c:pt idx="8">
                  <c:v>-5.5033271339891687</c:v>
                </c:pt>
                <c:pt idx="9">
                  <c:v>-6.3131805707207338</c:v>
                </c:pt>
                <c:pt idx="10">
                  <c:v>-5.9978722392877986</c:v>
                </c:pt>
                <c:pt idx="11">
                  <c:v>-5.3274378004753578</c:v>
                </c:pt>
                <c:pt idx="12">
                  <c:v>-3.9075390467560625</c:v>
                </c:pt>
                <c:pt idx="13">
                  <c:v>-3.4184017610889099</c:v>
                </c:pt>
                <c:pt idx="14">
                  <c:v>-2.7634174629636008</c:v>
                </c:pt>
                <c:pt idx="15">
                  <c:v>-1.8158484914968256</c:v>
                </c:pt>
                <c:pt idx="16">
                  <c:v>-0.883935157863178</c:v>
                </c:pt>
                <c:pt idx="17">
                  <c:v>-0.44108340042184235</c:v>
                </c:pt>
              </c:numCache>
            </c:numRef>
          </c:val>
          <c:extLst>
            <c:ext xmlns:c16="http://schemas.microsoft.com/office/drawing/2014/chart" uri="{C3380CC4-5D6E-409C-BE32-E72D297353CC}">
              <c16:uniqueId val="{00000000-29DB-A847-A7E5-07CD4BABF8F2}"/>
            </c:ext>
          </c:extLst>
        </c:ser>
        <c:ser>
          <c:idx val="1"/>
          <c:order val="1"/>
          <c:tx>
            <c:strRef>
              <c:f>'[01_02_03_Poblacion_TramosEdad_Sexo_y_1981_2001_2021 (1).xls]1981'!$F$8</c:f>
              <c:strCache>
                <c:ptCount val="1"/>
                <c:pt idx="0">
                  <c:v>% Mujeres</c:v>
                </c:pt>
              </c:strCache>
            </c:strRef>
          </c:tx>
          <c:spPr>
            <a:solidFill>
              <a:srgbClr val="4472C4">
                <a:lumMod val="60000"/>
                <a:lumOff val="40000"/>
              </a:srgbClr>
            </a:solidFill>
            <a:ln>
              <a:noFill/>
            </a:ln>
            <a:effectLst/>
          </c:spPr>
          <c:invertIfNegative val="0"/>
          <c:cat>
            <c:strRef>
              <c:f>'[01_02_03_Poblacion_TramosEdad_Sexo_y_1981_2001_2021 (1).xls]1981'!$A$9:$A$26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o más</c:v>
                </c:pt>
              </c:strCache>
            </c:strRef>
          </c:cat>
          <c:val>
            <c:numRef>
              <c:f>'[01_02_03_Poblacion_TramosEdad_Sexo_y_1981_2001_2021 (1).xls]1981'!$F$9:$F$26</c:f>
              <c:numCache>
                <c:formatCode>General</c:formatCode>
                <c:ptCount val="18"/>
                <c:pt idx="0">
                  <c:v>7.7713225311208678</c:v>
                </c:pt>
                <c:pt idx="1">
                  <c:v>8.3584953519306122</c:v>
                </c:pt>
                <c:pt idx="2">
                  <c:v>8.3726682015029059</c:v>
                </c:pt>
                <c:pt idx="3">
                  <c:v>8.3238187659366396</c:v>
                </c:pt>
                <c:pt idx="4">
                  <c:v>7.6163069889239177</c:v>
                </c:pt>
                <c:pt idx="5">
                  <c:v>6.5577201804287117</c:v>
                </c:pt>
                <c:pt idx="6">
                  <c:v>6.3799655516385689</c:v>
                </c:pt>
                <c:pt idx="7">
                  <c:v>5.8322682853728276</c:v>
                </c:pt>
                <c:pt idx="8">
                  <c:v>5.4104280075516273</c:v>
                </c:pt>
                <c:pt idx="9">
                  <c:v>6.2204584666727527</c:v>
                </c:pt>
                <c:pt idx="10">
                  <c:v>6.0233568560951385</c:v>
                </c:pt>
                <c:pt idx="11">
                  <c:v>5.4860703815372789</c:v>
                </c:pt>
                <c:pt idx="12">
                  <c:v>4.5539189388037196</c:v>
                </c:pt>
                <c:pt idx="13">
                  <c:v>4.2387501964398639</c:v>
                </c:pt>
                <c:pt idx="14">
                  <c:v>3.6620350627961447</c:v>
                </c:pt>
                <c:pt idx="15">
                  <c:v>2.6907467549385085</c:v>
                </c:pt>
                <c:pt idx="16">
                  <c:v>1.5553920814622046</c:v>
                </c:pt>
                <c:pt idx="17">
                  <c:v>0.94627739684770817</c:v>
                </c:pt>
              </c:numCache>
            </c:numRef>
          </c:val>
          <c:extLst>
            <c:ext xmlns:c16="http://schemas.microsoft.com/office/drawing/2014/chart" uri="{C3380CC4-5D6E-409C-BE32-E72D297353CC}">
              <c16:uniqueId val="{00000001-29DB-A847-A7E5-07CD4BABF8F2}"/>
            </c:ext>
          </c:extLst>
        </c:ser>
        <c:dLbls>
          <c:showLegendKey val="0"/>
          <c:showVal val="0"/>
          <c:showCatName val="0"/>
          <c:showSerName val="0"/>
          <c:showPercent val="0"/>
          <c:showBubbleSize val="0"/>
        </c:dLbls>
        <c:gapWidth val="4"/>
        <c:overlap val="100"/>
        <c:axId val="-1306851760"/>
        <c:axId val="-1306884944"/>
      </c:barChart>
      <c:catAx>
        <c:axId val="-1306851760"/>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84944"/>
        <c:crosses val="autoZero"/>
        <c:auto val="1"/>
        <c:lblAlgn val="ctr"/>
        <c:lblOffset val="100"/>
        <c:noMultiLvlLbl val="0"/>
      </c:catAx>
      <c:valAx>
        <c:axId val="-1306884944"/>
        <c:scaling>
          <c:orientation val="minMax"/>
          <c:min val="-10"/>
        </c:scaling>
        <c:delete val="0"/>
        <c:axPos val="b"/>
        <c:majorGridlines>
          <c:spPr>
            <a:ln w="6350" cap="flat" cmpd="sng" algn="ctr">
              <a:solidFill>
                <a:sysClr val="windowText" lastClr="000000">
                  <a:lumMod val="50000"/>
                  <a:lumOff val="50000"/>
                </a:sysClr>
              </a:solidFill>
              <a:round/>
            </a:ln>
            <a:effectLst/>
          </c:spPr>
        </c:majorGridlines>
        <c:minorGridlines/>
        <c:numFmt formatCode="0;0" sourceLinked="0"/>
        <c:majorTickMark val="none"/>
        <c:minorTickMark val="none"/>
        <c:tickLblPos val="nextTo"/>
        <c:spPr>
          <a:ln w="6350">
            <a:noFill/>
          </a:ln>
        </c:spPr>
        <c:txPr>
          <a:bodyPr rot="-60000000" spcFirstLastPara="1" vertOverflow="ellipsis" vert="horz" wrap="square" anchor="ctr" anchorCtr="1"/>
          <a:lstStyle/>
          <a:p>
            <a:pPr>
              <a:defRPr sz="800" b="0" i="0" u="none" strike="noStrike" kern="1200" baseline="0">
                <a:ln>
                  <a:noFill/>
                </a:ln>
                <a:solidFill>
                  <a:sysClr val="windowText" lastClr="000000"/>
                </a:solidFill>
                <a:latin typeface="+mn-lt"/>
                <a:ea typeface="+mn-ea"/>
                <a:cs typeface="Times New Roman" panose="02020603050405020304" pitchFamily="18" charset="0"/>
              </a:defRPr>
            </a:pPr>
            <a:endParaRPr lang="es-ES"/>
          </a:p>
        </c:txPr>
        <c:crossAx val="-1306851760"/>
        <c:crosses val="autoZero"/>
        <c:crossBetween val="between"/>
        <c:minorUnit val="1"/>
      </c:valAx>
      <c:spPr>
        <a:noFill/>
        <a:ln w="25400">
          <a:noFill/>
        </a:ln>
      </c:spPr>
    </c:plotArea>
    <c:plotVisOnly val="1"/>
    <c:dispBlanksAs val="gap"/>
    <c:showDLblsOverMax val="0"/>
  </c:chart>
  <c:spPr>
    <a:noFill/>
    <a:ln w="6350" cap="flat" cmpd="sng" algn="ctr">
      <a:noFill/>
      <a:round/>
    </a:ln>
    <a:effectLst/>
  </c:spPr>
  <c:txPr>
    <a:bodyPr/>
    <a:lstStyle/>
    <a:p>
      <a:pPr>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Hoja1!$B$1</c:f>
              <c:strCache>
                <c:ptCount val="1"/>
                <c:pt idx="0">
                  <c:v>Población Nacional</c:v>
                </c:pt>
              </c:strCache>
            </c:strRef>
          </c:tx>
          <c:spPr>
            <a:solidFill>
              <a:schemeClr val="accent1">
                <a:lumMod val="60000"/>
                <a:lumOff val="40000"/>
              </a:schemeClr>
            </a:solidFill>
            <a:ln>
              <a:noFill/>
            </a:ln>
            <a:effectLst/>
          </c:spPr>
          <c:dLbls>
            <c:dLbl>
              <c:idx val="0"/>
              <c:layout>
                <c:manualLayout>
                  <c:x val="5.9273384859995164E-2"/>
                  <c:y val="-0.223115443902845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41-4F47-8059-5A9C518A2E53}"/>
                </c:ext>
              </c:extLst>
            </c:dLbl>
            <c:dLbl>
              <c:idx val="1"/>
              <c:layout>
                <c:manualLayout>
                  <c:x val="8.1577686261050317E-3"/>
                  <c:y val="-0.234076573761613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41-4F47-8059-5A9C518A2E53}"/>
                </c:ext>
              </c:extLst>
            </c:dLbl>
            <c:dLbl>
              <c:idx val="2"/>
              <c:layout>
                <c:manualLayout>
                  <c:x val="-3.5572217378036675E-2"/>
                  <c:y val="-0.256879348414781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41-4F47-8059-5A9C518A2E5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Hoja1!$A$2:$A$4</c:f>
              <c:numCache>
                <c:formatCode>General</c:formatCode>
                <c:ptCount val="3"/>
                <c:pt idx="0">
                  <c:v>1981</c:v>
                </c:pt>
                <c:pt idx="1">
                  <c:v>2001</c:v>
                </c:pt>
                <c:pt idx="2">
                  <c:v>2021</c:v>
                </c:pt>
              </c:numCache>
            </c:numRef>
          </c:cat>
          <c:val>
            <c:numRef>
              <c:f>Hoja1!$B$2:$B$4</c:f>
              <c:numCache>
                <c:formatCode>#,##0</c:formatCode>
                <c:ptCount val="3"/>
                <c:pt idx="0">
                  <c:v>37647673</c:v>
                </c:pt>
                <c:pt idx="1">
                  <c:v>39463258</c:v>
                </c:pt>
                <c:pt idx="2">
                  <c:v>42372649</c:v>
                </c:pt>
              </c:numCache>
            </c:numRef>
          </c:val>
          <c:extLst>
            <c:ext xmlns:c16="http://schemas.microsoft.com/office/drawing/2014/chart" uri="{C3380CC4-5D6E-409C-BE32-E72D297353CC}">
              <c16:uniqueId val="{00000003-9D41-4F47-8059-5A9C518A2E53}"/>
            </c:ext>
          </c:extLst>
        </c:ser>
        <c:ser>
          <c:idx val="1"/>
          <c:order val="1"/>
          <c:tx>
            <c:strRef>
              <c:f>Hoja1!$C$1</c:f>
              <c:strCache>
                <c:ptCount val="1"/>
                <c:pt idx="0">
                  <c:v>Población Inmigrante</c:v>
                </c:pt>
              </c:strCache>
            </c:strRef>
          </c:tx>
          <c:spPr>
            <a:solidFill>
              <a:schemeClr val="accent1">
                <a:lumMod val="40000"/>
                <a:lumOff val="60000"/>
              </a:schemeClr>
            </a:solidFill>
            <a:ln>
              <a:noFill/>
            </a:ln>
            <a:effectLst/>
          </c:spPr>
          <c:dLbls>
            <c:dLbl>
              <c:idx val="0"/>
              <c:layout>
                <c:manualLayout>
                  <c:x val="4.4537481213293512E-2"/>
                  <c:y val="-4.5605549306336708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D41-4F47-8059-5A9C518A2E53}"/>
                </c:ext>
              </c:extLst>
            </c:dLbl>
            <c:dLbl>
              <c:idx val="1"/>
              <c:layout>
                <c:manualLayout>
                  <c:x val="3.4540484885297144E-3"/>
                  <c:y val="-4.5809696158297233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41-4F47-8059-5A9C518A2E53}"/>
                </c:ext>
              </c:extLst>
            </c:dLbl>
            <c:dLbl>
              <c:idx val="2"/>
              <c:layout>
                <c:manualLayout>
                  <c:x val="-4.0605995511144535E-2"/>
                  <c:y val="-7.8592377861989152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D41-4F47-8059-5A9C518A2E5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Hoja1!$A$2:$A$4</c:f>
              <c:numCache>
                <c:formatCode>General</c:formatCode>
                <c:ptCount val="3"/>
                <c:pt idx="0">
                  <c:v>1981</c:v>
                </c:pt>
                <c:pt idx="1">
                  <c:v>2001</c:v>
                </c:pt>
                <c:pt idx="2">
                  <c:v>2021</c:v>
                </c:pt>
              </c:numCache>
            </c:numRef>
          </c:cat>
          <c:val>
            <c:numRef>
              <c:f>Hoja1!$C$2:$C$4</c:f>
              <c:numCache>
                <c:formatCode>#,##0</c:formatCode>
                <c:ptCount val="3"/>
                <c:pt idx="0">
                  <c:v>234200</c:v>
                </c:pt>
                <c:pt idx="1">
                  <c:v>1572013</c:v>
                </c:pt>
                <c:pt idx="2">
                  <c:v>5242385</c:v>
                </c:pt>
              </c:numCache>
            </c:numRef>
          </c:val>
          <c:extLst>
            <c:ext xmlns:c16="http://schemas.microsoft.com/office/drawing/2014/chart" uri="{C3380CC4-5D6E-409C-BE32-E72D297353CC}">
              <c16:uniqueId val="{00000007-9D41-4F47-8059-5A9C518A2E53}"/>
            </c:ext>
          </c:extLst>
        </c:ser>
        <c:dLbls>
          <c:showLegendKey val="0"/>
          <c:showVal val="0"/>
          <c:showCatName val="0"/>
          <c:showSerName val="0"/>
          <c:showPercent val="0"/>
          <c:showBubbleSize val="0"/>
        </c:dLbls>
        <c:axId val="-1306871888"/>
        <c:axId val="-1306870256"/>
      </c:areaChart>
      <c:catAx>
        <c:axId val="-13068718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70256"/>
        <c:crosses val="autoZero"/>
        <c:auto val="1"/>
        <c:lblAlgn val="ctr"/>
        <c:lblOffset val="100"/>
        <c:noMultiLvlLbl val="0"/>
      </c:catAx>
      <c:valAx>
        <c:axId val="-1306870256"/>
        <c:scaling>
          <c:orientation val="minMax"/>
          <c:min val="0"/>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71888"/>
        <c:crosses val="autoZero"/>
        <c:crossBetween val="midCat"/>
        <c:majorUnit val="100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legend>
    <c:plotVisOnly val="1"/>
    <c:dispBlanksAs val="zero"/>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Censos_1981_2001_2021!$E$1</c:f>
              <c:strCache>
                <c:ptCount val="1"/>
                <c:pt idx="0">
                  <c:v>1981</c:v>
                </c:pt>
              </c:strCache>
            </c:strRef>
          </c:tx>
          <c:spPr>
            <a:solidFill>
              <a:schemeClr val="accent1">
                <a:lumMod val="60000"/>
                <a:lumOff val="40000"/>
              </a:schemeClr>
            </a:solidFill>
            <a:ln>
              <a:noFill/>
            </a:ln>
            <a:effectLst/>
          </c:spPr>
          <c:invertIfNegative val="0"/>
          <c:dLbls>
            <c:dLbl>
              <c:idx val="2"/>
              <c:layout>
                <c:manualLayout>
                  <c:x val="-8.6232932961189039E-17"/>
                  <c:y val="-7.79575131553303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98-D043-A8FE-7C5C4FCBEF1D}"/>
                </c:ext>
              </c:extLst>
            </c:dLbl>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Censos_1981_2001_2021!$A$2:$A$5</c:f>
              <c:strCache>
                <c:ptCount val="4"/>
                <c:pt idx="0">
                  <c:v>Sin estudios</c:v>
                </c:pt>
                <c:pt idx="1">
                  <c:v>Estudios de Primaria</c:v>
                </c:pt>
                <c:pt idx="2">
                  <c:v>Estudios de Secundaria</c:v>
                </c:pt>
                <c:pt idx="3">
                  <c:v>Estudios Universitarios</c:v>
                </c:pt>
              </c:strCache>
            </c:strRef>
          </c:cat>
          <c:val>
            <c:numRef>
              <c:f>Censos_1981_2001_2021!$E$2:$E$5</c:f>
              <c:numCache>
                <c:formatCode>0%</c:formatCode>
                <c:ptCount val="4"/>
                <c:pt idx="0">
                  <c:v>0.23721098691736175</c:v>
                </c:pt>
                <c:pt idx="1">
                  <c:v>0.24473614100328753</c:v>
                </c:pt>
                <c:pt idx="2">
                  <c:v>0.48194712792064925</c:v>
                </c:pt>
                <c:pt idx="3">
                  <c:v>3.6105744158701457E-2</c:v>
                </c:pt>
              </c:numCache>
            </c:numRef>
          </c:val>
          <c:extLst>
            <c:ext xmlns:c16="http://schemas.microsoft.com/office/drawing/2014/chart" uri="{C3380CC4-5D6E-409C-BE32-E72D297353CC}">
              <c16:uniqueId val="{00000001-1198-D043-A8FE-7C5C4FCBEF1D}"/>
            </c:ext>
          </c:extLst>
        </c:ser>
        <c:ser>
          <c:idx val="2"/>
          <c:order val="1"/>
          <c:tx>
            <c:strRef>
              <c:f>Censos_1981_2001_2021!$G$1</c:f>
              <c:strCache>
                <c:ptCount val="1"/>
                <c:pt idx="0">
                  <c:v>2021</c:v>
                </c:pt>
              </c:strCache>
            </c:strRef>
          </c:tx>
          <c:spPr>
            <a:solidFill>
              <a:schemeClr val="accent1">
                <a:lumMod val="75000"/>
              </a:schemeClr>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Censos_1981_2001_2021!$A$2:$A$5</c:f>
              <c:strCache>
                <c:ptCount val="4"/>
                <c:pt idx="0">
                  <c:v>Sin estudios</c:v>
                </c:pt>
                <c:pt idx="1">
                  <c:v>Estudios de Primaria</c:v>
                </c:pt>
                <c:pt idx="2">
                  <c:v>Estudios de Secundaria</c:v>
                </c:pt>
                <c:pt idx="3">
                  <c:v>Estudios Universitarios</c:v>
                </c:pt>
              </c:strCache>
            </c:strRef>
          </c:cat>
          <c:val>
            <c:numRef>
              <c:f>Censos_1981_2001_2021!$G$2:$G$5</c:f>
              <c:numCache>
                <c:formatCode>0%</c:formatCode>
                <c:ptCount val="4"/>
                <c:pt idx="0">
                  <c:v>7.3131351292973323E-2</c:v>
                </c:pt>
                <c:pt idx="1">
                  <c:v>0.22406341469767349</c:v>
                </c:pt>
                <c:pt idx="2">
                  <c:v>0.29719476599064681</c:v>
                </c:pt>
                <c:pt idx="3">
                  <c:v>0.40561046801870637</c:v>
                </c:pt>
              </c:numCache>
            </c:numRef>
          </c:val>
          <c:extLst>
            <c:ext xmlns:c16="http://schemas.microsoft.com/office/drawing/2014/chart" uri="{C3380CC4-5D6E-409C-BE32-E72D297353CC}">
              <c16:uniqueId val="{00000002-1198-D043-A8FE-7C5C4FCBEF1D}"/>
            </c:ext>
          </c:extLst>
        </c:ser>
        <c:dLbls>
          <c:showLegendKey val="0"/>
          <c:showVal val="0"/>
          <c:showCatName val="0"/>
          <c:showSerName val="0"/>
          <c:showPercent val="0"/>
          <c:showBubbleSize val="0"/>
        </c:dLbls>
        <c:gapWidth val="150"/>
        <c:axId val="-1306855568"/>
        <c:axId val="-1306858832"/>
      </c:barChart>
      <c:catAx>
        <c:axId val="-1306855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58832"/>
        <c:crosses val="autoZero"/>
        <c:auto val="1"/>
        <c:lblAlgn val="ctr"/>
        <c:lblOffset val="100"/>
        <c:noMultiLvlLbl val="0"/>
      </c:catAx>
      <c:valAx>
        <c:axId val="-1306858832"/>
        <c:scaling>
          <c:orientation val="minMax"/>
          <c:max val="0.55000000000000004"/>
          <c:min val="0"/>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30685556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1981</c:v>
          </c:tx>
          <c:spPr>
            <a:solidFill>
              <a:schemeClr val="accent1">
                <a:lumMod val="60000"/>
                <a:lumOff val="40000"/>
              </a:schemeClr>
            </a:solidFill>
            <a:ln>
              <a:noFill/>
            </a:ln>
            <a:effectLst/>
          </c:spPr>
          <c:invertIfNegative val="0"/>
          <c:dLbls>
            <c:dLbl>
              <c:idx val="1"/>
              <c:layout>
                <c:manualLayout>
                  <c:x val="-9.4073377234243569E-3"/>
                  <c:y val="-6.15102215988887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5B-AA4F-9405-4FC015C0B67F}"/>
                </c:ext>
              </c:extLst>
            </c:dLbl>
            <c:dLbl>
              <c:idx val="2"/>
              <c:layout>
                <c:manualLayout>
                  <c:x val="-7.055503292568289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5B-AA4F-9405-4FC015C0B67F}"/>
                </c:ext>
              </c:extLst>
            </c:dLbl>
            <c:dLbl>
              <c:idx val="3"/>
              <c:layout>
                <c:manualLayout>
                  <c:x val="-7.0555032925682035E-3"/>
                  <c:y val="-6.15102215988887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5B-AA4F-9405-4FC015C0B67F}"/>
                </c:ext>
              </c:extLst>
            </c:dLbl>
            <c:spPr>
              <a:noFill/>
              <a:ln>
                <a:noFill/>
              </a:ln>
              <a:effectLst/>
            </c:spPr>
            <c:txPr>
              <a:bodyPr wrap="square" lIns="38100" tIns="19050" rIns="38100" bIns="19050" anchor="ctr">
                <a:spAutoFit/>
              </a:bodyPr>
              <a:lstStyle/>
              <a:p>
                <a:pPr>
                  <a:defRPr sz="800">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'[Gráfico en Microsoft Word]Hoja1'!$B$3:$B$6</c:f>
              <c:strCache>
                <c:ptCount val="4"/>
                <c:pt idx="0">
                  <c:v>Sector agrícola, ganadero, forestal y pesquero, artesanos, industrias manufactureras, construcción y operadores de instalaciones, maquinarias y montadores</c:v>
                </c:pt>
                <c:pt idx="1">
                  <c:v>Ocupaciones elementales</c:v>
                </c:pt>
                <c:pt idx="2">
                  <c:v>Servicios de restauración, personales, protección y vendedores</c:v>
                </c:pt>
                <c:pt idx="3">
                  <c:v>Directores y gerentes, técnicos y profesionales científicos e intelectuales, contables, administrativos y empleados de oficina</c:v>
                </c:pt>
              </c:strCache>
            </c:strRef>
          </c:cat>
          <c:val>
            <c:numRef>
              <c:f>'[Gráfico en Microsoft Word]Hoja1'!$C$3:$C$6</c:f>
              <c:numCache>
                <c:formatCode>#,##0</c:formatCode>
                <c:ptCount val="4"/>
                <c:pt idx="0">
                  <c:v>4143938</c:v>
                </c:pt>
                <c:pt idx="1">
                  <c:v>1510920</c:v>
                </c:pt>
                <c:pt idx="2">
                  <c:v>1421900</c:v>
                </c:pt>
                <c:pt idx="3">
                  <c:v>3433455</c:v>
                </c:pt>
              </c:numCache>
            </c:numRef>
          </c:val>
          <c:extLst>
            <c:ext xmlns:c16="http://schemas.microsoft.com/office/drawing/2014/chart" uri="{C3380CC4-5D6E-409C-BE32-E72D297353CC}">
              <c16:uniqueId val="{00000003-905B-AA4F-9405-4FC015C0B67F}"/>
            </c:ext>
          </c:extLst>
        </c:ser>
        <c:ser>
          <c:idx val="2"/>
          <c:order val="1"/>
          <c:tx>
            <c:v>2021</c:v>
          </c:tx>
          <c:spPr>
            <a:solidFill>
              <a:schemeClr val="accent1">
                <a:lumMod val="75000"/>
              </a:schemeClr>
            </a:solidFill>
            <a:ln>
              <a:noFill/>
            </a:ln>
            <a:effectLst/>
          </c:spPr>
          <c:invertIfNegative val="0"/>
          <c:dLbls>
            <c:dLbl>
              <c:idx val="0"/>
              <c:layout>
                <c:manualLayout>
                  <c:x val="4.7036688617121351E-3"/>
                  <c:y val="-6.15102215988887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5B-AA4F-9405-4FC015C0B67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'[Gráfico en Microsoft Word]Hoja1'!$B$3:$B$6</c:f>
              <c:strCache>
                <c:ptCount val="4"/>
                <c:pt idx="0">
                  <c:v>Sector agrícola, ganadero, forestal y pesquero, artesanos, industrias manufactureras, construcción y operadores de instalaciones, maquinarias y montadores</c:v>
                </c:pt>
                <c:pt idx="1">
                  <c:v>Ocupaciones elementales</c:v>
                </c:pt>
                <c:pt idx="2">
                  <c:v>Servicios de restauración, personales, protección y vendedores</c:v>
                </c:pt>
                <c:pt idx="3">
                  <c:v>Directores y gerentes, técnicos y profesionales científicos e intelectuales, contables, administrativos y empleados de oficina</c:v>
                </c:pt>
              </c:strCache>
            </c:strRef>
          </c:cat>
          <c:val>
            <c:numRef>
              <c:f>'[Gráfico en Microsoft Word]Hoja1'!$E$3:$E$6</c:f>
              <c:numCache>
                <c:formatCode>#,##0</c:formatCode>
                <c:ptCount val="4"/>
                <c:pt idx="0">
                  <c:v>3460944</c:v>
                </c:pt>
                <c:pt idx="1">
                  <c:v>2593245</c:v>
                </c:pt>
                <c:pt idx="2">
                  <c:v>4071708</c:v>
                </c:pt>
                <c:pt idx="3">
                  <c:v>7934526</c:v>
                </c:pt>
              </c:numCache>
            </c:numRef>
          </c:val>
          <c:extLst>
            <c:ext xmlns:c16="http://schemas.microsoft.com/office/drawing/2014/chart" uri="{C3380CC4-5D6E-409C-BE32-E72D297353CC}">
              <c16:uniqueId val="{00000005-905B-AA4F-9405-4FC015C0B67F}"/>
            </c:ext>
          </c:extLst>
        </c:ser>
        <c:dLbls>
          <c:showLegendKey val="0"/>
          <c:showVal val="0"/>
          <c:showCatName val="0"/>
          <c:showSerName val="0"/>
          <c:showPercent val="0"/>
          <c:showBubbleSize val="0"/>
        </c:dLbls>
        <c:gapWidth val="219"/>
        <c:overlap val="-27"/>
        <c:axId val="-1306869712"/>
        <c:axId val="-1306863184"/>
      </c:barChart>
      <c:catAx>
        <c:axId val="-130686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63184"/>
        <c:crosses val="autoZero"/>
        <c:auto val="1"/>
        <c:lblAlgn val="ctr"/>
        <c:lblOffset val="100"/>
        <c:noMultiLvlLbl val="0"/>
      </c:catAx>
      <c:valAx>
        <c:axId val="-1306863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69712"/>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PIB_PerCapita!$G$1</c:f>
              <c:strCache>
                <c:ptCount val="1"/>
                <c:pt idx="0">
                  <c:v>PIB per cápita</c:v>
                </c:pt>
              </c:strCache>
            </c:strRef>
          </c:tx>
          <c:spPr>
            <a:ln w="19050" cmpd="sng">
              <a:solidFill>
                <a:srgbClr val="4472C4">
                  <a:lumMod val="75000"/>
                </a:srgbClr>
              </a:solidFill>
            </a:ln>
          </c:spPr>
          <c:marker>
            <c:symbol val="none"/>
          </c:marker>
          <c:dLbls>
            <c:dLbl>
              <c:idx val="0"/>
              <c:layout>
                <c:manualLayout>
                  <c:x val="-9.2948717948717924E-2"/>
                  <c:y val="-1.78571428571428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B4-954B-AD57-350D04D7B962}"/>
                </c:ext>
              </c:extLst>
            </c:dLbl>
            <c:dLbl>
              <c:idx val="1"/>
              <c:layout>
                <c:manualLayout>
                  <c:x val="-8.6538461538461536E-2"/>
                  <c:y val="-5.05952380952381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B4-954B-AD57-350D04D7B962}"/>
                </c:ext>
              </c:extLst>
            </c:dLbl>
            <c:dLbl>
              <c:idx val="2"/>
              <c:layout>
                <c:manualLayout>
                  <c:x val="-1.282051282051282E-2"/>
                  <c:y val="-5.059523809523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B4-954B-AD57-350D04D7B962}"/>
                </c:ext>
              </c:extLst>
            </c:dLbl>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PIB_PerCapita!$F$2:$F$4</c:f>
              <c:numCache>
                <c:formatCode>General</c:formatCode>
                <c:ptCount val="3"/>
                <c:pt idx="0">
                  <c:v>1981</c:v>
                </c:pt>
                <c:pt idx="1">
                  <c:v>2001</c:v>
                </c:pt>
                <c:pt idx="2">
                  <c:v>2021</c:v>
                </c:pt>
              </c:numCache>
            </c:numRef>
          </c:cat>
          <c:val>
            <c:numRef>
              <c:f>PIB_PerCapita!$G$2:$G$4</c:f>
              <c:numCache>
                <c:formatCode>#,##0\ "€"</c:formatCode>
                <c:ptCount val="3"/>
                <c:pt idx="0">
                  <c:v>2806.5</c:v>
                </c:pt>
                <c:pt idx="1">
                  <c:v>17196</c:v>
                </c:pt>
                <c:pt idx="2">
                  <c:v>25498</c:v>
                </c:pt>
              </c:numCache>
            </c:numRef>
          </c:val>
          <c:smooth val="0"/>
          <c:extLst>
            <c:ext xmlns:c16="http://schemas.microsoft.com/office/drawing/2014/chart" uri="{C3380CC4-5D6E-409C-BE32-E72D297353CC}">
              <c16:uniqueId val="{00000003-35B4-954B-AD57-350D04D7B962}"/>
            </c:ext>
          </c:extLst>
        </c:ser>
        <c:dLbls>
          <c:showLegendKey val="0"/>
          <c:showVal val="0"/>
          <c:showCatName val="0"/>
          <c:showSerName val="0"/>
          <c:showPercent val="0"/>
          <c:showBubbleSize val="0"/>
        </c:dLbls>
        <c:smooth val="0"/>
        <c:axId val="-1306862640"/>
        <c:axId val="-1306847952"/>
      </c:lineChart>
      <c:catAx>
        <c:axId val="-130686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1306847952"/>
        <c:crosses val="autoZero"/>
        <c:auto val="1"/>
        <c:lblAlgn val="ctr"/>
        <c:lblOffset val="100"/>
        <c:noMultiLvlLbl val="0"/>
      </c:catAx>
      <c:valAx>
        <c:axId val="-1306847952"/>
        <c:scaling>
          <c:orientation val="minMax"/>
        </c:scaling>
        <c:delete val="0"/>
        <c:axPos val="l"/>
        <c:majorGridlines>
          <c:spPr>
            <a:ln w="9525" cap="flat" cmpd="sng" algn="ctr">
              <a:noFill/>
              <a:round/>
            </a:ln>
            <a:effectLst/>
          </c:spPr>
        </c:majorGridlines>
        <c:numFmt formatCode="#,##0\ &quot;€&quot;" sourceLinked="1"/>
        <c:majorTickMark val="none"/>
        <c:minorTickMark val="none"/>
        <c:tickLblPos val="nextTo"/>
        <c:spPr>
          <a:ln w="9525">
            <a:noFill/>
          </a:ln>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Times New Roman" panose="02020603050405020304" pitchFamily="18" charset="0"/>
              </a:defRPr>
            </a:pPr>
            <a:endParaRPr lang="es-ES"/>
          </a:p>
        </c:txPr>
        <c:crossAx val="-1306862640"/>
        <c:crosses val="autoZero"/>
        <c:crossBetween val="between"/>
        <c:majorUnit val="5000"/>
      </c:valAx>
      <c:spPr>
        <a:noFill/>
        <a:ln w="25400">
          <a:noFill/>
        </a:ln>
      </c:spPr>
    </c:plotArea>
    <c:plotVisOnly val="1"/>
    <c:dispBlanksAs val="gap"/>
    <c:showDLblsOverMax val="0"/>
  </c:chart>
  <c:spPr>
    <a:noFill/>
    <a:ln w="9525" cap="flat" cmpd="sng" algn="ctr">
      <a:noFill/>
      <a:round/>
    </a:ln>
    <a:effectLst/>
  </c:spPr>
  <c:txPr>
    <a:bodyPr/>
    <a:lstStyle/>
    <a:p>
      <a:pPr>
        <a:defRPr/>
      </a:pPr>
      <a:endParaRPr lang="es-E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19050" cap="flat">
              <a:solidFill>
                <a:schemeClr val="accent1">
                  <a:lumMod val="75000"/>
                </a:schemeClr>
              </a:solidFill>
              <a:round/>
            </a:ln>
            <a:effectLst/>
          </c:spPr>
          <c:marker>
            <c:symbol val="circle"/>
            <c:size val="5"/>
            <c:spPr>
              <a:noFill/>
              <a:ln w="19050">
                <a:noFill/>
              </a:ln>
              <a:effectLst/>
            </c:spPr>
          </c:marker>
          <c:dPt>
            <c:idx val="15"/>
            <c:marker>
              <c:symbol val="dash"/>
              <c:size val="5"/>
            </c:marker>
            <c:bubble3D val="0"/>
            <c:extLst>
              <c:ext xmlns:c16="http://schemas.microsoft.com/office/drawing/2014/chart" uri="{C3380CC4-5D6E-409C-BE32-E72D297353CC}">
                <c16:uniqueId val="{00000000-90AD-8C45-AA48-4CFA89B4E850}"/>
              </c:ext>
            </c:extLst>
          </c:dPt>
          <c:dLbls>
            <c:dLbl>
              <c:idx val="1"/>
              <c:layout>
                <c:manualLayout>
                  <c:x val="-5.4092191909689599E-2"/>
                  <c:y val="-7.719209072652121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AD-8C45-AA48-4CFA89B4E850}"/>
                </c:ext>
              </c:extLst>
            </c:dLbl>
            <c:dLbl>
              <c:idx val="2"/>
              <c:delete val="1"/>
              <c:extLst>
                <c:ext xmlns:c15="http://schemas.microsoft.com/office/drawing/2012/chart" uri="{CE6537A1-D6FC-4f65-9D91-7224C49458BB}"/>
                <c:ext xmlns:c16="http://schemas.microsoft.com/office/drawing/2014/chart" uri="{C3380CC4-5D6E-409C-BE32-E72D297353CC}">
                  <c16:uniqueId val="{00000002-90AD-8C45-AA48-4CFA89B4E850}"/>
                </c:ext>
              </c:extLst>
            </c:dLbl>
            <c:dLbl>
              <c:idx val="8"/>
              <c:layout>
                <c:manualLayout>
                  <c:x val="-9.4073377234242701E-3"/>
                  <c:y val="-1.2631578947368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AD-8C45-AA48-4CFA89B4E850}"/>
                </c:ext>
              </c:extLst>
            </c:dLbl>
            <c:dLbl>
              <c:idx val="12"/>
              <c:delete val="1"/>
              <c:extLst>
                <c:ext xmlns:c15="http://schemas.microsoft.com/office/drawing/2012/chart" uri="{CE6537A1-D6FC-4f65-9D91-7224C49458BB}"/>
                <c:ext xmlns:c16="http://schemas.microsoft.com/office/drawing/2014/chart" uri="{C3380CC4-5D6E-409C-BE32-E72D297353CC}">
                  <c16:uniqueId val="{00000004-90AD-8C45-AA48-4CFA89B4E850}"/>
                </c:ext>
              </c:extLst>
            </c:dLbl>
            <c:dLbl>
              <c:idx val="13"/>
              <c:layout>
                <c:manualLayout>
                  <c:x val="-9.407337723424270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AD-8C45-AA48-4CFA89B4E850}"/>
                </c:ext>
              </c:extLst>
            </c:dLbl>
            <c:dLbl>
              <c:idx val="14"/>
              <c:layout>
                <c:manualLayout>
                  <c:x val="-4.7036688617123077E-3"/>
                  <c:y val="-8.42105263157894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AD-8C45-AA48-4CFA89B4E850}"/>
                </c:ext>
              </c:extLst>
            </c:dLbl>
            <c:dLbl>
              <c:idx val="15"/>
              <c:delete val="1"/>
              <c:extLst>
                <c:ext xmlns:c15="http://schemas.microsoft.com/office/drawing/2012/chart" uri="{CE6537A1-D6FC-4f65-9D91-7224C49458BB}"/>
                <c:ext xmlns:c16="http://schemas.microsoft.com/office/drawing/2014/chart" uri="{C3380CC4-5D6E-409C-BE32-E72D297353CC}">
                  <c16:uniqueId val="{00000000-90AD-8C45-AA48-4CFA89B4E850}"/>
                </c:ext>
              </c:extLst>
            </c:dLbl>
            <c:dLbl>
              <c:idx val="16"/>
              <c:layout>
                <c:manualLayout>
                  <c:x val="-2.3518344308560677E-2"/>
                  <c:y val="2.10526315789472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AD-8C45-AA48-4CFA89B4E850}"/>
                </c:ext>
              </c:extLst>
            </c:dLbl>
            <c:dLbl>
              <c:idx val="17"/>
              <c:spPr>
                <a:noFill/>
                <a:ln>
                  <a:noFill/>
                </a:ln>
                <a:effectLst/>
              </c:spPr>
              <c:txPr>
                <a:bodyPr wrap="square" lIns="38100" tIns="19050" rIns="38100" bIns="19050" anchor="ctr">
                  <a:spAutoFit/>
                </a:bodyPr>
                <a:lstStyle/>
                <a:p>
                  <a:pPr>
                    <a:defRPr sz="800" b="0">
                      <a:solidFill>
                        <a:sysClr val="windowText" lastClr="000000"/>
                      </a:solidFill>
                      <a:latin typeface="+mn-lt"/>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1-CE0F-4F74-95C6-E68D6E4BC59A}"/>
                </c:ext>
              </c:extLst>
            </c:dLbl>
            <c:spPr>
              <a:noFill/>
              <a:ln>
                <a:noFill/>
              </a:ln>
              <a:effectLst/>
            </c:spPr>
            <c:txPr>
              <a:bodyPr wrap="square" lIns="38100" tIns="19050" rIns="38100" bIns="19050" anchor="ctr">
                <a:spAutoFit/>
              </a:bodyPr>
              <a:lstStyle/>
              <a:p>
                <a:pPr>
                  <a:defRPr sz="800">
                    <a:solidFill>
                      <a:sysClr val="windowText" lastClr="000000"/>
                    </a:solidFill>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'[Gráfico en Microsoft PowerPoint]Desigualdad'!$A$1:$A$18</c:f>
              <c:numCache>
                <c:formatCode>General</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xVal>
          <c:yVal>
            <c:numRef>
              <c:f>'[Gráfico en Microsoft PowerPoint]Desigualdad'!$B$1:$B$18</c:f>
              <c:numCache>
                <c:formatCode>General</c:formatCode>
                <c:ptCount val="18"/>
                <c:pt idx="0">
                  <c:v>5.2</c:v>
                </c:pt>
                <c:pt idx="1">
                  <c:v>5.5</c:v>
                </c:pt>
                <c:pt idx="2">
                  <c:v>5.5</c:v>
                </c:pt>
                <c:pt idx="3">
                  <c:v>5.5</c:v>
                </c:pt>
                <c:pt idx="4">
                  <c:v>5.7</c:v>
                </c:pt>
                <c:pt idx="5">
                  <c:v>5.9</c:v>
                </c:pt>
                <c:pt idx="6">
                  <c:v>6.2</c:v>
                </c:pt>
                <c:pt idx="7">
                  <c:v>6.3</c:v>
                </c:pt>
                <c:pt idx="8">
                  <c:v>6.5</c:v>
                </c:pt>
                <c:pt idx="9">
                  <c:v>6.3</c:v>
                </c:pt>
                <c:pt idx="10">
                  <c:v>6.8</c:v>
                </c:pt>
                <c:pt idx="11">
                  <c:v>6.9</c:v>
                </c:pt>
                <c:pt idx="12">
                  <c:v>6.6</c:v>
                </c:pt>
                <c:pt idx="13">
                  <c:v>6.6</c:v>
                </c:pt>
                <c:pt idx="14">
                  <c:v>6</c:v>
                </c:pt>
                <c:pt idx="15">
                  <c:v>5.9</c:v>
                </c:pt>
                <c:pt idx="16">
                  <c:v>5.8</c:v>
                </c:pt>
                <c:pt idx="17">
                  <c:v>6.2</c:v>
                </c:pt>
              </c:numCache>
            </c:numRef>
          </c:yVal>
          <c:smooth val="0"/>
          <c:extLst>
            <c:ext xmlns:c15="http://schemas.microsoft.com/office/drawing/2012/chart" uri="{02D57815-91ED-43cb-92C2-25804820EDAC}">
              <c15:filteredSeriesTitle>
                <c15:tx>
                  <c:strRef>
                    <c:extLst xmlns:c16="http://schemas.microsoft.com/office/drawing/2014/chart">
                      <c:ext uri="{02D57815-91ED-43cb-92C2-25804820EDAC}">
                        <c15:formulaRef>
                          <c15:sqref>Desigualdad!#REF!</c15:sqref>
                        </c15:formulaRef>
                      </c:ext>
                    </c:extLst>
                    <c:strCache>
                      <c:ptCount val="1"/>
                      <c:pt idx="0">
                        <c:v>#REF!</c:v>
                      </c:pt>
                    </c:strCache>
                  </c:strRef>
                </c15:tx>
              </c15:filteredSeriesTitle>
            </c:ext>
            <c:ext xmlns:c16="http://schemas.microsoft.com/office/drawing/2014/chart" uri="{C3380CC4-5D6E-409C-BE32-E72D297353CC}">
              <c16:uniqueId val="{00000009-90AD-8C45-AA48-4CFA89B4E850}"/>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'[Gráfico en Microsoft PowerPoint]Desigualdad'!$A$1:$A$18</c:f>
              <c:numCache>
                <c:formatCode>General</c:formatCode>
                <c:ptCount val="18"/>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numCache>
            </c:numRef>
          </c:xVal>
          <c:yVal>
            <c:numRef>
              <c:f>Desigualdad!#REF!</c:f>
              <c:numCache>
                <c:formatCode>General</c:formatCode>
                <c:ptCount val="1"/>
                <c:pt idx="0">
                  <c:v>1</c:v>
                </c:pt>
              </c:numCache>
            </c:numRef>
          </c:yVal>
          <c:smooth val="0"/>
          <c:extLst>
            <c:ext xmlns:c15="http://schemas.microsoft.com/office/drawing/2012/chart" uri="{02D57815-91ED-43cb-92C2-25804820EDAC}">
              <c15:filteredSeriesTitle>
                <c15:tx>
                  <c:strRef>
                    <c:extLst xmlns:c16="http://schemas.microsoft.com/office/drawing/2014/chart">
                      <c:ext uri="{02D57815-91ED-43cb-92C2-25804820EDAC}">
                        <c15:formulaRef>
                          <c15:sqref>Desigualdad!#REF!</c15:sqref>
                        </c15:formulaRef>
                      </c:ext>
                    </c:extLst>
                    <c:strCache>
                      <c:ptCount val="1"/>
                      <c:pt idx="0">
                        <c:v>#REF!</c:v>
                      </c:pt>
                    </c:strCache>
                  </c:strRef>
                </c15:tx>
              </c15:filteredSeriesTitle>
            </c:ext>
            <c:ext xmlns:c16="http://schemas.microsoft.com/office/drawing/2014/chart" uri="{C3380CC4-5D6E-409C-BE32-E72D297353CC}">
              <c16:uniqueId val="{0000000A-90AD-8C45-AA48-4CFA89B4E850}"/>
            </c:ext>
          </c:extLst>
        </c:ser>
        <c:dLbls>
          <c:showLegendKey val="0"/>
          <c:showVal val="0"/>
          <c:showCatName val="0"/>
          <c:showSerName val="0"/>
          <c:showPercent val="0"/>
          <c:showBubbleSize val="0"/>
        </c:dLbls>
        <c:axId val="-1306825648"/>
        <c:axId val="-1306834352"/>
      </c:scatterChart>
      <c:valAx>
        <c:axId val="-1306825648"/>
        <c:scaling>
          <c:orientation val="minMax"/>
          <c:max val="2021"/>
          <c:min val="2001"/>
        </c:scaling>
        <c:delete val="0"/>
        <c:axPos val="b"/>
        <c:majorGridlines>
          <c:spPr>
            <a:ln w="9525" cap="flat" cmpd="sng" algn="ctr">
              <a:noFill/>
              <a:round/>
            </a:ln>
            <a:effectLst/>
          </c:spPr>
        </c:majorGridlines>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800" b="0" i="0" u="none" strike="noStrike" baseline="0">
                <a:solidFill>
                  <a:schemeClr val="tx1"/>
                </a:solidFill>
                <a:latin typeface="+mn-lt"/>
                <a:ea typeface="Calibri"/>
                <a:cs typeface="Times New Roman" panose="02020603050405020304" pitchFamily="18" charset="0"/>
              </a:defRPr>
            </a:pPr>
            <a:endParaRPr lang="es-ES"/>
          </a:p>
        </c:txPr>
        <c:crossAx val="-1306834352"/>
        <c:crosses val="autoZero"/>
        <c:crossBetween val="midCat"/>
      </c:valAx>
      <c:valAx>
        <c:axId val="-1306834352"/>
        <c:scaling>
          <c:orientation val="minMax"/>
          <c:max val="7"/>
          <c:min val="5"/>
        </c:scaling>
        <c:delete val="0"/>
        <c:axPos val="l"/>
        <c:majorGridlines>
          <c:spPr>
            <a:ln w="9525" cap="flat" cmpd="sng" algn="ctr">
              <a:no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Times New Roman" panose="02020603050405020304" pitchFamily="18" charset="0"/>
              </a:defRPr>
            </a:pPr>
            <a:endParaRPr lang="es-ES"/>
          </a:p>
        </c:txPr>
        <c:crossAx val="-1306825648"/>
        <c:crosses val="autoZero"/>
        <c:crossBetween val="midCat"/>
        <c:minorUnit val="0.25"/>
      </c:valAx>
      <c:spPr>
        <a:noFill/>
        <a:ln w="25400">
          <a:noFill/>
        </a:ln>
      </c:spPr>
    </c:plotArea>
    <c:plotVisOnly val="1"/>
    <c:dispBlanksAs val="gap"/>
    <c:showDLblsOverMax val="0"/>
  </c:chart>
  <c:spPr>
    <a:noFill/>
    <a:ln w="9525" cap="flat" cmpd="sng" algn="ctr">
      <a:no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2"/>
          <c:order val="0"/>
          <c:tx>
            <c:strRef>
              <c:f>ZonasNucleos_Pob_1981_2001_2021!$D$1</c:f>
              <c:strCache>
                <c:ptCount val="1"/>
                <c:pt idx="0">
                  <c:v>Padrón 2021</c:v>
                </c:pt>
              </c:strCache>
            </c:strRef>
          </c:tx>
          <c:spPr>
            <a:ln w="50800">
              <a:solidFill>
                <a:schemeClr val="accent1">
                  <a:lumMod val="75000"/>
                </a:schemeClr>
              </a:solidFill>
            </a:ln>
            <a:effectLst/>
          </c:spPr>
          <c:marker>
            <c:spPr>
              <a:noFill/>
              <a:ln>
                <a:solidFill>
                  <a:schemeClr val="accent1">
                    <a:lumMod val="75000"/>
                  </a:schemeClr>
                </a:solidFill>
              </a:ln>
            </c:spPr>
          </c:marker>
          <c:dLbls>
            <c:dLbl>
              <c:idx val="0"/>
              <c:layout>
                <c:manualLayout>
                  <c:x val="9.2486722320575324E-2"/>
                  <c:y val="-7.2888234705689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6D1-1245-B8D4-BA4A40A9CB7C}"/>
                </c:ext>
              </c:extLst>
            </c:dLbl>
            <c:dLbl>
              <c:idx val="1"/>
              <c:layout>
                <c:manualLayout>
                  <c:x val="0.11698456953102634"/>
                  <c:y val="3.75020947282242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D1-1245-B8D4-BA4A40A9CB7C}"/>
                </c:ext>
              </c:extLst>
            </c:dLbl>
            <c:dLbl>
              <c:idx val="2"/>
              <c:layout>
                <c:manualLayout>
                  <c:x val="9.1553141372107558E-2"/>
                  <c:y val="9.8442998661588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6D1-1245-B8D4-BA4A40A9CB7C}"/>
                </c:ext>
              </c:extLst>
            </c:dLbl>
            <c:dLbl>
              <c:idx val="3"/>
              <c:layout>
                <c:manualLayout>
                  <c:x val="-8.2935311590284555E-2"/>
                  <c:y val="0.205134544207382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D1-1245-B8D4-BA4A40A9CB7C}"/>
                </c:ext>
              </c:extLst>
            </c:dLbl>
            <c:dLbl>
              <c:idx val="4"/>
              <c:layout>
                <c:manualLayout>
                  <c:x val="-0.13478656924226962"/>
                  <c:y val="0.140632855230840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6D1-1245-B8D4-BA4A40A9CB7C}"/>
                </c:ext>
              </c:extLst>
            </c:dLbl>
            <c:dLbl>
              <c:idx val="5"/>
              <c:layout>
                <c:manualLayout>
                  <c:x val="-0.16784742584886406"/>
                  <c:y val="4.68776184102802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6D1-1245-B8D4-BA4A40A9CB7C}"/>
                </c:ext>
              </c:extLst>
            </c:dLbl>
            <c:spPr>
              <a:noFill/>
              <a:ln>
                <a:noFill/>
              </a:ln>
              <a:effectLst/>
            </c:spPr>
            <c:txPr>
              <a:bodyPr wrap="square" lIns="38100" tIns="19050" rIns="38100" bIns="19050" anchor="ctr">
                <a:spAutoFit/>
              </a:bodyPr>
              <a:lstStyle/>
              <a:p>
                <a:pPr>
                  <a:defRPr sz="800">
                    <a:solidFill>
                      <a:schemeClr val="tx1"/>
                    </a:solidFill>
                    <a:latin typeface="+mn-lt"/>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15875">
                      <a:solidFill>
                        <a:schemeClr val="tx2">
                          <a:lumMod val="60000"/>
                          <a:lumOff val="40000"/>
                        </a:schemeClr>
                      </a:solidFill>
                      <a:prstDash val="sysDot"/>
                    </a:ln>
                  </c:spPr>
                </c15:leaderLines>
              </c:ext>
            </c:extLst>
          </c:dLbls>
          <c:cat>
            <c:strRef>
              <c:f>ZonasNucleos_Pob_1981_2001_2021!$A$2:$A$7</c:f>
              <c:strCache>
                <c:ptCount val="6"/>
                <c:pt idx="0">
                  <c:v>    Zona Rural</c:v>
                </c:pt>
                <c:pt idx="1">
                  <c:v>    Zona Intermedia</c:v>
                </c:pt>
                <c:pt idx="2">
                  <c:v>    Zona urbana: 10.001 a 50.000 hab.</c:v>
                </c:pt>
                <c:pt idx="3">
                  <c:v>    Zona urbana: 50.001 a 100.000 hab.</c:v>
                </c:pt>
                <c:pt idx="4">
                  <c:v>    Zona urbana: 100.001 a 500.000 hab.</c:v>
                </c:pt>
                <c:pt idx="5">
                  <c:v>    Zona urbana: Más de 500.000 hab.</c:v>
                </c:pt>
              </c:strCache>
            </c:strRef>
          </c:cat>
          <c:val>
            <c:numRef>
              <c:f>ZonasNucleos_Pob_1981_2001_2021!$D$2:$D$7</c:f>
              <c:numCache>
                <c:formatCode>#,##0</c:formatCode>
                <c:ptCount val="6"/>
                <c:pt idx="0">
                  <c:v>7671203</c:v>
                </c:pt>
                <c:pt idx="1">
                  <c:v>8545402</c:v>
                </c:pt>
                <c:pt idx="2">
                  <c:v>10582479</c:v>
                </c:pt>
                <c:pt idx="3">
                  <c:v>4213805</c:v>
                </c:pt>
                <c:pt idx="4">
                  <c:v>8815689</c:v>
                </c:pt>
                <c:pt idx="5">
                  <c:v>7556529</c:v>
                </c:pt>
              </c:numCache>
            </c:numRef>
          </c:val>
          <c:extLst>
            <c:ext xmlns:c16="http://schemas.microsoft.com/office/drawing/2014/chart" uri="{C3380CC4-5D6E-409C-BE32-E72D297353CC}">
              <c16:uniqueId val="{00000006-56D1-1245-B8D4-BA4A40A9CB7C}"/>
            </c:ext>
          </c:extLst>
        </c:ser>
        <c:dLbls>
          <c:showLegendKey val="0"/>
          <c:showVal val="0"/>
          <c:showCatName val="0"/>
          <c:showSerName val="0"/>
          <c:showPercent val="0"/>
          <c:showBubbleSize val="0"/>
        </c:dLbls>
        <c:axId val="-1306827824"/>
        <c:axId val="-1306849584"/>
      </c:radarChart>
      <c:catAx>
        <c:axId val="-1306827824"/>
        <c:scaling>
          <c:orientation val="minMax"/>
        </c:scaling>
        <c:delete val="0"/>
        <c:axPos val="b"/>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Times New Roman" panose="02020603050405020304" pitchFamily="18" charset="0"/>
              </a:defRPr>
            </a:pPr>
            <a:endParaRPr lang="es-ES"/>
          </a:p>
        </c:txPr>
        <c:crossAx val="-1306849584"/>
        <c:crosses val="autoZero"/>
        <c:auto val="1"/>
        <c:lblAlgn val="ctr"/>
        <c:lblOffset val="100"/>
        <c:noMultiLvlLbl val="0"/>
      </c:catAx>
      <c:valAx>
        <c:axId val="-1306849584"/>
        <c:scaling>
          <c:orientation val="minMax"/>
          <c:max val="11500000.000000002"/>
          <c:min val="2000000"/>
        </c:scaling>
        <c:delete val="0"/>
        <c:axPos val="l"/>
        <c:majorGridlines>
          <c:spPr>
            <a:ln w="9525" cap="flat" cmpd="sng" algn="ctr">
              <a:solidFill>
                <a:schemeClr val="bg1">
                  <a:lumMod val="65000"/>
                </a:schemeClr>
              </a:solidFill>
              <a:round/>
            </a:ln>
            <a:effectLst/>
          </c:spPr>
        </c:majorGridlines>
        <c:numFmt formatCode="#,##0" sourceLinked="1"/>
        <c:majorTickMark val="none"/>
        <c:minorTickMark val="none"/>
        <c:tickLblPos val="nextTo"/>
        <c:txPr>
          <a:bodyPr/>
          <a:lstStyle/>
          <a:p>
            <a:pPr>
              <a:defRPr sz="700">
                <a:solidFill>
                  <a:schemeClr val="bg1">
                    <a:lumMod val="50000"/>
                  </a:schemeClr>
                </a:solidFill>
                <a:latin typeface="+mn-lt"/>
                <a:cs typeface="Times New Roman" panose="02020603050405020304" pitchFamily="18" charset="0"/>
              </a:defRPr>
            </a:pPr>
            <a:endParaRPr lang="es-ES"/>
          </a:p>
        </c:txPr>
        <c:crossAx val="-1306827824"/>
        <c:crosses val="autoZero"/>
        <c:crossBetween val="between"/>
        <c:majorUnit val="3000000"/>
      </c:valAx>
      <c:spPr>
        <a:noFill/>
        <a:ln w="25400">
          <a:noFill/>
        </a:ln>
      </c:spPr>
    </c:plotArea>
    <c:plotVisOnly val="1"/>
    <c:dispBlanksAs val="gap"/>
    <c:showDLblsOverMax val="0"/>
  </c:chart>
  <c:spPr>
    <a:noFill/>
    <a:ln w="9525" cap="flat" cmpd="sng" algn="ctr">
      <a:noFill/>
      <a:round/>
    </a:ln>
    <a:effectLst/>
  </c:spPr>
  <c:txPr>
    <a:bodyPr/>
    <a:lstStyle/>
    <a:p>
      <a:pPr>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D90D542C3ED34893FDA384F2F87056"/>
        <w:category>
          <w:name w:val="General"/>
          <w:gallery w:val="placeholder"/>
        </w:category>
        <w:types>
          <w:type w:val="bbPlcHdr"/>
        </w:types>
        <w:behaviors>
          <w:behavior w:val="content"/>
        </w:behaviors>
        <w:guid w:val="{A9DF3699-177F-E845-B239-FB173DB2749C}"/>
      </w:docPartPr>
      <w:docPartBody>
        <w:p w:rsidR="007E6295" w:rsidRDefault="009564C7" w:rsidP="009564C7">
          <w:pPr>
            <w:pStyle w:val="21D90D542C3ED34893FDA384F2F87056"/>
          </w:pPr>
          <w:r w:rsidRPr="00C97C3F">
            <w:rPr>
              <w:rStyle w:val="Textodelmarcadordeposicin"/>
            </w:rPr>
            <w:t>Haga clic o pulse aquí para escribir texto.</w:t>
          </w:r>
        </w:p>
      </w:docPartBody>
    </w:docPart>
    <w:docPart>
      <w:docPartPr>
        <w:name w:val="B62044B0AEE982468526D76406A053AC"/>
        <w:category>
          <w:name w:val="General"/>
          <w:gallery w:val="placeholder"/>
        </w:category>
        <w:types>
          <w:type w:val="bbPlcHdr"/>
        </w:types>
        <w:behaviors>
          <w:behavior w:val="content"/>
        </w:behaviors>
        <w:guid w:val="{CDAA35FC-F9B0-C949-B847-15BB8F84296F}"/>
      </w:docPartPr>
      <w:docPartBody>
        <w:p w:rsidR="007E6295" w:rsidRDefault="009564C7" w:rsidP="009564C7">
          <w:pPr>
            <w:pStyle w:val="B62044B0AEE982468526D76406A053AC"/>
          </w:pPr>
          <w:r w:rsidRPr="00C97C3F">
            <w:rPr>
              <w:rStyle w:val="Textodelmarcadordeposicin"/>
            </w:rPr>
            <w:t>Haga clic o pulse aquí para escribir texto.</w:t>
          </w:r>
        </w:p>
      </w:docPartBody>
    </w:docPart>
    <w:docPart>
      <w:docPartPr>
        <w:name w:val="96006FFEFBE7CF4A85559A74B180B4ED"/>
        <w:category>
          <w:name w:val="General"/>
          <w:gallery w:val="placeholder"/>
        </w:category>
        <w:types>
          <w:type w:val="bbPlcHdr"/>
        </w:types>
        <w:behaviors>
          <w:behavior w:val="content"/>
        </w:behaviors>
        <w:guid w:val="{DEE2C935-15F2-C34D-B66A-48B2C3233CAE}"/>
      </w:docPartPr>
      <w:docPartBody>
        <w:p w:rsidR="00035CCF" w:rsidRDefault="00996B23" w:rsidP="00996B23">
          <w:pPr>
            <w:pStyle w:val="96006FFEFBE7CF4A85559A74B180B4ED"/>
          </w:pPr>
          <w:r w:rsidRPr="00C97C3F">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Zilla Slab SemiBold">
    <w:altName w:val="Cambria"/>
    <w:charset w:val="00"/>
    <w:family w:val="roman"/>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ontserrat">
    <w:charset w:val="00"/>
    <w:family w:val="auto"/>
    <w:pitch w:val="variable"/>
    <w:sig w:usb0="2000020F" w:usb1="00000003" w:usb2="00000000" w:usb3="00000000" w:csb0="00000197" w:csb1="00000000"/>
  </w:font>
  <w:font w:name="FlamaCondensed-Book">
    <w:altName w:val="MS Gothic"/>
    <w:charset w:val="80"/>
    <w:family w:val="swiss"/>
    <w:pitch w:val="default"/>
    <w:sig w:usb0="00000001" w:usb1="08070000" w:usb2="00000010" w:usb3="00000000" w:csb0="00020000" w:csb1="00000000"/>
  </w:font>
  <w:font w:name="FlamaCondensed-Medium">
    <w:altName w:val="MS Gothic"/>
    <w:charset w:val="80"/>
    <w:family w:val="swiss"/>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0BB9"/>
    <w:rsid w:val="00035CCF"/>
    <w:rsid w:val="00036AAB"/>
    <w:rsid w:val="0005049F"/>
    <w:rsid w:val="000528F1"/>
    <w:rsid w:val="00062437"/>
    <w:rsid w:val="00095F7B"/>
    <w:rsid w:val="00127A9E"/>
    <w:rsid w:val="00243660"/>
    <w:rsid w:val="00264B91"/>
    <w:rsid w:val="00271AA4"/>
    <w:rsid w:val="002B1BB9"/>
    <w:rsid w:val="002F5D54"/>
    <w:rsid w:val="0032771E"/>
    <w:rsid w:val="003D11E1"/>
    <w:rsid w:val="003D7315"/>
    <w:rsid w:val="003E32A6"/>
    <w:rsid w:val="00471584"/>
    <w:rsid w:val="0047784A"/>
    <w:rsid w:val="004B3699"/>
    <w:rsid w:val="004E6247"/>
    <w:rsid w:val="00510D03"/>
    <w:rsid w:val="006000F0"/>
    <w:rsid w:val="0067576E"/>
    <w:rsid w:val="00681E56"/>
    <w:rsid w:val="0072342A"/>
    <w:rsid w:val="00730BB9"/>
    <w:rsid w:val="00734AD8"/>
    <w:rsid w:val="0073747F"/>
    <w:rsid w:val="007A140C"/>
    <w:rsid w:val="007C5D5F"/>
    <w:rsid w:val="007E6295"/>
    <w:rsid w:val="007F68D0"/>
    <w:rsid w:val="00925C77"/>
    <w:rsid w:val="0093556A"/>
    <w:rsid w:val="009564C7"/>
    <w:rsid w:val="00996B23"/>
    <w:rsid w:val="009D562F"/>
    <w:rsid w:val="009F5F01"/>
    <w:rsid w:val="00A20E3B"/>
    <w:rsid w:val="00AC0FEB"/>
    <w:rsid w:val="00AD421C"/>
    <w:rsid w:val="00B67AB3"/>
    <w:rsid w:val="00BA595B"/>
    <w:rsid w:val="00C01A70"/>
    <w:rsid w:val="00C24197"/>
    <w:rsid w:val="00C33458"/>
    <w:rsid w:val="00C538C4"/>
    <w:rsid w:val="00DC193A"/>
    <w:rsid w:val="00E304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996B23"/>
    <w:rPr>
      <w:color w:val="808080"/>
    </w:rPr>
  </w:style>
  <w:style w:type="paragraph" w:customStyle="1" w:styleId="21D90D542C3ED34893FDA384F2F87056">
    <w:name w:val="21D90D542C3ED34893FDA384F2F87056"/>
    <w:rsid w:val="009564C7"/>
    <w:pPr>
      <w:spacing w:after="0" w:line="240" w:lineRule="auto"/>
    </w:pPr>
    <w:rPr>
      <w:kern w:val="2"/>
      <w:sz w:val="24"/>
      <w:szCs w:val="24"/>
      <w:lang w:val="es-ES" w:eastAsia="es-ES_tradnl"/>
      <w14:ligatures w14:val="standardContextual"/>
    </w:rPr>
  </w:style>
  <w:style w:type="paragraph" w:customStyle="1" w:styleId="B62044B0AEE982468526D76406A053AC">
    <w:name w:val="B62044B0AEE982468526D76406A053AC"/>
    <w:rsid w:val="009564C7"/>
    <w:pPr>
      <w:spacing w:after="0" w:line="240" w:lineRule="auto"/>
    </w:pPr>
    <w:rPr>
      <w:kern w:val="2"/>
      <w:sz w:val="24"/>
      <w:szCs w:val="24"/>
      <w:lang w:val="es-ES" w:eastAsia="es-ES_tradnl"/>
      <w14:ligatures w14:val="standardContextual"/>
    </w:rPr>
  </w:style>
  <w:style w:type="paragraph" w:customStyle="1" w:styleId="96006FFEFBE7CF4A85559A74B180B4ED">
    <w:name w:val="96006FFEFBE7CF4A85559A74B180B4ED"/>
    <w:rsid w:val="00996B23"/>
    <w:pPr>
      <w:spacing w:after="0" w:line="240" w:lineRule="auto"/>
    </w:pPr>
    <w:rPr>
      <w:kern w:val="2"/>
      <w:sz w:val="24"/>
      <w:szCs w:val="24"/>
      <w:lang w:val="es-ES" w:eastAsia="es-ES_tradnl"/>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1652D1-5FFC-4007-B18E-45E6B6DFF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267</Pages>
  <Words>105904</Words>
  <Characters>582473</Characters>
  <Application>Microsoft Office Word</Application>
  <DocSecurity>0</DocSecurity>
  <Lines>4853</Lines>
  <Paragraphs>1374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687003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Alfonso Jiménez Gutiérrez</dc:creator>
  <cp:keywords/>
  <dc:description/>
  <cp:lastModifiedBy>Valdés Verelst, Fernando</cp:lastModifiedBy>
  <cp:revision>16</cp:revision>
  <cp:lastPrinted>2023-10-15T20:55:00Z</cp:lastPrinted>
  <dcterms:created xsi:type="dcterms:W3CDTF">2023-10-17T08:24:00Z</dcterms:created>
  <dcterms:modified xsi:type="dcterms:W3CDTF">2023-10-17T11:53:00Z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ies>
</file>